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themeColor="text1"/>
          <w:sz w:val="36"/>
          <w:szCs w:val="36"/>
          <w:highlight w:val="none"/>
          <w14:textFill>
            <w14:solidFill>
              <w14:schemeClr w14:val="tx1"/>
            </w14:solidFill>
          </w14:textFill>
        </w:rPr>
      </w:pPr>
      <w:bookmarkStart w:id="0" w:name="_Toc10796"/>
      <w:bookmarkStart w:id="1" w:name="_Toc16493"/>
    </w:p>
    <w:p>
      <w:pPr>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adjustRightInd w:val="0"/>
        <w:snapToGrid w:val="0"/>
        <w:jc w:val="center"/>
        <w:outlineLvl w:val="0"/>
        <w:rPr>
          <w:rFonts w:hint="default" w:ascii="Times New Roman" w:hAnsi="Times New Roman" w:eastAsia="宋体" w:cs="Times New Roman"/>
          <w:b/>
          <w:bCs w:val="0"/>
          <w:color w:val="000000" w:themeColor="text1"/>
          <w:sz w:val="72"/>
          <w:szCs w:val="72"/>
          <w:highlight w:val="none"/>
          <w14:textFill>
            <w14:solidFill>
              <w14:schemeClr w14:val="tx1"/>
            </w14:solidFill>
          </w14:textFill>
        </w:rPr>
      </w:pPr>
      <w:r>
        <w:rPr>
          <w:rFonts w:hint="default" w:ascii="Times New Roman" w:hAnsi="Times New Roman" w:eastAsia="宋体" w:cs="Times New Roman"/>
          <w:b/>
          <w:bCs w:val="0"/>
          <w:color w:val="000000" w:themeColor="text1"/>
          <w:sz w:val="72"/>
          <w:szCs w:val="72"/>
          <w:highlight w:val="none"/>
          <w14:textFill>
            <w14:solidFill>
              <w14:schemeClr w14:val="tx1"/>
            </w14:solidFill>
          </w14:textFill>
        </w:rPr>
        <w:t>建设项目环境影响报告表</w:t>
      </w:r>
    </w:p>
    <w:p>
      <w:pPr>
        <w:adjustRightInd w:val="0"/>
        <w:snapToGrid w:val="0"/>
        <w:spacing w:before="249" w:beforeLines="80"/>
        <w:jc w:val="center"/>
        <w:rPr>
          <w:rFonts w:hint="default" w:ascii="Times New Roman" w:hAnsi="Times New Roman" w:eastAsia="宋体" w:cs="Times New Roman"/>
          <w:bCs/>
          <w:color w:val="000000" w:themeColor="text1"/>
          <w:sz w:val="48"/>
          <w:szCs w:val="48"/>
          <w:highlight w:val="none"/>
          <w14:textFill>
            <w14:solidFill>
              <w14:schemeClr w14:val="tx1"/>
            </w14:solidFill>
          </w14:textFill>
        </w:rPr>
      </w:pPr>
      <w:r>
        <w:rPr>
          <w:rFonts w:hint="default" w:ascii="Times New Roman" w:hAnsi="Times New Roman" w:eastAsia="宋体" w:cs="Times New Roman"/>
          <w:bCs/>
          <w:color w:val="000000" w:themeColor="text1"/>
          <w:sz w:val="48"/>
          <w:szCs w:val="48"/>
          <w:highlight w:val="none"/>
          <w14:textFill>
            <w14:solidFill>
              <w14:schemeClr w14:val="tx1"/>
            </w14:solidFill>
          </w14:textFill>
        </w:rPr>
        <w:t>（污染影响类）</w:t>
      </w:r>
    </w:p>
    <w:p>
      <w:pPr>
        <w:adjustRightInd w:val="0"/>
        <w:snapToGrid w:val="0"/>
        <w:spacing w:before="249" w:beforeLines="80"/>
        <w:jc w:val="center"/>
        <w:rPr>
          <w:rFonts w:hint="default" w:ascii="Times New Roman" w:hAnsi="Times New Roman" w:eastAsia="宋体" w:cs="Times New Roman"/>
          <w:bCs/>
          <w:color w:val="000000" w:themeColor="text1"/>
          <w:sz w:val="48"/>
          <w:szCs w:val="48"/>
          <w:highlight w:val="none"/>
          <w:lang w:val="en-US" w:eastAsia="zh-CN"/>
          <w14:textFill>
            <w14:solidFill>
              <w14:schemeClr w14:val="tx1"/>
            </w14:solidFill>
          </w14:textFill>
        </w:rPr>
      </w:pPr>
      <w:r>
        <w:rPr>
          <w:rFonts w:hint="eastAsia" w:ascii="Times New Roman" w:hAnsi="Times New Roman" w:eastAsia="宋体" w:cs="Times New Roman"/>
          <w:bCs/>
          <w:color w:val="000000" w:themeColor="text1"/>
          <w:sz w:val="48"/>
          <w:szCs w:val="48"/>
          <w:highlight w:val="none"/>
          <w:lang w:val="en-US" w:eastAsia="zh-CN"/>
          <w14:textFill>
            <w14:solidFill>
              <w14:schemeClr w14:val="tx1"/>
            </w14:solidFill>
          </w14:textFill>
        </w:rPr>
        <w:t>附大气专项评价</w:t>
      </w:r>
    </w:p>
    <w:p>
      <w:pPr>
        <w:pStyle w:val="26"/>
        <w:shd w:val="clear" w:color="auto" w:fill="auto"/>
        <w:adjustRightInd/>
        <w:spacing w:line="240" w:lineRule="auto"/>
        <w:jc w:val="left"/>
        <w:rPr>
          <w:rFonts w:hint="default" w:ascii="Times New Roman" w:hAnsi="Times New Roman" w:eastAsia="宋体" w:cs="Times New Roman"/>
          <w:color w:val="000000" w:themeColor="text1"/>
          <w:sz w:val="52"/>
          <w:szCs w:val="52"/>
          <w:highlight w:val="none"/>
          <w14:textFill>
            <w14:solidFill>
              <w14:schemeClr w14:val="tx1"/>
            </w14:solidFill>
          </w14:textFill>
        </w:rPr>
      </w:pPr>
    </w:p>
    <w:p>
      <w:pPr>
        <w:widowControl w:val="0"/>
        <w:spacing w:before="0" w:line="240" w:lineRule="auto"/>
        <w:ind w:firstLine="0" w:firstLineChars="0"/>
        <w:jc w:val="left"/>
        <w:rPr>
          <w:rFonts w:hint="default"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p>
    <w:p>
      <w:pPr>
        <w:jc w:val="left"/>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pStyle w:val="26"/>
        <w:shd w:val="clear" w:color="auto" w:fill="auto"/>
        <w:adjustRightInd/>
        <w:spacing w:line="240" w:lineRule="auto"/>
        <w:jc w:val="left"/>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widowControl w:val="0"/>
        <w:spacing w:before="0" w:line="240" w:lineRule="auto"/>
        <w:ind w:firstLine="0" w:firstLineChars="0"/>
        <w:jc w:val="left"/>
        <w:rPr>
          <w:rFonts w:hint="default"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2880" w:hanging="2880" w:hangingChars="800"/>
        <w:jc w:val="left"/>
        <w:textAlignment w:val="auto"/>
        <w:rPr>
          <w:rFonts w:hint="default" w:ascii="Times New Roman" w:hAnsi="Times New Roman" w:eastAsia="宋体" w:cs="Times New Roman"/>
          <w:color w:val="000000" w:themeColor="text1"/>
          <w:sz w:val="36"/>
          <w:szCs w:val="36"/>
          <w:highlight w:val="none"/>
          <w:u w:val="single"/>
          <w:lang w:val="en-US"/>
          <w14:textFill>
            <w14:solidFill>
              <w14:schemeClr w14:val="tx1"/>
            </w14:solidFill>
          </w14:textFill>
        </w:rPr>
      </w:pPr>
      <w:r>
        <w:rPr>
          <w:rFonts w:hint="default" w:ascii="Times New Roman" w:hAnsi="Times New Roman" w:eastAsia="宋体" w:cs="Times New Roman"/>
          <w:color w:val="000000" w:themeColor="text1"/>
          <w:sz w:val="36"/>
          <w:szCs w:val="36"/>
          <w:highlight w:val="none"/>
          <w14:textFill>
            <w14:solidFill>
              <w14:schemeClr w14:val="tx1"/>
            </w14:solidFill>
          </w14:textFill>
        </w:rPr>
        <w:t>项   目  名  称：</w:t>
      </w:r>
      <w:r>
        <w:rPr>
          <w:rFonts w:hint="eastAsia" w:cs="Times New Roman"/>
          <w:color w:val="000000" w:themeColor="text1"/>
          <w:sz w:val="36"/>
          <w:szCs w:val="36"/>
          <w:highlight w:val="none"/>
          <w:u w:val="single"/>
          <w:lang w:val="en-US" w:eastAsia="zh-CN"/>
          <w14:textFill>
            <w14:solidFill>
              <w14:schemeClr w14:val="tx1"/>
            </w14:solidFill>
          </w14:textFill>
        </w:rPr>
        <w:t>汽车零部件及高端装备国际配套零部件项目</w:t>
      </w:r>
      <w:r>
        <w:rPr>
          <w:rFonts w:hint="default" w:ascii="Times New Roman" w:hAnsi="Times New Roman" w:eastAsia="宋体" w:cs="Times New Roman"/>
          <w:color w:val="000000" w:themeColor="text1"/>
          <w:sz w:val="36"/>
          <w:szCs w:val="36"/>
          <w:highlight w:val="none"/>
          <w:u w:val="single"/>
          <w:lang w:val="en-US" w:eastAsia="zh-CN"/>
          <w14:textFill>
            <w14:solidFill>
              <w14:schemeClr w14:val="tx1"/>
            </w14:solidFill>
          </w14:textFill>
        </w:rPr>
        <w:t xml:space="preserve"> </w:t>
      </w:r>
      <w:r>
        <w:rPr>
          <w:rFonts w:hint="eastAsia" w:cs="Times New Roman"/>
          <w:color w:val="000000" w:themeColor="text1"/>
          <w:sz w:val="36"/>
          <w:szCs w:val="36"/>
          <w:highlight w:val="none"/>
          <w:u w:val="singl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36"/>
          <w:szCs w:val="36"/>
          <w:highlight w:val="none"/>
          <w:u w:val="single"/>
          <w:lang w:val="en-US" w:eastAsia="zh-CN"/>
          <w14:textFill>
            <w14:solidFill>
              <w14:schemeClr w14:val="tx1"/>
            </w14:solidFill>
          </w14:textFill>
        </w:rPr>
        <w:t xml:space="preserve"> </w:t>
      </w:r>
    </w:p>
    <w:p>
      <w:pPr>
        <w:spacing w:line="360" w:lineRule="auto"/>
        <w:rPr>
          <w:rFonts w:hint="eastAsia" w:ascii="Times New Roman" w:hAnsi="Times New Roman" w:eastAsia="宋体" w:cs="Times New Roman"/>
          <w:color w:val="000000" w:themeColor="text1"/>
          <w:sz w:val="36"/>
          <w:szCs w:val="36"/>
          <w:highlight w:val="none"/>
          <w:u w:val="single"/>
          <w:lang w:val="en-US" w:eastAsia="zh-CN"/>
          <w14:textFill>
            <w14:solidFill>
              <w14:schemeClr w14:val="tx1"/>
            </w14:solidFill>
          </w14:textFill>
        </w:rPr>
      </w:pPr>
      <w:r>
        <w:rPr>
          <w:rFonts w:hint="default" w:ascii="Times New Roman" w:hAnsi="Times New Roman" w:eastAsia="宋体" w:cs="Times New Roman"/>
          <w:color w:val="000000" w:themeColor="text1"/>
          <w:sz w:val="36"/>
          <w:szCs w:val="36"/>
          <w:highlight w:val="none"/>
          <w14:textFill>
            <w14:solidFill>
              <w14:schemeClr w14:val="tx1"/>
            </w14:solidFill>
          </w14:textFill>
        </w:rPr>
        <w:t>建设单位（盖章）：</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泰州</w:t>
      </w:r>
      <w:r>
        <w:rPr>
          <w:rFonts w:hint="default" w:ascii="Times New Roman" w:hAnsi="Times New Roman" w:eastAsia="宋体" w:cs="Times New Roman"/>
          <w:color w:val="000000" w:themeColor="text1"/>
          <w:sz w:val="36"/>
          <w:szCs w:val="36"/>
          <w:highlight w:val="none"/>
          <w:u w:val="single"/>
          <w:lang w:val="en-US" w:eastAsia="zh-CN"/>
          <w14:textFill>
            <w14:solidFill>
              <w14:schemeClr w14:val="tx1"/>
            </w14:solidFill>
          </w14:textFill>
        </w:rPr>
        <w:t>英格伟精密机械</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有限公司</w:t>
      </w:r>
      <w:r>
        <w:rPr>
          <w:rFonts w:hint="eastAsia" w:cs="Times New Roman"/>
          <w:color w:val="000000" w:themeColor="text1"/>
          <w:sz w:val="36"/>
          <w:szCs w:val="36"/>
          <w:highlight w:val="none"/>
          <w:u w:val="single"/>
          <w:lang w:val="en-US" w:eastAsia="zh-CN"/>
          <w14:textFill>
            <w14:solidFill>
              <w14:schemeClr w14:val="tx1"/>
            </w14:solidFill>
          </w14:textFill>
        </w:rPr>
        <w:t xml:space="preserve"> </w:t>
      </w:r>
    </w:p>
    <w:p>
      <w:pPr>
        <w:spacing w:line="360" w:lineRule="auto"/>
        <w:rPr>
          <w:rFonts w:hint="default" w:ascii="Times New Roman" w:hAnsi="Times New Roman" w:eastAsia="宋体" w:cs="Times New Roman"/>
          <w:color w:val="000000" w:themeColor="text1"/>
          <w:sz w:val="36"/>
          <w:szCs w:val="36"/>
          <w:highlight w:val="none"/>
          <w14:textFill>
            <w14:solidFill>
              <w14:schemeClr w14:val="tx1"/>
            </w14:solidFill>
          </w14:textFill>
        </w:rPr>
      </w:pPr>
      <w:r>
        <w:rPr>
          <w:rFonts w:hint="default" w:ascii="Times New Roman" w:hAnsi="Times New Roman" w:eastAsia="宋体" w:cs="Times New Roman"/>
          <w:color w:val="000000" w:themeColor="text1"/>
          <w:sz w:val="36"/>
          <w:szCs w:val="36"/>
          <w:highlight w:val="none"/>
          <w14:textFill>
            <w14:solidFill>
              <w14:schemeClr w14:val="tx1"/>
            </w14:solidFill>
          </w14:textFill>
        </w:rPr>
        <w:t>编  制  日  期 ：</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 xml:space="preserve">        202</w:t>
      </w:r>
      <w:r>
        <w:rPr>
          <w:rFonts w:hint="eastAsia" w:cs="Times New Roman"/>
          <w:color w:val="000000" w:themeColor="text1"/>
          <w:sz w:val="36"/>
          <w:szCs w:val="36"/>
          <w:highlight w:val="none"/>
          <w:u w:val="single"/>
          <w:lang w:val="en-US" w:eastAsia="zh-CN"/>
          <w14:textFill>
            <w14:solidFill>
              <w14:schemeClr w14:val="tx1"/>
            </w14:solidFill>
          </w14:textFill>
        </w:rPr>
        <w:t>4</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年</w:t>
      </w:r>
      <w:r>
        <w:rPr>
          <w:rFonts w:hint="eastAsia" w:cs="Times New Roman"/>
          <w:color w:val="000000" w:themeColor="text1"/>
          <w:sz w:val="36"/>
          <w:szCs w:val="36"/>
          <w:highlight w:val="none"/>
          <w:u w:val="single"/>
          <w:lang w:val="en-US" w:eastAsia="zh-CN"/>
          <w14:textFill>
            <w14:solidFill>
              <w14:schemeClr w14:val="tx1"/>
            </w14:solidFill>
          </w14:textFill>
        </w:rPr>
        <w:t>2</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 xml:space="preserve">月   </w:t>
      </w:r>
      <w:r>
        <w:rPr>
          <w:rFonts w:hint="eastAsia" w:cs="Times New Roman"/>
          <w:color w:val="000000" w:themeColor="text1"/>
          <w:sz w:val="36"/>
          <w:szCs w:val="36"/>
          <w:highlight w:val="none"/>
          <w:u w:val="singl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 xml:space="preserve">   </w:t>
      </w:r>
      <w:r>
        <w:rPr>
          <w:rFonts w:hint="eastAsia" w:cs="Times New Roman"/>
          <w:color w:val="000000" w:themeColor="text1"/>
          <w:sz w:val="36"/>
          <w:szCs w:val="36"/>
          <w:highlight w:val="none"/>
          <w:u w:val="singl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36"/>
          <w:szCs w:val="36"/>
          <w:highlight w:val="none"/>
          <w:u w:val="single"/>
          <w14:textFill>
            <w14:solidFill>
              <w14:schemeClr w14:val="tx1"/>
            </w14:solidFill>
          </w14:textFill>
        </w:rPr>
        <w:t xml:space="preserve">  </w:t>
      </w:r>
    </w:p>
    <w:p>
      <w:pPr>
        <w:adjustRightInd w:val="0"/>
        <w:snapToGrid w:val="0"/>
        <w:spacing w:line="288" w:lineRule="auto"/>
        <w:jc w:val="center"/>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jc w:val="left"/>
        <w:rPr>
          <w:rFonts w:hint="default" w:ascii="Times New Roman" w:hAnsi="Times New Roman" w:eastAsia="宋体" w:cs="Times New Roman"/>
          <w:color w:val="000000" w:themeColor="text1"/>
          <w:highlight w:val="none"/>
          <w14:textFill>
            <w14:solidFill>
              <w14:schemeClr w14:val="tx1"/>
            </w14:solidFill>
          </w14:textFill>
        </w:rPr>
      </w:pPr>
    </w:p>
    <w:p>
      <w:pPr>
        <w:adjustRightInd w:val="0"/>
        <w:snapToGrid w:val="0"/>
        <w:spacing w:line="288" w:lineRule="auto"/>
        <w:jc w:val="left"/>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adjustRightInd w:val="0"/>
        <w:snapToGrid w:val="0"/>
        <w:spacing w:line="288" w:lineRule="auto"/>
        <w:jc w:val="left"/>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pStyle w:val="26"/>
        <w:shd w:val="clear" w:color="auto" w:fill="auto"/>
        <w:jc w:val="left"/>
        <w:rPr>
          <w:rFonts w:hint="default" w:ascii="Times New Roman" w:hAnsi="Times New Roman" w:eastAsia="宋体" w:cs="Times New Roman"/>
          <w:color w:val="000000" w:themeColor="text1"/>
          <w:sz w:val="36"/>
          <w:szCs w:val="36"/>
          <w:highlight w:val="none"/>
          <w14:textFill>
            <w14:solidFill>
              <w14:schemeClr w14:val="tx1"/>
            </w14:solidFill>
          </w14:textFill>
        </w:rPr>
      </w:pPr>
    </w:p>
    <w:p>
      <w:pPr>
        <w:widowControl w:val="0"/>
        <w:spacing w:before="60" w:line="240" w:lineRule="auto"/>
        <w:ind w:firstLine="0" w:firstLineChars="0"/>
        <w:jc w:val="left"/>
        <w:rPr>
          <w:rFonts w:hint="default" w:ascii="Times New Roman" w:hAnsi="Times New Roman" w:eastAsia="宋体" w:cs="Times New Roman"/>
          <w:color w:val="000000" w:themeColor="text1"/>
          <w:kern w:val="0"/>
          <w:sz w:val="36"/>
          <w:szCs w:val="36"/>
          <w:highlight w:val="none"/>
          <w:lang w:val="en-US" w:eastAsia="zh-CN" w:bidi="ar-SA"/>
          <w14:textFill>
            <w14:solidFill>
              <w14:schemeClr w14:val="tx1"/>
            </w14:solidFill>
          </w14:textFill>
        </w:rPr>
      </w:pPr>
    </w:p>
    <w:p>
      <w:pPr>
        <w:widowControl/>
        <w:spacing w:before="100" w:beforeAutospacing="1" w:after="100" w:afterAutospacing="1"/>
        <w:jc w:val="center"/>
        <w:outlineLvl w:val="0"/>
        <w:rPr>
          <w:snapToGrid w:val="0"/>
          <w:color w:val="000000" w:themeColor="text1"/>
          <w:kern w:val="0"/>
          <w:sz w:val="30"/>
          <w:szCs w:val="30"/>
          <w14:textFill>
            <w14:solidFill>
              <w14:schemeClr w14:val="tx1"/>
            </w14:solidFill>
          </w14:textFill>
        </w:rPr>
        <w:sectPr>
          <w:headerReference r:id="rId3"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eastAsia="宋体" w:cs="Times New Roman"/>
          <w:color w:val="000000" w:themeColor="text1"/>
          <w:sz w:val="36"/>
          <w:szCs w:val="36"/>
          <w:highlight w:val="none"/>
          <w14:textFill>
            <w14:solidFill>
              <w14:schemeClr w14:val="tx1"/>
            </w14:solidFill>
          </w14:textFill>
        </w:rPr>
        <w:t>中华人民共和国生态环境部制</w:t>
      </w:r>
    </w:p>
    <w:p>
      <w:pPr>
        <w:widowControl/>
        <w:spacing w:before="100" w:beforeAutospacing="1" w:after="100" w:afterAutospacing="1"/>
        <w:jc w:val="center"/>
        <w:outlineLvl w:val="0"/>
        <w:rPr>
          <w:color w:val="000000" w:themeColor="text1"/>
          <w:kern w:val="0"/>
          <w:sz w:val="24"/>
          <w:szCs w:val="20"/>
          <w14:textFill>
            <w14:solidFill>
              <w14:schemeClr w14:val="tx1"/>
            </w14:solidFill>
          </w14:textFill>
        </w:rPr>
      </w:pPr>
      <w:r>
        <w:rPr>
          <w:snapToGrid w:val="0"/>
          <w:color w:val="000000" w:themeColor="text1"/>
          <w:kern w:val="0"/>
          <w:sz w:val="30"/>
          <w:szCs w:val="30"/>
          <w14:textFill>
            <w14:solidFill>
              <w14:schemeClr w14:val="tx1"/>
            </w14:solidFill>
          </w14:textFill>
        </w:rPr>
        <w:t>一、建设项目基本情况</w:t>
      </w:r>
      <w:bookmarkEnd w:id="0"/>
      <w:bookmarkEnd w:id="1"/>
    </w:p>
    <w:tbl>
      <w:tblPr>
        <w:tblStyle w:val="19"/>
        <w:tblW w:w="88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73"/>
        <w:gridCol w:w="2745"/>
        <w:gridCol w:w="1600"/>
        <w:gridCol w:w="31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建设项目名称</w:t>
            </w:r>
          </w:p>
        </w:tc>
        <w:tc>
          <w:tcPr>
            <w:tcW w:w="7499" w:type="dxa"/>
            <w:gridSpan w:val="3"/>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汽车零部件及高端装备国际配套零部件项目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项目代码</w:t>
            </w:r>
          </w:p>
        </w:tc>
        <w:tc>
          <w:tcPr>
            <w:tcW w:w="7499" w:type="dxa"/>
            <w:gridSpan w:val="3"/>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2311-321202-89-01-692106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建设单位联系人</w:t>
            </w:r>
          </w:p>
        </w:tc>
        <w:tc>
          <w:tcPr>
            <w:tcW w:w="2745"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施小敏</w:t>
            </w:r>
          </w:p>
        </w:tc>
        <w:tc>
          <w:tcPr>
            <w:tcW w:w="1600"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3154"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15896004253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建设地点</w:t>
            </w:r>
          </w:p>
        </w:tc>
        <w:tc>
          <w:tcPr>
            <w:tcW w:w="7499" w:type="dxa"/>
            <w:gridSpan w:val="3"/>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江苏省泰州市海陵区海陵工业园兴陵路28号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地理坐标</w:t>
            </w:r>
          </w:p>
        </w:tc>
        <w:tc>
          <w:tcPr>
            <w:tcW w:w="7499" w:type="dxa"/>
            <w:gridSpan w:val="3"/>
            <w:tcBorders>
              <w:tl2br w:val="nil"/>
              <w:tr2bl w:val="nil"/>
            </w:tcBorders>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color w:val="000000" w:themeColor="text1"/>
                <w:sz w:val="24"/>
                <w:u w:val="single"/>
                <w14:textFill>
                  <w14:solidFill>
                    <w14:schemeClr w14:val="tx1"/>
                  </w14:solidFill>
                </w14:textFill>
              </w:rPr>
              <w:t>119</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5</w:t>
            </w:r>
            <w:r>
              <w:rPr>
                <w:rFonts w:hint="eastAsia"/>
                <w:color w:val="000000" w:themeColor="text1"/>
                <w:sz w:val="24"/>
                <w:u w:val="single"/>
                <w14:textFill>
                  <w14:solidFill>
                    <w14:schemeClr w14:val="tx1"/>
                  </w14:solidFill>
                </w14:textFill>
              </w:rPr>
              <w:t>8</w:t>
            </w:r>
            <w:r>
              <w:rPr>
                <w:color w:val="000000" w:themeColor="text1"/>
                <w:sz w:val="24"/>
                <w14:textFill>
                  <w14:solidFill>
                    <w14:schemeClr w14:val="tx1"/>
                  </w14:solidFill>
                </w14:textFill>
              </w:rPr>
              <w:t>分</w:t>
            </w:r>
            <w:r>
              <w:rPr>
                <w:color w:val="000000" w:themeColor="text1"/>
                <w:sz w:val="24"/>
                <w:u w:val="single"/>
                <w14:textFill>
                  <w14:solidFill>
                    <w14:schemeClr w14:val="tx1"/>
                  </w14:solidFill>
                </w14:textFill>
              </w:rPr>
              <w:t>59.180</w:t>
            </w:r>
            <w:r>
              <w:rPr>
                <w:color w:val="000000" w:themeColor="text1"/>
                <w:sz w:val="24"/>
                <w14:textFill>
                  <w14:solidFill>
                    <w14:schemeClr w14:val="tx1"/>
                  </w14:solidFill>
                </w14:textFill>
              </w:rPr>
              <w:t>秒，</w:t>
            </w:r>
            <w:r>
              <w:rPr>
                <w:color w:val="000000" w:themeColor="text1"/>
                <w:sz w:val="24"/>
                <w:u w:val="single"/>
                <w14:textFill>
                  <w14:solidFill>
                    <w14:schemeClr w14:val="tx1"/>
                  </w14:solidFill>
                </w14:textFill>
              </w:rPr>
              <w:t>32</w:t>
            </w:r>
            <w:r>
              <w:rPr>
                <w:color w:val="000000" w:themeColor="text1"/>
                <w:sz w:val="24"/>
                <w14:textFill>
                  <w14:solidFill>
                    <w14:schemeClr w14:val="tx1"/>
                  </w14:solidFill>
                </w14:textFill>
              </w:rPr>
              <w:t>度</w:t>
            </w:r>
            <w:r>
              <w:rPr>
                <w:color w:val="000000" w:themeColor="text1"/>
                <w:sz w:val="24"/>
                <w:u w:val="single"/>
                <w14:textFill>
                  <w14:solidFill>
                    <w14:schemeClr w14:val="tx1"/>
                  </w14:solidFill>
                </w14:textFill>
              </w:rPr>
              <w:t>2</w:t>
            </w:r>
            <w:r>
              <w:rPr>
                <w:rFonts w:hint="eastAsia"/>
                <w:color w:val="000000" w:themeColor="text1"/>
                <w:sz w:val="24"/>
                <w:u w:val="single"/>
                <w14:textFill>
                  <w14:solidFill>
                    <w14:schemeClr w14:val="tx1"/>
                  </w14:solidFill>
                </w14:textFill>
              </w:rPr>
              <w:t>8</w:t>
            </w:r>
            <w:r>
              <w:rPr>
                <w:color w:val="000000" w:themeColor="text1"/>
                <w:sz w:val="24"/>
                <w14:textFill>
                  <w14:solidFill>
                    <w14:schemeClr w14:val="tx1"/>
                  </w14:solidFill>
                </w14:textFill>
              </w:rPr>
              <w:t>分</w:t>
            </w:r>
            <w:r>
              <w:rPr>
                <w:rFonts w:hint="eastAsia"/>
                <w:color w:val="000000" w:themeColor="text1"/>
                <w:sz w:val="24"/>
                <w:u w:val="single"/>
                <w14:textFill>
                  <w14:solidFill>
                    <w14:schemeClr w14:val="tx1"/>
                  </w14:solidFill>
                </w14:textFill>
              </w:rPr>
              <w:t>8.570</w:t>
            </w:r>
            <w:r>
              <w:rPr>
                <w:color w:val="000000" w:themeColor="text1"/>
                <w:sz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国民经济行业类别</w:t>
            </w:r>
          </w:p>
        </w:tc>
        <w:tc>
          <w:tcPr>
            <w:tcW w:w="2745"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[C3484]机械零部件加工；[C3670]汽车零部件及配件制造</w:t>
            </w:r>
          </w:p>
        </w:tc>
        <w:tc>
          <w:tcPr>
            <w:tcW w:w="1600"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bookmarkStart w:id="2" w:name="_Hlk49843745"/>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bookmarkEnd w:id="2"/>
          </w:p>
        </w:tc>
        <w:tc>
          <w:tcPr>
            <w:tcW w:w="3154" w:type="dxa"/>
            <w:tcBorders>
              <w:tl2br w:val="nil"/>
              <w:tr2bl w:val="nil"/>
            </w:tcBorders>
            <w:vAlign w:val="center"/>
          </w:tcPr>
          <w:p>
            <w:pPr>
              <w:tabs>
                <w:tab w:val="left" w:pos="214"/>
                <w:tab w:val="center" w:pos="1372"/>
              </w:tabs>
              <w:adjustRightInd w:val="0"/>
              <w:snapToGrid w:val="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三十一、通用设备制造业</w:t>
            </w:r>
            <w:r>
              <w:rPr>
                <w:rFonts w:hint="eastAsia"/>
                <w:color w:val="000000" w:themeColor="text1"/>
                <w:sz w:val="24"/>
                <w14:textFill>
                  <w14:solidFill>
                    <w14:schemeClr w14:val="tx1"/>
                  </w14:solidFill>
                </w14:textFill>
              </w:rPr>
              <w:t xml:space="preserve"> 34 通用零部件制造 348 其他；</w:t>
            </w:r>
            <w:r>
              <w:rPr>
                <w:color w:val="000000" w:themeColor="text1"/>
                <w:sz w:val="24"/>
                <w14:textFill>
                  <w14:solidFill>
                    <w14:schemeClr w14:val="tx1"/>
                  </w14:solidFill>
                </w14:textFill>
              </w:rPr>
              <w:t>三十三、汽车制造业 36</w:t>
            </w:r>
            <w:r>
              <w:rPr>
                <w:rFonts w:hint="eastAsia"/>
                <w:color w:val="000000" w:themeColor="text1"/>
                <w:sz w:val="24"/>
                <w14:textFill>
                  <w14:solidFill>
                    <w14:schemeClr w14:val="tx1"/>
                  </w14:solidFill>
                </w14:textFill>
              </w:rPr>
              <w:t xml:space="preserve"> 汽车零部件及配件制造 367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建设性质</w:t>
            </w:r>
          </w:p>
        </w:tc>
        <w:tc>
          <w:tcPr>
            <w:tcW w:w="2745" w:type="dxa"/>
            <w:tcBorders>
              <w:tl2br w:val="nil"/>
              <w:tr2bl w:val="nil"/>
            </w:tcBorders>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新建（迁建）</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改建</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扩建</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技术改造</w:t>
            </w:r>
          </w:p>
        </w:tc>
        <w:tc>
          <w:tcPr>
            <w:tcW w:w="1600"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Cs w:val="21"/>
                <w14:textFill>
                  <w14:solidFill>
                    <w14:schemeClr w14:val="tx1"/>
                  </w14:solidFill>
                </w14:textFill>
              </w:rPr>
            </w:pPr>
            <w:r>
              <w:rPr>
                <w:color w:val="000000" w:themeColor="text1"/>
                <w:sz w:val="24"/>
                <w14:textFill>
                  <w14:solidFill>
                    <w14:schemeClr w14:val="tx1"/>
                  </w14:solidFill>
                </w14:textFill>
              </w:rPr>
              <w:t>申报情形</w:t>
            </w:r>
          </w:p>
        </w:tc>
        <w:tc>
          <w:tcPr>
            <w:tcW w:w="3154" w:type="dxa"/>
            <w:tcBorders>
              <w:tl2br w:val="nil"/>
              <w:tr2bl w:val="nil"/>
            </w:tcBorders>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 xml:space="preserve">首次申报项目             </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不予批准后再次申报项目</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 xml:space="preserve">超五年重新审核项目     </w:t>
            </w:r>
          </w:p>
          <w:p>
            <w:pPr>
              <w:adjustRightInd w:val="0"/>
              <w:snapToGrid w:val="0"/>
              <w:rPr>
                <w:color w:val="000000" w:themeColor="text1"/>
                <w:szCs w:val="21"/>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项目审批（核准/备案）部门（选填）</w:t>
            </w:r>
          </w:p>
        </w:tc>
        <w:tc>
          <w:tcPr>
            <w:tcW w:w="2745"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泰州市海陵区行政审批局</w:t>
            </w:r>
          </w:p>
        </w:tc>
        <w:tc>
          <w:tcPr>
            <w:tcW w:w="1600"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项目审批（核准/备案）文号（选填）</w:t>
            </w:r>
          </w:p>
        </w:tc>
        <w:tc>
          <w:tcPr>
            <w:tcW w:w="3154"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泰海行审备[2023]648号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总投资</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（万元）</w:t>
            </w:r>
          </w:p>
        </w:tc>
        <w:tc>
          <w:tcPr>
            <w:tcW w:w="2745"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10500</w:t>
            </w:r>
          </w:p>
        </w:tc>
        <w:tc>
          <w:tcPr>
            <w:tcW w:w="1600"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3154"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环保投资占比（%）</w:t>
            </w:r>
          </w:p>
        </w:tc>
        <w:tc>
          <w:tcPr>
            <w:tcW w:w="2745"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w:t>
            </w:r>
            <w:r>
              <w:rPr>
                <w:color w:val="000000" w:themeColor="text1"/>
                <w:sz w:val="24"/>
                <w14:textFill>
                  <w14:solidFill>
                    <w14:schemeClr w14:val="tx1"/>
                  </w14:solidFill>
                </w14:textFill>
              </w:rPr>
              <w:t>%</w:t>
            </w:r>
          </w:p>
        </w:tc>
        <w:tc>
          <w:tcPr>
            <w:tcW w:w="1600"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3154"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73" w:type="dxa"/>
            <w:tcBorders>
              <w:tl2br w:val="nil"/>
              <w:tr2bl w:val="nil"/>
            </w:tcBorders>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是否开工建设</w:t>
            </w:r>
          </w:p>
        </w:tc>
        <w:tc>
          <w:tcPr>
            <w:tcW w:w="2745" w:type="dxa"/>
            <w:tcBorders>
              <w:tl2br w:val="nil"/>
              <w:tr2bl w:val="nil"/>
            </w:tcBorders>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否</w:t>
            </w:r>
          </w:p>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是：</w:t>
            </w:r>
            <w:r>
              <w:rPr>
                <w:color w:val="000000" w:themeColor="text1"/>
                <w:sz w:val="24"/>
                <w:u w:val="single"/>
                <w14:textFill>
                  <w14:solidFill>
                    <w14:schemeClr w14:val="tx1"/>
                  </w14:solidFill>
                </w14:textFill>
              </w:rPr>
              <w:t xml:space="preserve">             </w:t>
            </w:r>
          </w:p>
        </w:tc>
        <w:tc>
          <w:tcPr>
            <w:tcW w:w="1600" w:type="dxa"/>
            <w:tcBorders>
              <w:tl2br w:val="nil"/>
              <w:tr2bl w:val="nil"/>
            </w:tcBorders>
            <w:tcMar>
              <w:top w:w="16" w:type="dxa"/>
              <w:left w:w="16" w:type="dxa"/>
              <w:right w:w="16" w:type="dxa"/>
            </w:tcMar>
            <w:vAlign w:val="center"/>
          </w:tcPr>
          <w:p>
            <w:pPr>
              <w:adjustRightInd w:val="0"/>
              <w:snapToGrid w:val="0"/>
              <w:jc w:val="center"/>
              <w:rPr>
                <w:color w:val="000000" w:themeColor="text1"/>
                <w:spacing w:val="-6"/>
                <w:sz w:val="24"/>
                <w14:textFill>
                  <w14:solidFill>
                    <w14:schemeClr w14:val="tx1"/>
                  </w14:solidFill>
                </w14:textFill>
              </w:rPr>
            </w:pPr>
            <w:r>
              <w:rPr>
                <w:color w:val="000000" w:themeColor="text1"/>
                <w:spacing w:val="-6"/>
                <w:sz w:val="24"/>
                <w14:textFill>
                  <w14:solidFill>
                    <w14:schemeClr w14:val="tx1"/>
                  </w14:solidFill>
                </w14:textFill>
              </w:rPr>
              <w:t>用地（用海）</w:t>
            </w:r>
          </w:p>
          <w:p>
            <w:pPr>
              <w:adjustRightInd w:val="0"/>
              <w:snapToGrid w:val="0"/>
              <w:jc w:val="center"/>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面积（m</w:t>
            </w:r>
            <w:r>
              <w:rPr>
                <w:color w:val="000000" w:themeColor="text1"/>
                <w:spacing w:val="-6"/>
                <w:sz w:val="24"/>
                <w:vertAlign w:val="superscript"/>
                <w14:textFill>
                  <w14:solidFill>
                    <w14:schemeClr w14:val="tx1"/>
                  </w14:solidFill>
                </w14:textFill>
              </w:rPr>
              <w:t>2</w:t>
            </w:r>
            <w:r>
              <w:rPr>
                <w:color w:val="000000" w:themeColor="text1"/>
                <w:spacing w:val="-6"/>
                <w:sz w:val="24"/>
                <w14:textFill>
                  <w14:solidFill>
                    <w14:schemeClr w14:val="tx1"/>
                  </w14:solidFill>
                </w14:textFill>
              </w:rPr>
              <w:t>）</w:t>
            </w:r>
          </w:p>
        </w:tc>
        <w:tc>
          <w:tcPr>
            <w:tcW w:w="3154"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14028</w:t>
            </w:r>
            <w:r>
              <w:rPr>
                <w:color w:val="000000" w:themeColor="text1"/>
                <w:sz w:val="24"/>
                <w14:textFill>
                  <w14:solidFill>
                    <w14:schemeClr w14:val="tx1"/>
                  </w14:solidFill>
                </w14:textFill>
              </w:rPr>
              <w:t>（建筑面积</w:t>
            </w:r>
            <w:r>
              <w:rPr>
                <w:rFonts w:hint="eastAsia"/>
                <w:color w:val="000000" w:themeColor="text1"/>
                <w:sz w:val="24"/>
                <w14:textFill>
                  <w14:solidFill>
                    <w14:schemeClr w14:val="tx1"/>
                  </w14:solidFill>
                </w14:textFill>
              </w:rPr>
              <w:t>10313.03m</w:t>
            </w:r>
            <w:r>
              <w:rPr>
                <w:rFonts w:hint="eastAsia"/>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3"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专项评价设置情况</w:t>
            </w:r>
          </w:p>
        </w:tc>
        <w:tc>
          <w:tcPr>
            <w:tcW w:w="7499" w:type="dxa"/>
            <w:gridSpan w:val="3"/>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本项目排放废气中含有甲醛，甲醛属于《有毒有害大气污染物名录（2018）》中物质且厂界外500米范围内有环境空气保护目标，因此本项目设置大气专项评价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373" w:type="dxa"/>
            <w:tcBorders>
              <w:tl2br w:val="nil"/>
              <w:tr2bl w:val="nil"/>
            </w:tcBorders>
            <w:vAlign w:val="center"/>
          </w:tcPr>
          <w:p>
            <w:pPr>
              <w:spacing w:before="156" w:beforeLines="50"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规划情况</w:t>
            </w:r>
          </w:p>
        </w:tc>
        <w:tc>
          <w:tcPr>
            <w:tcW w:w="7499" w:type="dxa"/>
            <w:gridSpan w:val="3"/>
            <w:tcBorders>
              <w:tl2br w:val="nil"/>
              <w:tr2bl w:val="nil"/>
            </w:tcBorders>
            <w:vAlign w:val="center"/>
          </w:tcPr>
          <w:p>
            <w:pPr>
              <w:spacing w:line="288"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规划名称：《</w:t>
            </w:r>
            <w:r>
              <w:rPr>
                <w:rFonts w:eastAsia="Times New Roman"/>
                <w:color w:val="000000" w:themeColor="text1"/>
                <w:sz w:val="24"/>
                <w:lang w:val="zh-CN"/>
                <w14:textFill>
                  <w14:solidFill>
                    <w14:schemeClr w14:val="tx1"/>
                  </w14:solidFill>
                </w14:textFill>
              </w:rPr>
              <w:t>江苏泰州海陵工业园区（市级园区）开发建设规划（2021-2035）</w:t>
            </w: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73" w:type="dxa"/>
            <w:tcBorders>
              <w:tl2br w:val="nil"/>
              <w:tr2bl w:val="nil"/>
            </w:tcBorders>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规划环境影响评价情况</w:t>
            </w:r>
          </w:p>
        </w:tc>
        <w:tc>
          <w:tcPr>
            <w:tcW w:w="7499" w:type="dxa"/>
            <w:gridSpan w:val="3"/>
            <w:tcBorders>
              <w:tl2br w:val="nil"/>
              <w:tr2bl w:val="nil"/>
            </w:tcBorders>
            <w:vAlign w:val="center"/>
          </w:tcPr>
          <w:p>
            <w:pPr>
              <w:spacing w:line="288"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规划环评名称：《</w:t>
            </w:r>
            <w:r>
              <w:rPr>
                <w:color w:val="000000" w:themeColor="text1"/>
                <w:sz w:val="24"/>
                <w:lang w:val="zh-CN"/>
                <w14:textFill>
                  <w14:solidFill>
                    <w14:schemeClr w14:val="tx1"/>
                  </w14:solidFill>
                </w14:textFill>
              </w:rPr>
              <w:t>江苏泰州海陵工业园区（市级园区）开发建设规划（2021-2035）环境影响报告书</w:t>
            </w:r>
            <w:r>
              <w:rPr>
                <w:color w:val="000000" w:themeColor="text1"/>
                <w:sz w:val="24"/>
                <w14:textFill>
                  <w14:solidFill>
                    <w14:schemeClr w14:val="tx1"/>
                  </w14:solidFill>
                </w14:textFill>
              </w:rPr>
              <w:t>》；</w:t>
            </w:r>
          </w:p>
          <w:p>
            <w:pPr>
              <w:spacing w:line="288"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审查机关：泰州市</w:t>
            </w:r>
            <w:r>
              <w:rPr>
                <w:rFonts w:hint="eastAsia"/>
                <w:color w:val="000000" w:themeColor="text1"/>
                <w:sz w:val="24"/>
                <w14:textFill>
                  <w14:solidFill>
                    <w14:schemeClr w14:val="tx1"/>
                  </w14:solidFill>
                </w14:textFill>
              </w:rPr>
              <w:t>生态环境局</w:t>
            </w:r>
            <w:r>
              <w:rPr>
                <w:color w:val="000000" w:themeColor="text1"/>
                <w:sz w:val="24"/>
                <w14:textFill>
                  <w14:solidFill>
                    <w14:schemeClr w14:val="tx1"/>
                  </w14:solidFill>
                </w14:textFill>
              </w:rPr>
              <w:t>；</w:t>
            </w:r>
          </w:p>
          <w:p>
            <w:pPr>
              <w:spacing w:line="288"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审查文件名称：</w:t>
            </w:r>
            <w:r>
              <w:rPr>
                <w:color w:val="000000" w:themeColor="text1"/>
                <w:sz w:val="24"/>
                <w:lang w:val="zh-CN"/>
                <w14:textFill>
                  <w14:solidFill>
                    <w14:schemeClr w14:val="tx1"/>
                  </w14:solidFill>
                </w14:textFill>
              </w:rPr>
              <w:t>关于《江苏泰州海陵工业园区（市级园区）开发建设规划（2021-2035）环境影响报告书》的审查意见</w:t>
            </w:r>
            <w:r>
              <w:rPr>
                <w:color w:val="000000" w:themeColor="text1"/>
                <w:sz w:val="24"/>
                <w14:textFill>
                  <w14:solidFill>
                    <w14:schemeClr w14:val="tx1"/>
                  </w14:solidFill>
                </w14:textFill>
              </w:rPr>
              <w:t>；</w:t>
            </w:r>
          </w:p>
          <w:p>
            <w:pPr>
              <w:spacing w:line="288"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文号：泰环审</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22]4</w:t>
            </w:r>
            <w:r>
              <w:rPr>
                <w:color w:val="000000" w:themeColor="text1"/>
                <w:sz w:val="24"/>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899" w:hRule="atLeast"/>
          <w:jc w:val="center"/>
        </w:trPr>
        <w:tc>
          <w:tcPr>
            <w:tcW w:w="1373" w:type="dxa"/>
            <w:tcBorders>
              <w:tl2br w:val="nil"/>
              <w:tr2bl w:val="nil"/>
            </w:tcBorders>
            <w:vAlign w:val="center"/>
          </w:tcPr>
          <w:p>
            <w:pPr>
              <w:autoSpaceDE w:val="0"/>
              <w:autoSpaceDN w:val="0"/>
              <w:adjustRightInd w:val="0"/>
              <w:spacing w:line="360" w:lineRule="auto"/>
              <w:jc w:val="center"/>
              <w:rPr>
                <w:color w:val="000000" w:themeColor="text1"/>
                <w:kern w:val="0"/>
                <w:szCs w:val="21"/>
                <w:highlight w:val="yellow"/>
                <w14:textFill>
                  <w14:solidFill>
                    <w14:schemeClr w14:val="tx1"/>
                  </w14:solidFill>
                </w14:textFill>
              </w:rPr>
            </w:pPr>
            <w:r>
              <w:rPr>
                <w:color w:val="000000" w:themeColor="text1"/>
                <w:kern w:val="0"/>
                <w:sz w:val="24"/>
                <w14:textFill>
                  <w14:solidFill>
                    <w14:schemeClr w14:val="tx1"/>
                  </w14:solidFill>
                </w14:textFill>
              </w:rPr>
              <w:t>规划及规划环境影响评价符合性分析</w:t>
            </w:r>
          </w:p>
        </w:tc>
        <w:tc>
          <w:tcPr>
            <w:tcW w:w="7499" w:type="dxa"/>
            <w:gridSpan w:val="3"/>
            <w:tcBorders>
              <w:tl2br w:val="nil"/>
              <w:tr2bl w:val="nil"/>
            </w:tcBorders>
            <w:vAlign w:val="center"/>
          </w:tcPr>
          <w:p>
            <w:pPr>
              <w:autoSpaceDE w:val="0"/>
              <w:autoSpaceDN w:val="0"/>
              <w:adjustRightInd w:val="0"/>
              <w:snapToGrid w:val="0"/>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1、本项目与《江苏泰州海陵工业园区（市级园区）开发建设规划（2021-2035）》相符性分析</w:t>
            </w:r>
          </w:p>
          <w:p>
            <w:pPr>
              <w:autoSpaceDE w:val="0"/>
              <w:autoSpaceDN w:val="0"/>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本项目与《江苏泰州海陵工业园区（市级园区）开发建设规划（2021-2035）》的相符性分析，详见下表。</w:t>
            </w:r>
          </w:p>
          <w:p>
            <w:pPr>
              <w:autoSpaceDE w:val="0"/>
              <w:autoSpaceDN w:val="0"/>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表1-1  与园区规划的相符性分析</w:t>
            </w:r>
          </w:p>
          <w:tbl>
            <w:tblPr>
              <w:tblStyle w:val="1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781"/>
              <w:gridCol w:w="2561"/>
              <w:gridCol w:w="9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规划主要内容</w:t>
                  </w:r>
                </w:p>
              </w:tc>
              <w:tc>
                <w:tcPr>
                  <w:tcW w:w="1758"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645"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1、规划范围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6"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规划范围：北至南通路、海姜大道-迎春路-兴泰路-兴工路-泰顺路-梅兰路-春兰路，南至永定东路，东至东环路，总用地面积约22.43平方公里。</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本项目位于江苏省泰州市海陵区海陵工业园兴陵路28号，属于园区规划范围</w:t>
                  </w:r>
                </w:p>
              </w:tc>
              <w:tc>
                <w:tcPr>
                  <w:tcW w:w="645"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2、产业定位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园区主导产业为</w:t>
                  </w:r>
                  <w:r>
                    <w:rPr>
                      <w:rFonts w:hint="eastAsia"/>
                      <w:color w:val="000000" w:themeColor="text1"/>
                      <w:szCs w:val="21"/>
                      <w14:textFill>
                        <w14:solidFill>
                          <w14:schemeClr w14:val="tx1"/>
                        </w14:solidFill>
                      </w14:textFill>
                    </w:rPr>
                    <w:t>高端装备制造</w:t>
                  </w:r>
                  <w:r>
                    <w:rPr>
                      <w:color w:val="000000" w:themeColor="text1"/>
                      <w:szCs w:val="21"/>
                      <w14:textFill>
                        <w14:solidFill>
                          <w14:schemeClr w14:val="tx1"/>
                        </w14:solidFill>
                      </w14:textFill>
                    </w:rPr>
                    <w:t>。</w:t>
                  </w:r>
                </w:p>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交通运输装备：汽车智能电子控制系统与车载智能设备、智能汽车/新能源汽车零部件等</w:t>
                  </w:r>
                  <w:r>
                    <w:rPr>
                      <w:color w:val="000000" w:themeColor="text1"/>
                      <w:szCs w:val="21"/>
                      <w14:textFill>
                        <w14:solidFill>
                          <w14:schemeClr w14:val="tx1"/>
                        </w14:solidFill>
                      </w14:textFill>
                    </w:rPr>
                    <w:t>；</w:t>
                  </w:r>
                </w:p>
                <w:p>
                  <w:pPr>
                    <w:widowControl/>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通用专用装备：泵、阀、压缩机等机械制造、通用零部件制造等，医疗、环保类专用机械设备制造等</w:t>
                  </w:r>
                  <w:r>
                    <w:rPr>
                      <w:color w:val="000000" w:themeColor="text1"/>
                      <w:szCs w:val="21"/>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电气机械及器材：太阳能电池片生产及光伏组件装配、冰箱空调生产及相关零部件制造、智能电网设备等</w:t>
                  </w:r>
                  <w:r>
                    <w:rPr>
                      <w:color w:val="000000" w:themeColor="text1"/>
                      <w:szCs w:val="21"/>
                      <w14:textFill>
                        <w14:solidFill>
                          <w14:schemeClr w14:val="tx1"/>
                        </w14:solidFill>
                      </w14:textFill>
                    </w:rPr>
                    <w:t>；</w:t>
                  </w:r>
                </w:p>
                <w:p>
                  <w:pPr>
                    <w:widowControl/>
                    <w:jc w:val="center"/>
                    <w:rPr>
                      <w:rFonts w:ascii="宋体" w:hAnsi="宋体" w:cs="宋体"/>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电子和通讯设备：电子设备、新型电子元器件、通讯设备制造、集成电路装备制造、新型电子专用材料等；</w:t>
                  </w:r>
                </w:p>
                <w:p>
                  <w:pPr>
                    <w:widowControl/>
                    <w:jc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r>
                    <w:rPr>
                      <w:rFonts w:hint="eastAsia"/>
                      <w:color w:val="000000" w:themeColor="text1"/>
                      <w:szCs w:val="21"/>
                      <w14:textFill>
                        <w14:solidFill>
                          <w14:schemeClr w14:val="tx1"/>
                        </w14:solidFill>
                      </w14:textFill>
                    </w:rPr>
                    <w:t>5）</w:t>
                  </w:r>
                  <w:r>
                    <w:rPr>
                      <w:rFonts w:hint="eastAsia" w:ascii="宋体" w:hAnsi="宋体" w:cs="宋体"/>
                      <w:color w:val="000000" w:themeColor="text1"/>
                      <w:kern w:val="0"/>
                      <w:szCs w:val="21"/>
                      <w:lang w:bidi="ar"/>
                      <w14:textFill>
                        <w14:solidFill>
                          <w14:schemeClr w14:val="tx1"/>
                        </w14:solidFill>
                      </w14:textFill>
                    </w:rPr>
                    <w:t>仪器与仪表：数字化、智能化、网络化工业自动检测仪表。</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本项目为汽车零部件及高端装备国际配套零部件项目，主要生产汽车零部件及通用专用设备，符合园区主导行业中交通运输装备、通用专用装备。</w:t>
                  </w:r>
                </w:p>
              </w:tc>
              <w:tc>
                <w:tcPr>
                  <w:tcW w:w="645"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3、用地规划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工业总用地规模约近期为587.33公顷，占规划建设用地的35.24%；远期为643.84公顷，占规划建设用地的 32.45%。</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根据企业提供的不动产权证</w:t>
                  </w:r>
                  <w:r>
                    <w:rPr>
                      <w:rFonts w:hint="eastAsia" w:ascii="Times New Roman" w:hAnsi="Times New Roman" w:eastAsia="宋体"/>
                      <w:color w:val="000000" w:themeColor="text1"/>
                      <w:sz w:val="21"/>
                      <w:szCs w:val="21"/>
                      <w14:textFill>
                        <w14:solidFill>
                          <w14:schemeClr w14:val="tx1"/>
                        </w14:solidFill>
                      </w14:textFill>
                    </w:rPr>
                    <w:t>，项目用地性质为工业用地。</w:t>
                  </w:r>
                </w:p>
              </w:tc>
              <w:tc>
                <w:tcPr>
                  <w:tcW w:w="645"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4、环保基础设施规划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96" w:type="pct"/>
                  <w:vAlign w:val="center"/>
                </w:tcPr>
                <w:p>
                  <w:pPr>
                    <w:widowControl/>
                    <w:jc w:val="center"/>
                    <w:rPr>
                      <w:color w:val="000000" w:themeColor="text1"/>
                      <w:szCs w:val="21"/>
                      <w14:textFill>
                        <w14:solidFill>
                          <w14:schemeClr w14:val="tx1"/>
                        </w14:solidFill>
                      </w14:textFill>
                    </w:rPr>
                  </w:pPr>
                  <w:r>
                    <w:rPr>
                      <w:b/>
                      <w:bCs/>
                      <w:color w:val="000000" w:themeColor="text1"/>
                      <w14:textFill>
                        <w14:solidFill>
                          <w14:schemeClr w14:val="tx1"/>
                        </w14:solidFill>
                      </w14:textFill>
                    </w:rPr>
                    <w:t>供水：</w:t>
                  </w:r>
                  <w:r>
                    <w:rPr>
                      <w:rFonts w:hint="eastAsia" w:ascii="宋体" w:hAnsi="宋体" w:cs="宋体"/>
                      <w:color w:val="000000" w:themeColor="text1"/>
                      <w:kern w:val="0"/>
                      <w:szCs w:val="21"/>
                      <w:lang w:bidi="ar"/>
                      <w14:textFill>
                        <w14:solidFill>
                          <w14:schemeClr w14:val="tx1"/>
                        </w14:solidFill>
                      </w14:textFill>
                    </w:rPr>
                    <w:t>园区的给水由区域供水（泰州市三水厂）自兴泰路</w:t>
                  </w:r>
                  <w:r>
                    <w:rPr>
                      <w:color w:val="000000" w:themeColor="text1"/>
                      <w:kern w:val="0"/>
                      <w:szCs w:val="21"/>
                      <w:lang w:bidi="ar"/>
                      <w14:textFill>
                        <w14:solidFill>
                          <w14:schemeClr w14:val="tx1"/>
                        </w14:solidFill>
                      </w14:textFill>
                    </w:rPr>
                    <w:t>DN1000</w:t>
                  </w:r>
                  <w:r>
                    <w:rPr>
                      <w:rFonts w:hint="eastAsia" w:ascii="宋体" w:hAnsi="宋体" w:cs="宋体"/>
                      <w:color w:val="000000" w:themeColor="text1"/>
                      <w:kern w:val="0"/>
                      <w:szCs w:val="21"/>
                      <w:lang w:bidi="ar"/>
                      <w14:textFill>
                        <w14:solidFill>
                          <w14:schemeClr w14:val="tx1"/>
                        </w14:solidFill>
                      </w14:textFill>
                    </w:rPr>
                    <w:t>接口接入，与园区内给水管网相连接形成环网供水。给水管网布置成环状网，以确保供水安全。给水主干管管径为</w:t>
                  </w:r>
                  <w:r>
                    <w:rPr>
                      <w:color w:val="000000" w:themeColor="text1"/>
                      <w:kern w:val="0"/>
                      <w:szCs w:val="21"/>
                      <w:lang w:bidi="ar"/>
                      <w14:textFill>
                        <w14:solidFill>
                          <w14:schemeClr w14:val="tx1"/>
                        </w14:solidFill>
                      </w14:textFill>
                    </w:rPr>
                    <w:t>DN100</w:t>
                  </w:r>
                  <w:r>
                    <w:rPr>
                      <w:rFonts w:hint="eastAsia" w:ascii="宋体" w:hAnsi="宋体" w:cs="宋体"/>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DN800</w:t>
                  </w:r>
                  <w:r>
                    <w:rPr>
                      <w:rFonts w:hint="eastAsia" w:ascii="宋体" w:hAnsi="宋体" w:cs="宋体"/>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DN600</w:t>
                  </w:r>
                  <w:r>
                    <w:rPr>
                      <w:rFonts w:hint="eastAsia" w:ascii="宋体" w:hAnsi="宋体" w:cs="宋体"/>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DN560</w:t>
                  </w:r>
                  <w:r>
                    <w:rPr>
                      <w:rFonts w:hint="eastAsia" w:ascii="宋体" w:hAnsi="宋体" w:cs="宋体"/>
                      <w:color w:val="000000" w:themeColor="text1"/>
                      <w:kern w:val="0"/>
                      <w:szCs w:val="21"/>
                      <w:lang w:bidi="ar"/>
                      <w14:textFill>
                        <w14:solidFill>
                          <w14:schemeClr w14:val="tx1"/>
                        </w14:solidFill>
                      </w14:textFill>
                    </w:rPr>
                    <w:t>，主要布置在兴泰路，春兰路、运河路、南通路、海姜大道、迎春路、济川路、梅兰路、凤凰路、京泰路上，在其他路上布置</w:t>
                  </w:r>
                  <w:r>
                    <w:rPr>
                      <w:color w:val="000000" w:themeColor="text1"/>
                      <w:kern w:val="0"/>
                      <w:szCs w:val="21"/>
                      <w:lang w:bidi="ar"/>
                      <w14:textFill>
                        <w14:solidFill>
                          <w14:schemeClr w14:val="tx1"/>
                        </w14:solidFill>
                      </w14:textFill>
                    </w:rPr>
                    <w:t>DN300</w:t>
                  </w:r>
                  <w:r>
                    <w:rPr>
                      <w:rFonts w:hint="eastAsia" w:ascii="宋体" w:hAnsi="宋体" w:cs="宋体"/>
                      <w:color w:val="000000" w:themeColor="text1"/>
                      <w:kern w:val="0"/>
                      <w:szCs w:val="21"/>
                      <w:lang w:bidi="ar"/>
                      <w14:textFill>
                        <w14:solidFill>
                          <w14:schemeClr w14:val="tx1"/>
                        </w14:solidFill>
                      </w14:textFill>
                    </w:rPr>
                    <w:t>给水管。</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本项目依托园区供水管网</w:t>
                  </w:r>
                  <w:r>
                    <w:rPr>
                      <w:rFonts w:hint="eastAsia" w:ascii="Times New Roman" w:hAnsi="Times New Roman" w:eastAsia="宋体"/>
                      <w:color w:val="000000" w:themeColor="text1"/>
                      <w:sz w:val="21"/>
                      <w:szCs w:val="21"/>
                      <w14:textFill>
                        <w14:solidFill>
                          <w14:schemeClr w14:val="tx1"/>
                        </w14:solidFill>
                      </w14:textFill>
                    </w:rPr>
                    <w:t>。</w:t>
                  </w:r>
                </w:p>
              </w:tc>
              <w:tc>
                <w:tcPr>
                  <w:tcW w:w="645"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widowControl/>
                    <w:jc w:val="center"/>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排水：</w:t>
                  </w:r>
                  <w:r>
                    <w:rPr>
                      <w:rFonts w:hint="eastAsia"/>
                      <w:color w:val="000000" w:themeColor="text1"/>
                      <w:kern w:val="0"/>
                      <w:szCs w:val="21"/>
                      <w:lang w:bidi="ar"/>
                      <w14:textFill>
                        <w14:solidFill>
                          <w14:schemeClr w14:val="tx1"/>
                        </w14:solidFill>
                      </w14:textFill>
                    </w:rPr>
                    <w:t>采用雨、污完全分流制，加强环境保护，改善水体质量。目前园区污水依托区外泰州市城南（第一）污水处理厂处理。泰州市城南（第一）污水处理厂位于本规划区西侧，济川东路与老328国道交界处。污水处理厂分两期建设，总处理规模8万吨/日，采用“多模式A</w:t>
                  </w:r>
                  <w:r>
                    <w:rPr>
                      <w:rFonts w:hint="eastAsia"/>
                      <w:color w:val="000000" w:themeColor="text1"/>
                      <w:kern w:val="0"/>
                      <w:szCs w:val="21"/>
                      <w:vertAlign w:val="superscript"/>
                      <w:lang w:bidi="ar"/>
                      <w14:textFill>
                        <w14:solidFill>
                          <w14:schemeClr w14:val="tx1"/>
                        </w14:solidFill>
                      </w14:textFill>
                    </w:rPr>
                    <w:t>2</w:t>
                  </w:r>
                  <w:r>
                    <w:rPr>
                      <w:rFonts w:hint="eastAsia"/>
                      <w:color w:val="000000" w:themeColor="text1"/>
                      <w:kern w:val="0"/>
                      <w:szCs w:val="21"/>
                      <w:lang w:bidi="ar"/>
                      <w14:textFill>
                        <w14:solidFill>
                          <w14:schemeClr w14:val="tx1"/>
                        </w14:solidFill>
                      </w14:textFill>
                    </w:rPr>
                    <w:t>O+混凝沉淀+纤维转盘过滤+二氧化氯消毒”的处理工艺，出水水质执行《城镇污水处理厂污染物排放标准》GB18918-2002一级A标准。污水处理厂排污口位于许郑河（新通扬运河南1.2km处），向西接入，经许郑河向北排入新通扬运河。根据本轮污水规划，园区现状已接管至泰州市城南（第一）污水处理厂的，维持现状。园区工业污水处理厂建成后，主要处理市级园区大得河以南、泰康路以东部分工业用地，以及省级开发区工业工地内的工业废水。其余区域的废水仍由泰州市城南（第一）污水处理厂进行处理。结合废水污染源估算接管，规划实施后主要新增生活污水</w:t>
                  </w:r>
                  <w:r>
                    <w:rPr>
                      <w:color w:val="000000" w:themeColor="text1"/>
                      <w:kern w:val="0"/>
                      <w:szCs w:val="21"/>
                      <w:lang w:bidi="ar"/>
                      <w14:textFill>
                        <w14:solidFill>
                          <w14:schemeClr w14:val="tx1"/>
                        </w14:solidFill>
                      </w14:textFill>
                    </w:rPr>
                    <w:t>2400t/d</w:t>
                  </w:r>
                  <w:r>
                    <w:rPr>
                      <w:rFonts w:hint="eastAsia"/>
                      <w:color w:val="000000" w:themeColor="text1"/>
                      <w:kern w:val="0"/>
                      <w:szCs w:val="21"/>
                      <w:lang w:bidi="ar"/>
                      <w14:textFill>
                        <w14:solidFill>
                          <w14:schemeClr w14:val="tx1"/>
                        </w14:solidFill>
                      </w14:textFill>
                    </w:rPr>
                    <w:t>，新增公共、商业、服务、市政等其他类污水</w:t>
                  </w:r>
                  <w:r>
                    <w:rPr>
                      <w:color w:val="000000" w:themeColor="text1"/>
                      <w:kern w:val="0"/>
                      <w:szCs w:val="21"/>
                      <w:lang w:bidi="ar"/>
                      <w14:textFill>
                        <w14:solidFill>
                          <w14:schemeClr w14:val="tx1"/>
                        </w14:solidFill>
                      </w14:textFill>
                    </w:rPr>
                    <w:t>270t/d</w:t>
                  </w:r>
                  <w:r>
                    <w:rPr>
                      <w:rFonts w:hint="eastAsia"/>
                      <w:color w:val="000000" w:themeColor="text1"/>
                      <w:kern w:val="0"/>
                      <w:szCs w:val="21"/>
                      <w:lang w:bidi="ar"/>
                      <w14:textFill>
                        <w14:solidFill>
                          <w14:schemeClr w14:val="tx1"/>
                        </w14:solidFill>
                      </w14:textFill>
                    </w:rPr>
                    <w:t>，接管至泰州市城南（第一）污水处理厂的新增服务、市政等其他类污水服务、市政等其他类污水</w:t>
                  </w:r>
                  <w:r>
                    <w:rPr>
                      <w:color w:val="000000" w:themeColor="text1"/>
                      <w:kern w:val="0"/>
                      <w:szCs w:val="21"/>
                      <w:lang w:bidi="ar"/>
                      <w14:textFill>
                        <w14:solidFill>
                          <w14:schemeClr w14:val="tx1"/>
                        </w14:solidFill>
                      </w14:textFill>
                    </w:rPr>
                    <w:t>270t/d</w:t>
                  </w:r>
                  <w:r>
                    <w:rPr>
                      <w:rFonts w:hint="eastAsia"/>
                      <w:color w:val="000000" w:themeColor="text1"/>
                      <w:kern w:val="0"/>
                      <w:szCs w:val="21"/>
                      <w:lang w:bidi="ar"/>
                      <w14:textFill>
                        <w14:solidFill>
                          <w14:schemeClr w14:val="tx1"/>
                        </w14:solidFill>
                      </w14:textFill>
                    </w:rPr>
                    <w:t>，接管至泰州市城南（第一）污水处理厂的新增污水量合计</w:t>
                  </w:r>
                  <w:r>
                    <w:rPr>
                      <w:color w:val="000000" w:themeColor="text1"/>
                      <w:kern w:val="0"/>
                      <w:szCs w:val="21"/>
                      <w:lang w:bidi="ar"/>
                      <w14:textFill>
                        <w14:solidFill>
                          <w14:schemeClr w14:val="tx1"/>
                        </w14:solidFill>
                      </w14:textFill>
                    </w:rPr>
                    <w:t>2670t/d</w:t>
                  </w:r>
                  <w:r>
                    <w:rPr>
                      <w:rFonts w:hint="eastAsia"/>
                      <w:color w:val="000000" w:themeColor="text1"/>
                      <w:kern w:val="0"/>
                      <w:szCs w:val="21"/>
                      <w:lang w:bidi="ar"/>
                      <w14:textFill>
                        <w14:solidFill>
                          <w14:schemeClr w14:val="tx1"/>
                        </w14:solidFill>
                      </w14:textFill>
                    </w:rPr>
                    <w:t>。污水厂目前运营平均日处理量约</w:t>
                  </w:r>
                  <w:r>
                    <w:rPr>
                      <w:color w:val="000000" w:themeColor="text1"/>
                      <w:kern w:val="0"/>
                      <w:szCs w:val="21"/>
                      <w:lang w:bidi="ar"/>
                      <w14:textFill>
                        <w14:solidFill>
                          <w14:schemeClr w14:val="tx1"/>
                        </w14:solidFill>
                      </w14:textFill>
                    </w:rPr>
                    <w:t>5.5</w:t>
                  </w:r>
                  <w:r>
                    <w:rPr>
                      <w:rFonts w:hint="eastAsia"/>
                      <w:color w:val="000000" w:themeColor="text1"/>
                      <w:kern w:val="0"/>
                      <w:szCs w:val="21"/>
                      <w:lang w:bidi="ar"/>
                      <w14:textFill>
                        <w14:solidFill>
                          <w14:schemeClr w14:val="tx1"/>
                        </w14:solidFill>
                      </w14:textFill>
                    </w:rPr>
                    <w:t>万</w:t>
                  </w:r>
                  <w:r>
                    <w:rPr>
                      <w:color w:val="000000" w:themeColor="text1"/>
                      <w:kern w:val="0"/>
                      <w:szCs w:val="21"/>
                      <w:lang w:bidi="ar"/>
                      <w14:textFill>
                        <w14:solidFill>
                          <w14:schemeClr w14:val="tx1"/>
                        </w14:solidFill>
                      </w14:textFill>
                    </w:rPr>
                    <w:t>t/d</w:t>
                  </w:r>
                  <w:r>
                    <w:rPr>
                      <w:rFonts w:hint="eastAsia"/>
                      <w:color w:val="000000" w:themeColor="text1"/>
                      <w:kern w:val="0"/>
                      <w:szCs w:val="21"/>
                      <w:lang w:bidi="ar"/>
                      <w14:textFill>
                        <w14:solidFill>
                          <w14:schemeClr w14:val="tx1"/>
                        </w14:solidFill>
                      </w14:textFill>
                    </w:rPr>
                    <w:t>，尚有余量</w:t>
                  </w:r>
                  <w:r>
                    <w:rPr>
                      <w:color w:val="000000" w:themeColor="text1"/>
                      <w:kern w:val="0"/>
                      <w:szCs w:val="21"/>
                      <w:lang w:bidi="ar"/>
                      <w14:textFill>
                        <w14:solidFill>
                          <w14:schemeClr w14:val="tx1"/>
                        </w14:solidFill>
                      </w14:textFill>
                    </w:rPr>
                    <w:t>2.5</w:t>
                  </w:r>
                  <w:r>
                    <w:rPr>
                      <w:rFonts w:hint="eastAsia"/>
                      <w:color w:val="000000" w:themeColor="text1"/>
                      <w:kern w:val="0"/>
                      <w:szCs w:val="21"/>
                      <w:lang w:bidi="ar"/>
                      <w14:textFill>
                        <w14:solidFill>
                          <w14:schemeClr w14:val="tx1"/>
                        </w14:solidFill>
                      </w14:textFill>
                    </w:rPr>
                    <w:t>万</w:t>
                  </w:r>
                  <w:r>
                    <w:rPr>
                      <w:color w:val="000000" w:themeColor="text1"/>
                      <w:kern w:val="0"/>
                      <w:szCs w:val="21"/>
                      <w:lang w:bidi="ar"/>
                      <w14:textFill>
                        <w14:solidFill>
                          <w14:schemeClr w14:val="tx1"/>
                        </w14:solidFill>
                      </w14:textFill>
                    </w:rPr>
                    <w:t>t/d</w:t>
                  </w:r>
                  <w:r>
                    <w:rPr>
                      <w:rFonts w:hint="eastAsia"/>
                      <w:color w:val="000000" w:themeColor="text1"/>
                      <w:kern w:val="0"/>
                      <w:szCs w:val="21"/>
                      <w:lang w:bidi="ar"/>
                      <w14:textFill>
                        <w14:solidFill>
                          <w14:schemeClr w14:val="tx1"/>
                        </w14:solidFill>
                      </w14:textFill>
                    </w:rPr>
                    <w:t>，足以接纳本规划实施后的新增污水接管量需求。</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本项目实施雨污分流</w:t>
                  </w:r>
                  <w:r>
                    <w:rPr>
                      <w:rFonts w:ascii="Times New Roman" w:hAnsi="Times New Roman" w:eastAsia="宋体"/>
                      <w:color w:val="000000" w:themeColor="text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生活</w:t>
                  </w:r>
                  <w:r>
                    <w:rPr>
                      <w:rFonts w:hint="eastAsia" w:ascii="Times New Roman" w:hAnsi="Times New Roman" w:eastAsia="宋体"/>
                      <w:color w:val="000000" w:themeColor="text1"/>
                      <w:sz w:val="21"/>
                      <w:szCs w:val="21"/>
                      <w14:textFill>
                        <w14:solidFill>
                          <w14:schemeClr w14:val="tx1"/>
                        </w14:solidFill>
                      </w14:textFill>
                    </w:rPr>
                    <w:t>污</w:t>
                  </w:r>
                  <w:r>
                    <w:rPr>
                      <w:rFonts w:ascii="Times New Roman" w:hAnsi="Times New Roman" w:eastAsia="宋体"/>
                      <w:color w:val="000000" w:themeColor="text1"/>
                      <w:sz w:val="21"/>
                      <w:szCs w:val="21"/>
                      <w14:textFill>
                        <w14:solidFill>
                          <w14:schemeClr w14:val="tx1"/>
                        </w14:solidFill>
                      </w14:textFill>
                    </w:rPr>
                    <w:t>水</w:t>
                  </w:r>
                  <w:r>
                    <w:rPr>
                      <w:rFonts w:hint="eastAsia" w:ascii="Times New Roman" w:hAnsi="Times New Roman" w:eastAsia="宋体"/>
                      <w:color w:val="000000" w:themeColor="text1"/>
                      <w:sz w:val="21"/>
                      <w:szCs w:val="21"/>
                      <w14:textFill>
                        <w14:solidFill>
                          <w14:schemeClr w14:val="tx1"/>
                        </w14:solidFill>
                      </w14:textFill>
                    </w:rPr>
                    <w:t>经化粪池预处理后接管</w:t>
                  </w:r>
                  <w:r>
                    <w:rPr>
                      <w:rFonts w:hint="eastAsia" w:ascii="Times New Roman" w:hAnsi="Times New Roman" w:eastAsia="宋体"/>
                      <w:color w:val="000000" w:themeColor="text1"/>
                      <w:sz w:val="21"/>
                      <w:szCs w:val="21"/>
                      <w:lang w:eastAsia="zh-CN"/>
                      <w14:textFill>
                        <w14:solidFill>
                          <w14:schemeClr w14:val="tx1"/>
                        </w14:solidFill>
                      </w14:textFill>
                    </w:rPr>
                    <w:t>启迪浦华（泰州）水务有限公司</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与园区规划内容相符</w:t>
                  </w:r>
                  <w:r>
                    <w:rPr>
                      <w:rFonts w:hint="eastAsia" w:ascii="Times New Roman" w:hAnsi="Times New Roman" w:eastAsia="宋体"/>
                      <w:color w:val="000000" w:themeColor="text1"/>
                      <w:sz w:val="21"/>
                      <w:szCs w:val="21"/>
                      <w14:textFill>
                        <w14:solidFill>
                          <w14:schemeClr w14:val="tx1"/>
                        </w14:solidFill>
                      </w14:textFill>
                    </w:rPr>
                    <w:t>。</w:t>
                  </w:r>
                </w:p>
              </w:tc>
              <w:tc>
                <w:tcPr>
                  <w:tcW w:w="6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widowControl/>
                    <w:jc w:val="center"/>
                    <w:rPr>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供</w:t>
                  </w:r>
                  <w:r>
                    <w:rPr>
                      <w:rFonts w:hint="eastAsia"/>
                      <w:b/>
                      <w:bCs/>
                      <w:color w:val="000000" w:themeColor="text1"/>
                      <w:kern w:val="0"/>
                      <w:szCs w:val="21"/>
                      <w14:textFill>
                        <w14:solidFill>
                          <w14:schemeClr w14:val="tx1"/>
                        </w14:solidFill>
                      </w14:textFill>
                    </w:rPr>
                    <w:t>电</w:t>
                  </w:r>
                  <w:r>
                    <w:rPr>
                      <w:b/>
                      <w:bCs/>
                      <w:color w:val="000000" w:themeColor="text1"/>
                      <w:kern w:val="0"/>
                      <w:szCs w:val="21"/>
                      <w14:textFill>
                        <w14:solidFill>
                          <w14:schemeClr w14:val="tx1"/>
                        </w14:solidFill>
                      </w14:textFill>
                    </w:rPr>
                    <w:t>：</w:t>
                  </w:r>
                  <w:r>
                    <w:rPr>
                      <w:color w:val="000000" w:themeColor="text1"/>
                      <w:kern w:val="0"/>
                      <w:szCs w:val="21"/>
                      <w:lang w:bidi="ar"/>
                      <w14:textFill>
                        <w14:solidFill>
                          <w14:schemeClr w14:val="tx1"/>
                        </w14:solidFill>
                      </w14:textFill>
                    </w:rPr>
                    <w:t>近期，由110K泰州变电所、110KV 响林变电所和220KV海工变电所向区内提供电源。远期，由海陵</w:t>
                  </w:r>
                  <w:r>
                    <w:rPr>
                      <w:rFonts w:hint="eastAsia"/>
                      <w:color w:val="000000" w:themeColor="text1"/>
                      <w:kern w:val="0"/>
                      <w:szCs w:val="21"/>
                      <w:lang w:bidi="ar"/>
                      <w14:textFill>
                        <w14:solidFill>
                          <w14:schemeClr w14:val="tx1"/>
                        </w14:solidFill>
                      </w14:textFill>
                    </w:rPr>
                    <w:t>工业园区</w:t>
                  </w:r>
                  <w:r>
                    <w:rPr>
                      <w:color w:val="000000" w:themeColor="text1"/>
                      <w:kern w:val="0"/>
                      <w:szCs w:val="21"/>
                      <w:lang w:bidi="ar"/>
                      <w14:textFill>
                        <w14:solidFill>
                          <w14:schemeClr w14:val="tx1"/>
                        </w14:solidFill>
                      </w14:textFill>
                    </w:rPr>
                    <w:t>拟建的1座10KV夏棋变电所向区内提供电源。</w:t>
                  </w:r>
                </w:p>
              </w:tc>
              <w:tc>
                <w:tcPr>
                  <w:tcW w:w="1758" w:type="pct"/>
                  <w:vAlign w:val="center"/>
                </w:tcPr>
                <w:p>
                  <w:pPr>
                    <w:pStyle w:val="15"/>
                    <w:wordWrap w:val="0"/>
                    <w:topLinePunct/>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本项目供电由市政供电网系统提供。</w:t>
                  </w:r>
                </w:p>
              </w:tc>
              <w:tc>
                <w:tcPr>
                  <w:tcW w:w="6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96" w:type="pct"/>
                  <w:vAlign w:val="center"/>
                </w:tcPr>
                <w:p>
                  <w:pPr>
                    <w:widowControl/>
                    <w:jc w:val="center"/>
                    <w:rPr>
                      <w:color w:val="000000" w:themeColor="text1"/>
                      <w14:textFill>
                        <w14:solidFill>
                          <w14:schemeClr w14:val="tx1"/>
                        </w14:solidFill>
                      </w14:textFill>
                    </w:rPr>
                  </w:pPr>
                  <w:r>
                    <w:rPr>
                      <w:b/>
                      <w:bCs/>
                      <w:color w:val="000000" w:themeColor="text1"/>
                      <w:kern w:val="0"/>
                      <w:szCs w:val="21"/>
                      <w14:textFill>
                        <w14:solidFill>
                          <w14:schemeClr w14:val="tx1"/>
                        </w14:solidFill>
                      </w14:textFill>
                    </w:rPr>
                    <w:t>燃气：</w:t>
                  </w:r>
                  <w:r>
                    <w:rPr>
                      <w:rFonts w:hint="eastAsia" w:ascii="宋体" w:hAnsi="宋体" w:cs="宋体"/>
                      <w:color w:val="000000" w:themeColor="text1"/>
                      <w:kern w:val="0"/>
                      <w:szCs w:val="21"/>
                      <w:lang w:bidi="ar"/>
                      <w14:textFill>
                        <w14:solidFill>
                          <w14:schemeClr w14:val="tx1"/>
                        </w14:solidFill>
                      </w14:textFill>
                    </w:rPr>
                    <w:t>以“西气东输”天然气为气源，由泰州天然气门站统一供气。</w:t>
                  </w:r>
                </w:p>
                <w:p>
                  <w:pPr>
                    <w:pStyle w:val="28"/>
                    <w:rPr>
                      <w:rFonts w:hint="default"/>
                      <w:color w:val="000000" w:themeColor="text1"/>
                      <w:kern w:val="0"/>
                      <w14:textFill>
                        <w14:solidFill>
                          <w14:schemeClr w14:val="tx1"/>
                        </w14:solidFill>
                      </w14:textFill>
                    </w:rPr>
                  </w:pPr>
                  <w:r>
                    <w:rPr>
                      <w:rFonts w:hint="default"/>
                      <w:color w:val="000000" w:themeColor="text1"/>
                      <w:kern w:val="0"/>
                      <w14:textFill>
                        <w14:solidFill>
                          <w14:schemeClr w14:val="tx1"/>
                        </w14:solidFill>
                      </w14:textFill>
                    </w:rPr>
                    <w:t>高中压调压站调压后的中压天然气通过管网输送至各工业用户，工业用户自行调压。居民用气从中压管网至各中低压楼栋调压箱或小区调压站，经调压后进入低压管道，供应公共建筑和居民用户使用。燃气干管布置在主要道路上，主要燃气管道连成环网，保证供气安全。</w:t>
                  </w:r>
                </w:p>
              </w:tc>
              <w:tc>
                <w:tcPr>
                  <w:tcW w:w="1758" w:type="pct"/>
                  <w:vAlign w:val="center"/>
                </w:tcPr>
                <w:p>
                  <w:pPr>
                    <w:widowControl/>
                    <w:jc w:val="center"/>
                    <w:rPr>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本项目使用天然气由泰州天然气门站统一供气。</w:t>
                  </w:r>
                </w:p>
              </w:tc>
              <w:tc>
                <w:tcPr>
                  <w:tcW w:w="6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autoSpaceDE w:val="0"/>
              <w:autoSpaceDN w:val="0"/>
              <w:adjustRightInd w:val="0"/>
              <w:snapToGrid w:val="0"/>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2、本项目与《</w:t>
            </w:r>
            <w:r>
              <w:rPr>
                <w:b/>
                <w:bCs/>
                <w:color w:val="000000" w:themeColor="text1"/>
                <w:sz w:val="24"/>
                <w:lang w:val="zh-CN"/>
                <w14:textFill>
                  <w14:solidFill>
                    <w14:schemeClr w14:val="tx1"/>
                  </w14:solidFill>
                </w14:textFill>
              </w:rPr>
              <w:t>江苏泰州海陵工业园区（市级园区）开发建设规划（2021-2035）环境影响报告书</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结论及</w:t>
            </w:r>
            <w:r>
              <w:rPr>
                <w:b/>
                <w:bCs/>
                <w:color w:val="000000" w:themeColor="text1"/>
                <w:sz w:val="24"/>
                <w14:textFill>
                  <w14:solidFill>
                    <w14:schemeClr w14:val="tx1"/>
                  </w14:solidFill>
                </w14:textFill>
              </w:rPr>
              <w:t>审查意见泰环审</w:t>
            </w:r>
            <w:r>
              <w:rPr>
                <w:rFonts w:hint="eastAsia"/>
                <w:b/>
                <w:bCs/>
                <w:color w:val="000000" w:themeColor="text1"/>
                <w:sz w:val="24"/>
                <w14:textFill>
                  <w14:solidFill>
                    <w14:schemeClr w14:val="tx1"/>
                  </w14:solidFill>
                </w14:textFill>
              </w:rPr>
              <w:t>[2022]4</w:t>
            </w:r>
            <w:r>
              <w:rPr>
                <w:b/>
                <w:bCs/>
                <w:color w:val="000000" w:themeColor="text1"/>
                <w:sz w:val="24"/>
                <w14:textFill>
                  <w14:solidFill>
                    <w14:schemeClr w14:val="tx1"/>
                  </w14:solidFill>
                </w14:textFill>
              </w:rPr>
              <w:t>号的相符性分析</w:t>
            </w:r>
          </w:p>
          <w:p>
            <w:pPr>
              <w:autoSpaceDE w:val="0"/>
              <w:autoSpaceDN w:val="0"/>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根据《</w:t>
            </w:r>
            <w:r>
              <w:rPr>
                <w:color w:val="000000" w:themeColor="text1"/>
                <w:sz w:val="24"/>
                <w:lang w:val="zh-CN"/>
                <w14:textFill>
                  <w14:solidFill>
                    <w14:schemeClr w14:val="tx1"/>
                  </w14:solidFill>
                </w14:textFill>
              </w:rPr>
              <w:t>江苏泰州海陵工业园区（市级园区）开发建设规划（2021-2035）环境影响报告书</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及</w:t>
            </w:r>
            <w:r>
              <w:rPr>
                <w:color w:val="000000" w:themeColor="text1"/>
                <w:sz w:val="24"/>
                <w14:textFill>
                  <w14:solidFill>
                    <w14:schemeClr w14:val="tx1"/>
                  </w14:solidFill>
                </w14:textFill>
              </w:rPr>
              <w:t>审查意见泰环审[2022]4号，规划环评结论及规划环评审查意见相关要点及相符性分析如下：</w:t>
            </w:r>
          </w:p>
          <w:p>
            <w:pPr>
              <w:autoSpaceDE w:val="0"/>
              <w:autoSpaceDN w:val="0"/>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表1-2  与园区规划环评评价结论及审查意见的相符性分析</w:t>
            </w:r>
          </w:p>
          <w:tbl>
            <w:tblPr>
              <w:tblStyle w:val="19"/>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3998"/>
              <w:gridCol w:w="1839"/>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序号</w:t>
                  </w:r>
                </w:p>
              </w:tc>
              <w:tc>
                <w:tcPr>
                  <w:tcW w:w="2756" w:type="pct"/>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规划环评结论及</w:t>
                  </w:r>
                  <w:r>
                    <w:rPr>
                      <w:b/>
                      <w:bCs/>
                      <w:color w:val="000000" w:themeColor="text1"/>
                      <w:szCs w:val="21"/>
                      <w14:textFill>
                        <w14:solidFill>
                          <w14:schemeClr w14:val="tx1"/>
                        </w14:solidFill>
                      </w14:textFill>
                    </w:rPr>
                    <w:t>规划环评审查意见</w:t>
                  </w:r>
                </w:p>
              </w:tc>
              <w:tc>
                <w:tcPr>
                  <w:tcW w:w="1237"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565"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规划环评结论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jc w:val="center"/>
                    <w:rPr>
                      <w:b/>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规划实施后，在采取总量控制，落实污染源削减计划，新增大气污染物排放采取污染物双倍替代削减的控制措施下，主要污染物预测浓度相对于现状值都将出现一定程度的削减，区域环境空气质量将得到整体改善。园区建设发展对大气环境影响可以接受。</w:t>
                  </w:r>
                </w:p>
              </w:tc>
              <w:tc>
                <w:tcPr>
                  <w:tcW w:w="1237"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本项目审批前，将取得污染物排放总量指标</w:t>
                  </w:r>
                  <w:r>
                    <w:rPr>
                      <w:color w:val="000000" w:themeColor="text1"/>
                      <w14:textFill>
                        <w14:solidFill>
                          <w14:schemeClr w14:val="tx1"/>
                        </w14:solidFill>
                      </w14:textFill>
                    </w:rPr>
                    <w:t>，总量在园区范围内平衡</w:t>
                  </w:r>
                  <w:r>
                    <w:rPr>
                      <w:rFonts w:hint="eastAsia"/>
                      <w:color w:val="000000" w:themeColor="text1"/>
                      <w14:textFill>
                        <w14:solidFill>
                          <w14:schemeClr w14:val="tx1"/>
                        </w14:solidFill>
                      </w14:textFill>
                    </w:rPr>
                    <w:t>。</w:t>
                  </w:r>
                </w:p>
              </w:tc>
              <w:tc>
                <w:tcPr>
                  <w:tcW w:w="565"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2</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园区在规划区的东侧，在海工变的西北侧区域规划一处园区工业污水处理厂，暂定规划处理规模为2.0万立方米/日。园区工业污水处理厂建成后，园区实行生活污水与工业废水分类处理，即江苏泰州海陵工业园区市级园区及省级园区工业废水全部纳入园区工业污水处理厂处理，生活污水仍依托泰州市（第一）城南污水处理厂进行处理。</w:t>
                  </w:r>
                </w:p>
              </w:tc>
              <w:tc>
                <w:tcPr>
                  <w:tcW w:w="1237" w:type="pct"/>
                  <w:vAlign w:val="center"/>
                </w:tcPr>
                <w:p>
                  <w:pPr>
                    <w:jc w:val="center"/>
                    <w:rPr>
                      <w:b/>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本项目不涉及工业废水，生活污水经化粪池预处理后接管</w:t>
                  </w:r>
                  <w:r>
                    <w:rPr>
                      <w:rFonts w:hint="eastAsia" w:ascii="Times New Roman" w:hAnsi="Times New Roman" w:eastAsia="宋体"/>
                      <w:color w:val="000000" w:themeColor="text1"/>
                      <w:sz w:val="21"/>
                      <w:szCs w:val="21"/>
                      <w:lang w:eastAsia="zh-CN"/>
                      <w14:textFill>
                        <w14:solidFill>
                          <w14:schemeClr w14:val="tx1"/>
                        </w14:solidFill>
                      </w14:textFill>
                    </w:rPr>
                    <w:t>启迪浦华（泰州）水务有限公司</w:t>
                  </w:r>
                  <w:r>
                    <w:rPr>
                      <w:rFonts w:hint="eastAsia"/>
                      <w:color w:val="000000" w:themeColor="text1"/>
                      <w:kern w:val="0"/>
                      <w:szCs w:val="21"/>
                      <w14:textFill>
                        <w14:solidFill>
                          <w14:schemeClr w14:val="tx1"/>
                        </w14:solidFill>
                      </w14:textFill>
                    </w:rPr>
                    <w:t>。</w:t>
                  </w:r>
                </w:p>
              </w:tc>
              <w:tc>
                <w:tcPr>
                  <w:tcW w:w="565"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3</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区域环境噪声预测结果表明，工业园区等效声级为56.79dB（A），规划区以工业区为主，区域环境噪声昼间预测值为57.9dB（A），夜间等效声级可控制在55dB（A）以下，可满足本功能区要求。</w:t>
                  </w:r>
                </w:p>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交通噪声预测结果表明，在道路两旁无任何声阻碍措施（如设置绿化带）的情况下，昼间距道路50米以外噪声强度可满足70dB（A）的标准限值；夜间交通主干道距离100米以外可满足55 dB（A）的标准限值要求，一般道路距离70米外可满足55dB（A）的标准限值要求。</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本项目建成后，</w:t>
                  </w:r>
                  <w:r>
                    <w:rPr>
                      <w:rFonts w:ascii="Times New Roman" w:hAnsi="Times New Roman" w:eastAsia="宋体"/>
                      <w:color w:val="000000" w:themeColor="text1"/>
                      <w:sz w:val="21"/>
                      <w:szCs w:val="21"/>
                      <w14:textFill>
                        <w14:solidFill>
                          <w14:schemeClr w14:val="tx1"/>
                        </w14:solidFill>
                      </w14:textFill>
                    </w:rPr>
                    <w:t>合理布局高噪声设备，对高噪声设备采取基础减振、厂房隔声等措施</w:t>
                  </w:r>
                  <w:r>
                    <w:rPr>
                      <w:rFonts w:hint="eastAsia" w:ascii="Times New Roman" w:hAnsi="Times New Roman" w:eastAsia="宋体"/>
                      <w:color w:val="000000" w:themeColor="text1"/>
                      <w:sz w:val="21"/>
                      <w:szCs w:val="21"/>
                      <w14:textFill>
                        <w14:solidFill>
                          <w14:schemeClr w14:val="tx1"/>
                        </w14:solidFill>
                      </w14:textFill>
                    </w:rPr>
                    <w:t>，厂区声环境满足《声环境质量标准》（GB3096-2008）3类标准。</w:t>
                  </w:r>
                </w:p>
              </w:tc>
              <w:tc>
                <w:tcPr>
                  <w:tcW w:w="565"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4</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规划区一般工业固废按照循环经济思想的指导立足回收再利用，开发上下游产品，实现资源化，不能回收利用的进行贮存和处置。危险固废进入有资质单位集中进行处理，没有排放。</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本项目设有一般固废库、危废库，一般固废集中收集后外售，危险废物危废库暂存，委托有资质单位处置。</w:t>
                  </w:r>
                </w:p>
              </w:tc>
              <w:tc>
                <w:tcPr>
                  <w:tcW w:w="565" w:type="pct"/>
                  <w:vAlign w:val="center"/>
                </w:tcPr>
                <w:p>
                  <w:pPr>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b/>
                      <w:bCs/>
                      <w:color w:val="000000" w:themeColor="text1"/>
                      <w:sz w:val="21"/>
                      <w:szCs w:val="21"/>
                      <w14:textFill>
                        <w14:solidFill>
                          <w14:schemeClr w14:val="tx1"/>
                        </w14:solidFill>
                      </w14:textFill>
                    </w:rPr>
                    <w:t>规划</w:t>
                  </w:r>
                  <w:r>
                    <w:rPr>
                      <w:rFonts w:ascii="Times New Roman" w:hAnsi="Times New Roman" w:eastAsia="宋体"/>
                      <w:b/>
                      <w:bCs/>
                      <w:color w:val="000000" w:themeColor="text1"/>
                      <w:sz w:val="21"/>
                      <w:szCs w:val="21"/>
                      <w14:textFill>
                        <w14:solidFill>
                          <w14:schemeClr w14:val="tx1"/>
                        </w14:solidFill>
                      </w14:textFill>
                    </w:rPr>
                    <w:t>环评审查意见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1</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严</w:t>
                  </w:r>
                  <w:r>
                    <w:rPr>
                      <w:rFonts w:ascii="Times New Roman" w:hAnsi="Times New Roman" w:eastAsia="宋体"/>
                      <w:color w:val="000000" w:themeColor="text1"/>
                      <w:sz w:val="21"/>
                      <w:szCs w:val="21"/>
                      <w14:textFill>
                        <w14:solidFill>
                          <w14:schemeClr w14:val="tx1"/>
                        </w14:solidFill>
                      </w14:textFill>
                    </w:rPr>
                    <w:t>格空间管控，优化规划布局。《规划》应落实国家、区域发展战略，坚持生态优先、高效集约，以生态环境质量改善为核心，做好与各级国土空间规划和“三线一单”生态环境分区管控实施方案的协调衔接。园区内基本农田、规划水域禁止开发利用。强化产业升级和工业企业退出过程中污染防治管控，京泰路街区及其周边规划为“退二进三</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退二进居”区域须在2035年底前完成更新改造，保留期间不得增加污染物排放量；泰州市江太新材料科技有限公司须在2025年底前迁出，保留期间不得扩建，仅能进行安全环保改造，且不得增加污染物排放量。加强工业区与居住区生活空间的防护，东星精密机械、申视塑料、海华机械防护距离内居民须于2023年底前迁出。</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本项目符合园区产业定位，符合园区用地规划，符合国土空间规划和《泰州市“三线一单”生态环境分区管控实施方案》</w:t>
                  </w:r>
                  <w:r>
                    <w:rPr>
                      <w:rFonts w:hint="eastAsia" w:ascii="Times New Roman" w:hAnsi="Times New Roman" w:eastAsia="宋体"/>
                      <w:color w:val="000000" w:themeColor="text1"/>
                      <w:sz w:val="21"/>
                      <w:szCs w:val="21"/>
                      <w14:textFill>
                        <w14:solidFill>
                          <w14:schemeClr w14:val="tx1"/>
                        </w14:solidFill>
                      </w14:textFill>
                    </w:rPr>
                    <w:t>相关要求</w:t>
                  </w:r>
                  <w:r>
                    <w:rPr>
                      <w:rFonts w:ascii="Times New Roman" w:hAnsi="Times New Roman" w:eastAsia="宋体"/>
                      <w:color w:val="000000" w:themeColor="text1"/>
                      <w:sz w:val="21"/>
                      <w:szCs w:val="21"/>
                      <w14:textFill>
                        <w14:solidFill>
                          <w14:schemeClr w14:val="tx1"/>
                        </w14:solidFill>
                      </w14:textFill>
                    </w:rPr>
                    <w:t>。</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2</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严守环境质量底线，实施污染物排放限值限量管理。根据国家和江苏省关于大气、水、土壤污染防治和区域“三线一单”生态环境分区管控相关要求，制定园区污染物减排和环境综合治理方案，落实污染物总量管控要求，采取有效措施控制现有企业挥发性有机物排放总量，提高涉挥发性有机物的项目环境准入要求。完善主要污染物总量控制措施，实现主要污染物排放和总量“双控”，确保区域生态环境达到预定目标。</w:t>
                  </w:r>
                </w:p>
              </w:tc>
              <w:tc>
                <w:tcPr>
                  <w:tcW w:w="1237" w:type="pct"/>
                  <w:vAlign w:val="center"/>
                </w:tcPr>
                <w:p>
                  <w:pPr>
                    <w:widowControl/>
                    <w:jc w:val="center"/>
                    <w:rPr>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根据环境质量现状调查，项目所在区域环境质量良好。项目建成运营后，将严格按照批复要求落实污染物的达标排放和总量管控，降低项目运营期间的环境影响。</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3</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加强源头治理，协同推进减污降碳。强化企业特征污染物排放控制、高效治理设施建设以及精细化管控要求。引进项目的生产工艺、设备以及资源能源利用、污染物排放、废物回收利用应达到同行业先进水平。全面开展清洁生产审核，推动重点行业依法实施强制性审核，引导其他行业自觉自愿开展审核，推进园区绿色低碳发展，优化产业结构、能源结构等低碳发展战略，实现减污降碳协同增效目标。在衔接区域“三线一单”生态环境分区管控要求的前提下，落实《报告书》提出的生态环境准入要求，禁止与生态环境准入清单不符的项目入区。加强园区内部河道水质提升工程进度，七里河、大寨河等河道整治工作须于2025年底前完成，九里河、茶庵桥河等河道截污纳管和河道疏浚整治等工程须于2025年底前完成。</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本项目运营过程中无生产废水外排；项目产生</w:t>
                  </w:r>
                  <w:r>
                    <w:rPr>
                      <w:rFonts w:hint="eastAsia" w:ascii="Times New Roman" w:hAnsi="Times New Roman" w:eastAsia="宋体"/>
                      <w:color w:val="000000" w:themeColor="text1"/>
                      <w:sz w:val="21"/>
                      <w:szCs w:val="21"/>
                      <w14:textFill>
                        <w14:solidFill>
                          <w14:schemeClr w14:val="tx1"/>
                        </w14:solidFill>
                      </w14:textFill>
                    </w:rPr>
                    <w:t>的</w:t>
                  </w:r>
                  <w:r>
                    <w:rPr>
                      <w:rFonts w:ascii="Times New Roman" w:hAnsi="Times New Roman" w:eastAsia="宋体"/>
                      <w:color w:val="000000" w:themeColor="text1"/>
                      <w:sz w:val="21"/>
                      <w:szCs w:val="21"/>
                      <w14:textFill>
                        <w14:solidFill>
                          <w14:schemeClr w14:val="tx1"/>
                        </w14:solidFill>
                      </w14:textFill>
                    </w:rPr>
                    <w:t>废气污染物经处理后</w:t>
                  </w:r>
                  <w:r>
                    <w:rPr>
                      <w:rFonts w:hint="eastAsia" w:ascii="Times New Roman" w:hAnsi="Times New Roman" w:eastAsia="宋体"/>
                      <w:color w:val="000000" w:themeColor="text1"/>
                      <w:sz w:val="21"/>
                      <w:szCs w:val="21"/>
                      <w14:textFill>
                        <w14:solidFill>
                          <w14:schemeClr w14:val="tx1"/>
                        </w14:solidFill>
                      </w14:textFill>
                    </w:rPr>
                    <w:t>可</w:t>
                  </w:r>
                  <w:r>
                    <w:rPr>
                      <w:rFonts w:ascii="Times New Roman" w:hAnsi="Times New Roman" w:eastAsia="宋体"/>
                      <w:color w:val="000000" w:themeColor="text1"/>
                      <w:sz w:val="21"/>
                      <w:szCs w:val="21"/>
                      <w14:textFill>
                        <w14:solidFill>
                          <w14:schemeClr w14:val="tx1"/>
                        </w14:solidFill>
                      </w14:textFill>
                    </w:rPr>
                    <w:t>达标排放；生活垃圾委托环卫部门清运处理，一般工业固废与危险废物分类处置。</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4</w:t>
                  </w:r>
                </w:p>
              </w:tc>
              <w:tc>
                <w:tcPr>
                  <w:tcW w:w="2756" w:type="pct"/>
                  <w:vAlign w:val="center"/>
                </w:tcPr>
                <w:p>
                  <w:pPr>
                    <w:widowControl/>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完善环境基础设施建设。加快推进海工变西北侧园区工业污水处理厂（苏陈污水厂）建设，同步推进污水管网及雨水管网建设，确保园区内工业废水和生活污水分类收集处理。加强废水预处理设施及尾水去向等监管，确保废水满足污水处理厂接管要求。进区项目因生产工艺确需自建供热设施的，应使用清洁能源，严禁建设高污染燃料设施。一般工业固废、危险废物应依法依规收集、暂存、处理处置，做到</w:t>
                  </w: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就地分类收集，就近转移处置</w:t>
                  </w: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w:t>
                  </w:r>
                </w:p>
              </w:tc>
              <w:tc>
                <w:tcPr>
                  <w:tcW w:w="1237" w:type="pct"/>
                  <w:vAlign w:val="center"/>
                </w:tcPr>
                <w:p>
                  <w:pPr>
                    <w:widowControl/>
                    <w:jc w:val="center"/>
                    <w:rPr>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本项目生活污水经化粪池预处理达标准后接管</w:t>
                  </w:r>
                  <w:r>
                    <w:rPr>
                      <w:rFonts w:hint="eastAsia" w:ascii="宋体" w:hAnsi="宋体" w:cs="宋体"/>
                      <w:color w:val="000000" w:themeColor="text1"/>
                      <w:kern w:val="0"/>
                      <w:szCs w:val="21"/>
                      <w:lang w:eastAsia="zh-CN" w:bidi="ar"/>
                      <w14:textFill>
                        <w14:solidFill>
                          <w14:schemeClr w14:val="tx1"/>
                        </w14:solidFill>
                      </w14:textFill>
                    </w:rPr>
                    <w:t>启迪浦华（泰州）水务有限公司</w:t>
                  </w:r>
                  <w:r>
                    <w:rPr>
                      <w:rFonts w:hint="eastAsia" w:ascii="宋体" w:hAnsi="宋体" w:cs="宋体"/>
                      <w:color w:val="000000" w:themeColor="text1"/>
                      <w:kern w:val="0"/>
                      <w:szCs w:val="21"/>
                      <w:lang w:bidi="ar"/>
                      <w14:textFill>
                        <w14:solidFill>
                          <w14:schemeClr w14:val="tx1"/>
                        </w14:solidFill>
                      </w14:textFill>
                    </w:rPr>
                    <w:t>，企业涉及天然气使用，天然气为清洁能源，一般工业固废、危险废物依法依规收集、暂存、处理处置。</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5</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建立健全环境监测监控体系。严格落实《全省省级及以上工业园区（集中区）监测监控能力建设方案》（苏环办〔2021〕144号）要求。指导区内企业按照《全省排污单位自动监测监控全覆盖（全联全控）工作方案》（苏环办〔2021〕146号）要求和监测规范</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安装在线监测设备及自动留样、校准等辅助设备，实时获得主要污染物排放浓度、流量数据；指导暂不具备安装在线监测设备条件的企业做好委托监测工作，并告知企业及时上报监测数据。</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本项目建成后将按照环评、批复及排污许可等方面要求，落实污染物排放的例行监测工作。</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40"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hint="eastAsia" w:ascii="Times New Roman" w:hAnsi="Times New Roman" w:eastAsia="宋体"/>
                      <w:color w:val="000000" w:themeColor="text1"/>
                      <w:sz w:val="21"/>
                      <w:szCs w:val="21"/>
                      <w14:textFill>
                        <w14:solidFill>
                          <w14:schemeClr w14:val="tx1"/>
                        </w14:solidFill>
                      </w14:textFill>
                    </w:rPr>
                    <w:t>6</w:t>
                  </w:r>
                </w:p>
              </w:tc>
              <w:tc>
                <w:tcPr>
                  <w:tcW w:w="2756"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健全园区环境风险防范体系，建立环境应急管理制度，提升环境应急能力。按照“企业</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园区</w:t>
                  </w:r>
                  <w:r>
                    <w:rPr>
                      <w:rFonts w:hint="eastAsia" w:ascii="Times New Roman" w:hAnsi="Times New Roman" w:eastAsia="宋体"/>
                      <w:color w:val="000000" w:themeColor="text1"/>
                      <w:sz w:val="21"/>
                      <w:szCs w:val="21"/>
                      <w14:textFill>
                        <w14:solidFill>
                          <w14:schemeClr w14:val="tx1"/>
                        </w14:solidFill>
                      </w14:textFill>
                    </w:rPr>
                    <w:t>-</w:t>
                  </w:r>
                  <w:r>
                    <w:rPr>
                      <w:rFonts w:ascii="Times New Roman" w:hAnsi="Times New Roman" w:eastAsia="宋体"/>
                      <w:color w:val="000000" w:themeColor="text1"/>
                      <w:sz w:val="21"/>
                      <w:szCs w:val="21"/>
                      <w14:textFill>
                        <w14:solidFill>
                          <w14:schemeClr w14:val="tx1"/>
                        </w14:solidFill>
                      </w14:textFill>
                    </w:rPr>
                    <w:t>周边水体”三级环境风险防控体系建设，完善环境风险防控基础设施，落实风险防范措施，避免事故废水进入新通扬运河等敏感水体。制定环境应急预案，健全应急响应联动机制，建立定期隐患排查制度。配备充足的应急装备物资和应急救援队伍，定期开展演练。督促园区内企业对污染防治设施开展安全风险评估和隐患排查治理。</w:t>
                  </w:r>
                </w:p>
              </w:tc>
              <w:tc>
                <w:tcPr>
                  <w:tcW w:w="1237"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本项目建成后将按照生态环境主管部门的要求，落实应急预案编制、应急物资储备等工作，健全应急响应联动机制，建立定期隐患排查制度，定期开展演练。</w:t>
                  </w:r>
                </w:p>
              </w:tc>
              <w:tc>
                <w:tcPr>
                  <w:tcW w:w="565" w:type="pct"/>
                  <w:vAlign w:val="center"/>
                </w:tcPr>
                <w:p>
                  <w:pPr>
                    <w:pStyle w:val="15"/>
                    <w:spacing w:before="0"/>
                    <w:ind w:firstLine="0"/>
                    <w:jc w:val="center"/>
                    <w:rPr>
                      <w:rFonts w:ascii="Times New Roman" w:hAnsi="Times New Roman" w:eastAsia="宋体"/>
                      <w:color w:val="000000" w:themeColor="text1"/>
                      <w:sz w:val="21"/>
                      <w:szCs w:val="21"/>
                      <w14:textFill>
                        <w14:solidFill>
                          <w14:schemeClr w14:val="tx1"/>
                        </w14:solidFill>
                      </w14:textFill>
                    </w:rPr>
                  </w:pPr>
                  <w:r>
                    <w:rPr>
                      <w:rFonts w:ascii="Times New Roman" w:hAnsi="Times New Roman" w:eastAsia="宋体"/>
                      <w:color w:val="000000" w:themeColor="text1"/>
                      <w:sz w:val="21"/>
                      <w:szCs w:val="21"/>
                      <w14:textFill>
                        <w14:solidFill>
                          <w14:schemeClr w14:val="tx1"/>
                        </w14:solidFill>
                      </w14:textFill>
                    </w:rPr>
                    <w:t>相符</w:t>
                  </w:r>
                </w:p>
              </w:tc>
            </w:tr>
          </w:tbl>
          <w:p>
            <w:pPr>
              <w:autoSpaceDE w:val="0"/>
              <w:autoSpaceDN w:val="0"/>
              <w:adjustRightInd w:val="0"/>
              <w:snapToGrid w:val="0"/>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31" w:hRule="atLeast"/>
          <w:jc w:val="center"/>
        </w:trPr>
        <w:tc>
          <w:tcPr>
            <w:tcW w:w="1373" w:type="dxa"/>
            <w:tcBorders>
              <w:tl2br w:val="nil"/>
              <w:tr2bl w:val="nil"/>
            </w:tcBorders>
            <w:vAlign w:val="center"/>
          </w:tcPr>
          <w:p>
            <w:pPr>
              <w:autoSpaceDE w:val="0"/>
              <w:autoSpaceDN w:val="0"/>
              <w:adjustRightInd w:val="0"/>
              <w:snapToGrid w:val="0"/>
              <w:jc w:val="center"/>
              <w:rPr>
                <w:color w:val="000000" w:themeColor="text1"/>
                <w:kern w:val="0"/>
                <w:szCs w:val="21"/>
                <w:highlight w:val="yellow"/>
                <w14:textFill>
                  <w14:solidFill>
                    <w14:schemeClr w14:val="tx1"/>
                  </w14:solidFill>
                </w14:textFill>
              </w:rPr>
            </w:pPr>
            <w:r>
              <w:rPr>
                <w:color w:val="000000" w:themeColor="text1"/>
                <w:kern w:val="0"/>
                <w:sz w:val="24"/>
                <w14:textFill>
                  <w14:solidFill>
                    <w14:schemeClr w14:val="tx1"/>
                  </w14:solidFill>
                </w14:textFill>
              </w:rPr>
              <w:t>其他符合性分析</w:t>
            </w:r>
          </w:p>
        </w:tc>
        <w:tc>
          <w:tcPr>
            <w:tcW w:w="7499" w:type="dxa"/>
            <w:gridSpan w:val="3"/>
            <w:tcBorders>
              <w:tl2br w:val="nil"/>
              <w:tr2bl w:val="nil"/>
            </w:tcBorders>
            <w:vAlign w:val="center"/>
          </w:tcPr>
          <w:p>
            <w:pPr>
              <w:autoSpaceDE w:val="0"/>
              <w:autoSpaceDN w:val="0"/>
              <w:spacing w:line="360" w:lineRule="auto"/>
              <w:ind w:firstLine="482" w:firstLineChars="200"/>
              <w:jc w:val="lef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1、产业政策相符性分析</w:t>
            </w:r>
          </w:p>
          <w:p>
            <w:pPr>
              <w:autoSpaceDE w:val="0"/>
              <w:autoSpaceDN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本项目行业类别为</w:t>
            </w:r>
            <w:r>
              <w:rPr>
                <w:rFonts w:hint="eastAsia"/>
                <w:color w:val="000000" w:themeColor="text1"/>
                <w:sz w:val="24"/>
                <w14:textFill>
                  <w14:solidFill>
                    <w14:schemeClr w14:val="tx1"/>
                  </w14:solidFill>
                </w14:textFill>
              </w:rPr>
              <w:t>[C3484]机械零部件加工、[C3670]汽车零部件及配件制造</w:t>
            </w:r>
            <w:r>
              <w:rPr>
                <w:color w:val="000000" w:themeColor="text1"/>
                <w:sz w:val="24"/>
                <w14:textFill>
                  <w14:solidFill>
                    <w14:schemeClr w14:val="tx1"/>
                  </w14:solidFill>
                </w14:textFill>
              </w:rPr>
              <w:t>，对照《产业结构调整指导目录（</w:t>
            </w:r>
            <w:r>
              <w:rPr>
                <w:rFonts w:hint="eastAsia"/>
                <w:color w:val="000000" w:themeColor="text1"/>
                <w:sz w:val="24"/>
                <w14:textFill>
                  <w14:solidFill>
                    <w14:schemeClr w14:val="tx1"/>
                  </w14:solidFill>
                </w14:textFill>
              </w:rPr>
              <w:t>2024</w:t>
            </w:r>
            <w:r>
              <w:rPr>
                <w:color w:val="000000" w:themeColor="text1"/>
                <w:sz w:val="24"/>
                <w14:textFill>
                  <w14:solidFill>
                    <w14:schemeClr w14:val="tx1"/>
                  </w14:solidFill>
                </w14:textFill>
              </w:rPr>
              <w:t>年本）》</w:t>
            </w:r>
            <w:r>
              <w:rPr>
                <w:rFonts w:hint="eastAsia"/>
                <w:color w:val="000000" w:themeColor="text1"/>
                <w:sz w:val="24"/>
                <w14:textFill>
                  <w14:solidFill>
                    <w14:schemeClr w14:val="tx1"/>
                  </w14:solidFill>
                </w14:textFill>
              </w:rPr>
              <w:t>、《泰州市产业结构调整指导目录(2016年本)》</w:t>
            </w:r>
            <w:r>
              <w:rPr>
                <w:color w:val="000000" w:themeColor="text1"/>
                <w:sz w:val="24"/>
                <w14:textFill>
                  <w14:solidFill>
                    <w14:schemeClr w14:val="tx1"/>
                  </w14:solidFill>
                </w14:textFill>
              </w:rPr>
              <w:t>，本项目不属于其中限制类和淘汰类项目；通过查阅《江苏省产业结构调整限制、淘汰和禁止目录》（2018年本），本项目不属于其中限制、淘汰类项目。</w:t>
            </w:r>
          </w:p>
          <w:p>
            <w:pPr>
              <w:autoSpaceDE w:val="0"/>
              <w:autoSpaceDN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因此，本项目的建设符合国家和地方现行产业政策要求。</w:t>
            </w:r>
          </w:p>
          <w:p>
            <w:pPr>
              <w:autoSpaceDE w:val="0"/>
              <w:autoSpaceDN w:val="0"/>
              <w:spacing w:line="360" w:lineRule="auto"/>
              <w:ind w:firstLine="482" w:firstLineChars="200"/>
              <w:jc w:val="lef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2、用地规划相符性分析</w:t>
            </w:r>
          </w:p>
          <w:p>
            <w:pPr>
              <w:autoSpaceDE w:val="0"/>
              <w:autoSpaceDN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项目位于江苏省泰州市海陵区海陵工业园兴陵路28号，根据《</w:t>
            </w:r>
            <w:r>
              <w:rPr>
                <w:rFonts w:eastAsia="Times New Roman"/>
                <w:color w:val="000000" w:themeColor="text1"/>
                <w:sz w:val="24"/>
                <w:lang w:val="zh-CN"/>
                <w14:textFill>
                  <w14:solidFill>
                    <w14:schemeClr w14:val="tx1"/>
                  </w14:solidFill>
                </w14:textFill>
              </w:rPr>
              <w:t>江苏泰州海陵工业园区（市级园区）开发建设规划（2021-2035）</w:t>
            </w:r>
            <w:r>
              <w:rPr>
                <w:color w:val="000000" w:themeColor="text1"/>
                <w:sz w:val="24"/>
                <w14:textFill>
                  <w14:solidFill>
                    <w14:schemeClr w14:val="tx1"/>
                  </w14:solidFill>
                </w14:textFill>
              </w:rPr>
              <w:t>》，本项目</w:t>
            </w:r>
            <w:r>
              <w:rPr>
                <w:color w:val="000000" w:themeColor="text1"/>
                <w:sz w:val="24"/>
                <w:szCs w:val="22"/>
                <w14:textFill>
                  <w14:solidFill>
                    <w14:schemeClr w14:val="tx1"/>
                  </w14:solidFill>
                </w14:textFill>
              </w:rPr>
              <w:t>建设满足用地规划要求</w:t>
            </w:r>
            <w:r>
              <w:rPr>
                <w:color w:val="000000" w:themeColor="text1"/>
                <w:sz w:val="24"/>
                <w14:textFill>
                  <w14:solidFill>
                    <w14:schemeClr w14:val="tx1"/>
                  </w14:solidFill>
                </w14:textFill>
              </w:rPr>
              <w:t>。</w:t>
            </w:r>
          </w:p>
          <w:p>
            <w:pPr>
              <w:autoSpaceDE w:val="0"/>
              <w:autoSpaceDN w:val="0"/>
              <w:spacing w:line="360" w:lineRule="auto"/>
              <w:ind w:firstLine="482" w:firstLineChars="200"/>
              <w:jc w:val="lef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3、“三线一单”分析</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关于以改善环境质量为核心加强环境影响评价管理的通知》（环评〔2016〕150号）：“为适应以改善环境质量为核心的环境管理要求，切实加强环境影响评价（以下简称环评）管理，落实“生态保护红线、环境质量底线、资源利用上线和环境准入负面清单”（以下简称“三线一单”）约束”。</w:t>
            </w:r>
          </w:p>
          <w:p>
            <w:pPr>
              <w:autoSpaceDE w:val="0"/>
              <w:autoSpaceDN w:val="0"/>
              <w:adjustRightInd w:val="0"/>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（1）生态保护红线</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对照《省政府关于印发江苏省国家级生态保护红线规划的通知》（苏政发〔2018〕74号）、《省政府关于印发江苏省生态空间管控区域规划的通知》（苏政发〔2020〕1号）、</w:t>
            </w:r>
            <w:r>
              <w:rPr>
                <w:color w:val="000000" w:themeColor="text1"/>
                <w:sz w:val="24"/>
                <w14:textFill>
                  <w14:solidFill>
                    <w14:schemeClr w14:val="tx1"/>
                  </w14:solidFill>
                </w14:textFill>
              </w:rPr>
              <w:t>《泰州市海陵区生态空间管控区域调整方案》及《江苏省自然资源厅关于泰州市海陵区生态空间管控区域调整方案的复函》（苏自然资函[2021]1126号）</w:t>
            </w:r>
            <w:r>
              <w:rPr>
                <w:snapToGrid w:val="0"/>
                <w:color w:val="000000" w:themeColor="text1"/>
                <w:kern w:val="0"/>
                <w:sz w:val="24"/>
                <w14:textFill>
                  <w14:solidFill>
                    <w14:schemeClr w14:val="tx1"/>
                  </w14:solidFill>
                </w14:textFill>
              </w:rPr>
              <w:t>，项目区域不涉及国家级生态保护红线及生态空间管控区域。</w:t>
            </w:r>
            <w:r>
              <w:rPr>
                <w:color w:val="000000" w:themeColor="text1"/>
                <w:sz w:val="24"/>
                <w14:textFill>
                  <w14:solidFill>
                    <w14:schemeClr w14:val="tx1"/>
                  </w14:solidFill>
                </w14:textFill>
              </w:rPr>
              <w:t>距离本项目最近的国家级生态保护红线为引江河备用水源地水源保护区，距离为西侧</w:t>
            </w:r>
            <w:r>
              <w:rPr>
                <w:rFonts w:hint="eastAsia"/>
                <w:color w:val="000000" w:themeColor="text1"/>
                <w:sz w:val="24"/>
                <w14:textFill>
                  <w14:solidFill>
                    <w14:schemeClr w14:val="tx1"/>
                  </w14:solidFill>
                </w14:textFill>
              </w:rPr>
              <w:t>10.7</w:t>
            </w:r>
            <w:r>
              <w:rPr>
                <w:color w:val="000000" w:themeColor="text1"/>
                <w:sz w:val="24"/>
                <w14:textFill>
                  <w14:solidFill>
                    <w14:schemeClr w14:val="tx1"/>
                  </w14:solidFill>
                </w14:textFill>
              </w:rPr>
              <w:t>km，生态空间管控区域为新通扬运河（海陵区）清水通道维护区，距离为</w:t>
            </w:r>
            <w:r>
              <w:rPr>
                <w:rFonts w:hint="eastAsia"/>
                <w:color w:val="000000" w:themeColor="text1"/>
                <w:sz w:val="24"/>
                <w14:textFill>
                  <w14:solidFill>
                    <w14:schemeClr w14:val="tx1"/>
                  </w14:solidFill>
                </w14:textFill>
              </w:rPr>
              <w:t>北</w:t>
            </w:r>
            <w:r>
              <w:rPr>
                <w:color w:val="000000" w:themeColor="text1"/>
                <w:sz w:val="24"/>
                <w14:textFill>
                  <w14:solidFill>
                    <w14:schemeClr w14:val="tx1"/>
                  </w14:solidFill>
                </w14:textFill>
              </w:rPr>
              <w:t>侧</w:t>
            </w:r>
            <w:r>
              <w:rPr>
                <w:rFonts w:hint="eastAsia"/>
                <w:color w:val="000000" w:themeColor="text1"/>
                <w:sz w:val="24"/>
                <w14:textFill>
                  <w14:solidFill>
                    <w14:schemeClr w14:val="tx1"/>
                  </w14:solidFill>
                </w14:textFill>
              </w:rPr>
              <w:t>4.6</w:t>
            </w:r>
            <w:r>
              <w:rPr>
                <w:color w:val="000000" w:themeColor="text1"/>
                <w:sz w:val="24"/>
                <w14:textFill>
                  <w14:solidFill>
                    <w14:schemeClr w14:val="tx1"/>
                  </w14:solidFill>
                </w14:textFill>
              </w:rPr>
              <w:t>km</w:t>
            </w:r>
            <w:r>
              <w:rPr>
                <w:color w:val="000000" w:themeColor="text1"/>
                <w:kern w:val="0"/>
                <w:sz w:val="24"/>
                <w14:textFill>
                  <w14:solidFill>
                    <w14:schemeClr w14:val="tx1"/>
                  </w14:solidFill>
                </w14:textFill>
              </w:rPr>
              <w:t>。</w:t>
            </w:r>
          </w:p>
          <w:p>
            <w:pPr>
              <w:autoSpaceDE w:val="0"/>
              <w:autoSpaceDN w:val="0"/>
              <w:adjustRightInd w:val="0"/>
              <w:snapToGrid w:val="0"/>
              <w:jc w:val="center"/>
              <w:rPr>
                <w:b/>
                <w:bCs/>
                <w:color w:val="000000" w:themeColor="text1"/>
                <w:sz w:val="24"/>
                <w14:textFill>
                  <w14:solidFill>
                    <w14:schemeClr w14:val="tx1"/>
                  </w14:solidFill>
                </w14:textFill>
              </w:rPr>
            </w:pPr>
          </w:p>
          <w:p>
            <w:pPr>
              <w:autoSpaceDE w:val="0"/>
              <w:autoSpaceDN w:val="0"/>
              <w:adjustRightInd w:val="0"/>
              <w:snapToGrid w:val="0"/>
              <w:jc w:val="center"/>
              <w:rPr>
                <w:b/>
                <w:bCs/>
                <w:color w:val="000000" w:themeColor="text1"/>
                <w:sz w:val="24"/>
                <w14:textFill>
                  <w14:solidFill>
                    <w14:schemeClr w14:val="tx1"/>
                  </w14:solidFill>
                </w14:textFill>
              </w:rPr>
            </w:pPr>
          </w:p>
          <w:p>
            <w:pPr>
              <w:autoSpaceDE w:val="0"/>
              <w:autoSpaceDN w:val="0"/>
              <w:adjustRightInd w:val="0"/>
              <w:snapToGrid w:val="0"/>
              <w:jc w:val="center"/>
              <w:rPr>
                <w:b/>
                <w:bCs/>
                <w:color w:val="000000" w:themeColor="text1"/>
                <w:sz w:val="24"/>
                <w14:textFill>
                  <w14:solidFill>
                    <w14:schemeClr w14:val="tx1"/>
                  </w14:solidFill>
                </w14:textFill>
              </w:rPr>
            </w:pPr>
          </w:p>
          <w:p>
            <w:pPr>
              <w:pStyle w:val="15"/>
              <w:rPr>
                <w:color w:val="000000" w:themeColor="text1"/>
                <w14:textFill>
                  <w14:solidFill>
                    <w14:schemeClr w14:val="tx1"/>
                  </w14:solidFill>
                </w14:textFill>
              </w:rPr>
            </w:pPr>
          </w:p>
          <w:p>
            <w:pPr>
              <w:autoSpaceDE w:val="0"/>
              <w:autoSpaceDN w:val="0"/>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表1-3  </w:t>
            </w:r>
            <w:r>
              <w:rPr>
                <w:b/>
                <w:color w:val="000000" w:themeColor="text1"/>
                <w:sz w:val="24"/>
                <w14:textFill>
                  <w14:solidFill>
                    <w14:schemeClr w14:val="tx1"/>
                  </w14:solidFill>
                </w14:textFill>
              </w:rPr>
              <w:t>生态</w:t>
            </w:r>
            <w:r>
              <w:rPr>
                <w:b/>
                <w:snapToGrid w:val="0"/>
                <w:color w:val="000000" w:themeColor="text1"/>
                <w:kern w:val="0"/>
                <w:sz w:val="24"/>
                <w14:textFill>
                  <w14:solidFill>
                    <w14:schemeClr w14:val="tx1"/>
                  </w14:solidFill>
                </w14:textFill>
              </w:rPr>
              <w:t>空间管控区域</w:t>
            </w:r>
            <w:r>
              <w:rPr>
                <w:b/>
                <w:color w:val="000000" w:themeColor="text1"/>
                <w:sz w:val="24"/>
                <w14:textFill>
                  <w14:solidFill>
                    <w14:schemeClr w14:val="tx1"/>
                  </w14:solidFill>
                </w14:textFill>
              </w:rPr>
              <w:t>规划（与项目相关）</w:t>
            </w:r>
          </w:p>
          <w:tbl>
            <w:tblPr>
              <w:tblStyle w:val="19"/>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852"/>
              <w:gridCol w:w="794"/>
              <w:gridCol w:w="1206"/>
              <w:gridCol w:w="1390"/>
              <w:gridCol w:w="710"/>
              <w:gridCol w:w="767"/>
              <w:gridCol w:w="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534" w:type="pct"/>
                  <w:vMerge w:val="restart"/>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红线区域名称</w:t>
                  </w:r>
                </w:p>
              </w:tc>
              <w:tc>
                <w:tcPr>
                  <w:tcW w:w="584" w:type="pct"/>
                  <w:vMerge w:val="restart"/>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与本项目的距离</w:t>
                  </w:r>
                </w:p>
              </w:tc>
              <w:tc>
                <w:tcPr>
                  <w:tcW w:w="546" w:type="pct"/>
                  <w:vMerge w:val="restart"/>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主导生态功能</w:t>
                  </w:r>
                </w:p>
              </w:tc>
              <w:tc>
                <w:tcPr>
                  <w:tcW w:w="1784" w:type="pct"/>
                  <w:gridSpan w:val="2"/>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范围</w:t>
                  </w:r>
                </w:p>
              </w:tc>
              <w:tc>
                <w:tcPr>
                  <w:tcW w:w="1550" w:type="pct"/>
                  <w:gridSpan w:val="3"/>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面积（平方公里）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vMerge w:val="continue"/>
                  <w:vAlign w:val="center"/>
                </w:tcPr>
                <w:p>
                  <w:pPr>
                    <w:adjustRightInd w:val="0"/>
                    <w:snapToGrid w:val="0"/>
                    <w:jc w:val="center"/>
                    <w:rPr>
                      <w:b/>
                      <w:bCs/>
                      <w:color w:val="000000" w:themeColor="text1"/>
                      <w:szCs w:val="21"/>
                      <w14:textFill>
                        <w14:solidFill>
                          <w14:schemeClr w14:val="tx1"/>
                        </w14:solidFill>
                      </w14:textFill>
                    </w:rPr>
                  </w:pPr>
                </w:p>
              </w:tc>
              <w:tc>
                <w:tcPr>
                  <w:tcW w:w="584" w:type="pct"/>
                  <w:vMerge w:val="continue"/>
                  <w:vAlign w:val="center"/>
                </w:tcPr>
                <w:p>
                  <w:pPr>
                    <w:adjustRightInd w:val="0"/>
                    <w:snapToGrid w:val="0"/>
                    <w:jc w:val="center"/>
                    <w:rPr>
                      <w:b/>
                      <w:bCs/>
                      <w:color w:val="000000" w:themeColor="text1"/>
                      <w:szCs w:val="21"/>
                      <w14:textFill>
                        <w14:solidFill>
                          <w14:schemeClr w14:val="tx1"/>
                        </w14:solidFill>
                      </w14:textFill>
                    </w:rPr>
                  </w:pPr>
                </w:p>
              </w:tc>
              <w:tc>
                <w:tcPr>
                  <w:tcW w:w="546" w:type="pct"/>
                  <w:vMerge w:val="continue"/>
                  <w:vAlign w:val="center"/>
                </w:tcPr>
                <w:p>
                  <w:pPr>
                    <w:adjustRightInd w:val="0"/>
                    <w:snapToGrid w:val="0"/>
                    <w:jc w:val="center"/>
                    <w:rPr>
                      <w:b/>
                      <w:bCs/>
                      <w:color w:val="000000" w:themeColor="text1"/>
                      <w:szCs w:val="21"/>
                      <w14:textFill>
                        <w14:solidFill>
                          <w14:schemeClr w14:val="tx1"/>
                        </w14:solidFill>
                      </w14:textFill>
                    </w:rPr>
                  </w:pPr>
                </w:p>
              </w:tc>
              <w:tc>
                <w:tcPr>
                  <w:tcW w:w="829" w:type="pct"/>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国家级生态保护红线范围</w:t>
                  </w:r>
                </w:p>
              </w:tc>
              <w:tc>
                <w:tcPr>
                  <w:tcW w:w="954" w:type="pct"/>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生态空间管控区域范围</w:t>
                  </w:r>
                </w:p>
              </w:tc>
              <w:tc>
                <w:tcPr>
                  <w:tcW w:w="488" w:type="pct"/>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国家级生态保护红线面积</w:t>
                  </w:r>
                </w:p>
              </w:tc>
              <w:tc>
                <w:tcPr>
                  <w:tcW w:w="527" w:type="pct"/>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生态空间管控区域面积</w:t>
                  </w:r>
                </w:p>
              </w:tc>
              <w:tc>
                <w:tcPr>
                  <w:tcW w:w="535" w:type="pct"/>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总面积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新通扬运河（海陵区）清水通道维护区</w:t>
                  </w:r>
                </w:p>
              </w:tc>
              <w:tc>
                <w:tcPr>
                  <w:tcW w:w="58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4.6km</w:t>
                  </w:r>
                </w:p>
              </w:tc>
              <w:tc>
                <w:tcPr>
                  <w:tcW w:w="546" w:type="pct"/>
                  <w:vAlign w:val="center"/>
                </w:tcPr>
                <w:p>
                  <w:pPr>
                    <w:widowControl/>
                    <w:spacing w:line="260" w:lineRule="exact"/>
                    <w:jc w:val="center"/>
                    <w:textAlignment w:val="center"/>
                    <w:rPr>
                      <w:color w:val="000000" w:themeColor="text1"/>
                      <w:szCs w:val="21"/>
                      <w:lang w:bidi="ar"/>
                      <w14:textFill>
                        <w14:solidFill>
                          <w14:schemeClr w14:val="tx1"/>
                        </w14:solidFill>
                      </w14:textFill>
                    </w:rPr>
                  </w:pPr>
                  <w:r>
                    <w:rPr>
                      <w:color w:val="000000" w:themeColor="text1"/>
                      <w:szCs w:val="21"/>
                      <w14:textFill>
                        <w14:solidFill>
                          <w14:schemeClr w14:val="tx1"/>
                        </w14:solidFill>
                      </w14:textFill>
                    </w:rPr>
                    <w:t>水源水质保护</w:t>
                  </w:r>
                </w:p>
              </w:tc>
              <w:tc>
                <w:tcPr>
                  <w:tcW w:w="829" w:type="pct"/>
                  <w:vAlign w:val="center"/>
                </w:tcPr>
                <w:p>
                  <w:pPr>
                    <w:widowControl/>
                    <w:spacing w:line="260" w:lineRule="exact"/>
                    <w:jc w:val="center"/>
                    <w:textAlignment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w:t>
                  </w:r>
                </w:p>
              </w:tc>
              <w:tc>
                <w:tcPr>
                  <w:tcW w:w="954" w:type="pct"/>
                  <w:vAlign w:val="center"/>
                </w:tcPr>
                <w:p>
                  <w:pPr>
                    <w:widowControl/>
                    <w:spacing w:line="260" w:lineRule="exact"/>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位于泰州北部与江都交界处至泰州与姜堰交界处，全长14.5公里，两岸宽度各1000米范围内。东西流向，其中，卤汀河至引江河口段河面宽约160米，泰东河至卤汀河口段河面宽约120米</w:t>
                  </w:r>
                </w:p>
              </w:tc>
              <w:tc>
                <w:tcPr>
                  <w:tcW w:w="488" w:type="pct"/>
                  <w:tcMar>
                    <w:left w:w="28" w:type="dxa"/>
                    <w:right w:w="28" w:type="dxa"/>
                  </w:tcMar>
                  <w:vAlign w:val="center"/>
                </w:tcPr>
                <w:p>
                  <w:pPr>
                    <w:widowControl/>
                    <w:spacing w:line="260" w:lineRule="exact"/>
                    <w:jc w:val="center"/>
                    <w:textAlignment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w:t>
                  </w:r>
                </w:p>
              </w:tc>
              <w:tc>
                <w:tcPr>
                  <w:tcW w:w="527" w:type="pct"/>
                  <w:tcMar>
                    <w:left w:w="28"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30.67</w:t>
                  </w:r>
                </w:p>
              </w:tc>
              <w:tc>
                <w:tcPr>
                  <w:tcW w:w="535" w:type="pct"/>
                  <w:tcMar>
                    <w:left w:w="28"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引江河备用水源地水源保护区</w:t>
                  </w:r>
                </w:p>
              </w:tc>
              <w:tc>
                <w:tcPr>
                  <w:tcW w:w="584"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W，10.</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km</w:t>
                  </w:r>
                </w:p>
              </w:tc>
              <w:tc>
                <w:tcPr>
                  <w:tcW w:w="546" w:type="pct"/>
                  <w:vAlign w:val="center"/>
                </w:tcPr>
                <w:p>
                  <w:pPr>
                    <w:widowControl/>
                    <w:spacing w:line="260" w:lineRule="exact"/>
                    <w:jc w:val="center"/>
                    <w:textAlignment w:val="center"/>
                    <w:rPr>
                      <w:color w:val="000000" w:themeColor="text1"/>
                      <w:szCs w:val="21"/>
                      <w:lang w:bidi="ar"/>
                      <w14:textFill>
                        <w14:solidFill>
                          <w14:schemeClr w14:val="tx1"/>
                        </w14:solidFill>
                      </w14:textFill>
                    </w:rPr>
                  </w:pPr>
                  <w:r>
                    <w:rPr>
                      <w:color w:val="000000" w:themeColor="text1"/>
                      <w:szCs w:val="21"/>
                      <w14:textFill>
                        <w14:solidFill>
                          <w14:schemeClr w14:val="tx1"/>
                        </w14:solidFill>
                      </w14:textFill>
                    </w:rPr>
                    <w:t>饮用水水源保护区</w:t>
                  </w:r>
                </w:p>
              </w:tc>
              <w:tc>
                <w:tcPr>
                  <w:tcW w:w="829" w:type="pct"/>
                  <w:vAlign w:val="center"/>
                </w:tcPr>
                <w:p>
                  <w:pPr>
                    <w:widowControl/>
                    <w:spacing w:line="260" w:lineRule="exact"/>
                    <w:jc w:val="center"/>
                    <w:textAlignment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一级保护区：泰州市第二水厂备用取水口上游1000米至下游500米及其两岸背水坡之间的水域范围；一级保护区水域与相对应的两岸背水坡堤脚外100米之间的陆域范围。</w:t>
                  </w:r>
                </w:p>
                <w:p>
                  <w:pPr>
                    <w:widowControl/>
                    <w:spacing w:line="260" w:lineRule="exact"/>
                    <w:jc w:val="center"/>
                    <w:textAlignment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二级保护区：一级保护区以外上溯2000米、下延500米的水域范围；二级保护区水域与相对应的两岸背水坡堤脚外100米之间的陆域范围</w:t>
                  </w:r>
                </w:p>
              </w:tc>
              <w:tc>
                <w:tcPr>
                  <w:tcW w:w="954" w:type="pct"/>
                  <w:vAlign w:val="center"/>
                </w:tcPr>
                <w:p>
                  <w:pPr>
                    <w:widowControl/>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488" w:type="pct"/>
                  <w:tcMar>
                    <w:left w:w="28" w:type="dxa"/>
                    <w:right w:w="28" w:type="dxa"/>
                  </w:tcMar>
                  <w:vAlign w:val="center"/>
                </w:tcPr>
                <w:p>
                  <w:pPr>
                    <w:widowControl/>
                    <w:spacing w:line="26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1.69</w:t>
                  </w:r>
                </w:p>
              </w:tc>
              <w:tc>
                <w:tcPr>
                  <w:tcW w:w="527" w:type="pct"/>
                  <w:tcMar>
                    <w:left w:w="28" w:type="dxa"/>
                    <w:right w:w="28" w:type="dxa"/>
                  </w:tcMar>
                  <w:vAlign w:val="center"/>
                </w:tcPr>
                <w:p>
                  <w:pPr>
                    <w:widowControl/>
                    <w:spacing w:line="2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535" w:type="pct"/>
                  <w:tcMar>
                    <w:left w:w="28" w:type="dxa"/>
                    <w:right w:w="28" w:type="dxa"/>
                  </w:tcMar>
                  <w:vAlign w:val="center"/>
                </w:tcPr>
                <w:p>
                  <w:pPr>
                    <w:widowControl/>
                    <w:spacing w:line="260" w:lineRule="exact"/>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1.69</w:t>
                  </w:r>
                </w:p>
              </w:tc>
            </w:tr>
          </w:tbl>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本项目的建设符合《省政府关于印发江苏省国家级生态保护红线规划的通知》（苏政发[2018]74号）、《泰州市海陵区生态空间管控区域调整方案》及《江苏省自然资源厅关于泰州市海陵区生态空间管控区域调整方案的复函》（苏自然资函[2021]1126号）中相关要求。</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本项目位于江苏省泰州市海陵区海陵工业园兴陵路28号，属于</w:t>
            </w:r>
            <w:r>
              <w:rPr>
                <w:rFonts w:hint="eastAsia"/>
                <w:color w:val="000000" w:themeColor="text1"/>
                <w:sz w:val="24"/>
                <w14:textFill>
                  <w14:solidFill>
                    <w14:schemeClr w14:val="tx1"/>
                  </w14:solidFill>
                </w14:textFill>
              </w:rPr>
              <w:t>江苏泰州海陵区海陵工业园范围，</w:t>
            </w:r>
            <w:r>
              <w:rPr>
                <w:color w:val="000000" w:themeColor="text1"/>
                <w:sz w:val="24"/>
                <w14:textFill>
                  <w14:solidFill>
                    <w14:schemeClr w14:val="tx1"/>
                  </w14:solidFill>
                </w14:textFill>
              </w:rPr>
              <w:t>对照《泰州市“三线一单”生态环境分区管控实施方案》（泰环发[2020]94号）</w:t>
            </w:r>
            <w:r>
              <w:rPr>
                <w:rFonts w:hint="eastAsia"/>
                <w:color w:val="000000" w:themeColor="text1"/>
                <w:sz w:val="24"/>
                <w14:textFill>
                  <w14:solidFill>
                    <w14:schemeClr w14:val="tx1"/>
                  </w14:solidFill>
                </w14:textFill>
              </w:rPr>
              <w:t>、《</w:t>
            </w:r>
            <w:r>
              <w:rPr>
                <w:rFonts w:hint="eastAsia"/>
                <w:color w:val="000000" w:themeColor="text1"/>
                <w:sz w:val="24"/>
                <w:lang w:val="zh-CN"/>
                <w14:textFill>
                  <w14:solidFill>
                    <w14:schemeClr w14:val="tx1"/>
                  </w14:solidFill>
                </w14:textFill>
              </w:rPr>
              <w:t>泰州市“三线一单”生态环境分区管控更新方案（2022年动态更新）</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泰环发[202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73</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，江苏泰州海陵工业园区属于重点管控单元，环境管控单元编码为ZH32120220868，对照相符性分析详见下表。</w:t>
            </w:r>
          </w:p>
          <w:p>
            <w:pPr>
              <w:autoSpaceDE w:val="0"/>
              <w:autoSpaceDN w:val="0"/>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表1-4  与《泰州市“三线一单”生态环境分区管控实施方案&gt;的通知》（泰环发〔2020〕94号）相符性</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3217"/>
              <w:gridCol w:w="2544"/>
              <w:gridCol w:w="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管控类别</w:t>
                  </w:r>
                </w:p>
              </w:tc>
              <w:tc>
                <w:tcPr>
                  <w:tcW w:w="2208"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重点管控要求</w:t>
                  </w:r>
                </w:p>
              </w:tc>
              <w:tc>
                <w:tcPr>
                  <w:tcW w:w="1746"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相符性分析</w:t>
                  </w:r>
                </w:p>
              </w:tc>
              <w:tc>
                <w:tcPr>
                  <w:tcW w:w="445"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空间布局约束</w:t>
                  </w:r>
                </w:p>
              </w:tc>
              <w:tc>
                <w:tcPr>
                  <w:tcW w:w="2208"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禁止电镀，化工、石化、医药、化纤、印染、制革、食品、酿造、造纸、冶金、焦化重污染项目等。</w:t>
                  </w:r>
                </w:p>
              </w:tc>
              <w:tc>
                <w:tcPr>
                  <w:tcW w:w="1746"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本项目属于</w:t>
                  </w:r>
                  <w:r>
                    <w:rPr>
                      <w:rFonts w:hint="eastAsia"/>
                      <w:color w:val="000000" w:themeColor="text1"/>
                      <w:szCs w:val="21"/>
                      <w14:textFill>
                        <w14:solidFill>
                          <w14:schemeClr w14:val="tx1"/>
                        </w14:solidFill>
                      </w14:textFill>
                    </w:rPr>
                    <w:t>机械零部件加工、汽车零部件及配件制造，不涉及电镀</w:t>
                  </w:r>
                  <w:r>
                    <w:rPr>
                      <w:color w:val="000000" w:themeColor="text1"/>
                      <w:szCs w:val="21"/>
                      <w14:textFill>
                        <w14:solidFill>
                          <w14:schemeClr w14:val="tx1"/>
                        </w14:solidFill>
                      </w14:textFill>
                    </w:rPr>
                    <w:t>，不属于工、石化、医药、化纤、印染、制革、食品、酿造、造纸、冶金、焦化重污染项目</w:t>
                  </w:r>
                  <w:r>
                    <w:rPr>
                      <w:rFonts w:hint="eastAsia"/>
                      <w:color w:val="000000" w:themeColor="text1"/>
                      <w:szCs w:val="21"/>
                      <w14:textFill>
                        <w14:solidFill>
                          <w14:schemeClr w14:val="tx1"/>
                        </w14:solidFill>
                      </w14:textFill>
                    </w:rPr>
                    <w:t>。</w:t>
                  </w:r>
                </w:p>
              </w:tc>
              <w:tc>
                <w:tcPr>
                  <w:tcW w:w="4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污染物排放管控</w:t>
                  </w:r>
                </w:p>
              </w:tc>
              <w:tc>
                <w:tcPr>
                  <w:tcW w:w="2208"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（1）废气污染物排放量：二氧化硫2.93吨/年，氮氧化物15.81吨/年，烟尘1.33吨/年，粉尘40.40吨/年。</w:t>
                  </w:r>
                </w:p>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（2）废水污染物排放量：化学需氧量572.05吨/年，氨氮57.21吨/年，总磷5.72吨/年，石油类11.44吨/年。</w:t>
                  </w:r>
                </w:p>
              </w:tc>
              <w:tc>
                <w:tcPr>
                  <w:tcW w:w="1746"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本项目审批前，将取得污染物排放总量指标</w:t>
                  </w:r>
                  <w:r>
                    <w:rPr>
                      <w:color w:val="000000" w:themeColor="text1"/>
                      <w14:textFill>
                        <w14:solidFill>
                          <w14:schemeClr w14:val="tx1"/>
                        </w14:solidFill>
                      </w14:textFill>
                    </w:rPr>
                    <w:t>，总量在园区范围内平衡</w:t>
                  </w:r>
                  <w:r>
                    <w:rPr>
                      <w:rFonts w:hint="eastAsia"/>
                      <w:color w:val="000000" w:themeColor="text1"/>
                      <w14:textFill>
                        <w14:solidFill>
                          <w14:schemeClr w14:val="tx1"/>
                        </w14:solidFill>
                      </w14:textFill>
                    </w:rPr>
                    <w:t>。</w:t>
                  </w:r>
                </w:p>
              </w:tc>
              <w:tc>
                <w:tcPr>
                  <w:tcW w:w="4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环境风险防控</w:t>
                  </w:r>
                </w:p>
              </w:tc>
              <w:tc>
                <w:tcPr>
                  <w:tcW w:w="2208"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风险防范措施：制定应急预案，配备必须的事故应急设备、物资，定期组织演练，防范环境风险。</w:t>
                  </w:r>
                </w:p>
              </w:tc>
              <w:tc>
                <w:tcPr>
                  <w:tcW w:w="1746"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本项目建成后严格按照要求制定风险防范措施，强化环境事故应急管理，编制应急预案，开展事故应急演练。</w:t>
                  </w:r>
                </w:p>
              </w:tc>
              <w:tc>
                <w:tcPr>
                  <w:tcW w:w="4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资源开发效率要求</w:t>
                  </w:r>
                </w:p>
              </w:tc>
              <w:tc>
                <w:tcPr>
                  <w:tcW w:w="2208"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禁止销售使用燃料为“Ⅲ类”（严格），具体包括：</w:t>
                  </w:r>
                </w:p>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1、煤炭及其制品（包括原煤散煤、煤矸石、煤泥、煤粉、水煤浆、型煤、焦炭、兰炭等）；</w:t>
                  </w:r>
                </w:p>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2、石油焦、油页岩、原油、重油、渣油、煤焦油；</w:t>
                  </w:r>
                </w:p>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3、非专用锅炉或未配置高效除尘设施的专用锅炉燃用的生物质成型燃料；</w:t>
                  </w:r>
                </w:p>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4、国家规定的其它高污染燃料。</w:t>
                  </w:r>
                </w:p>
              </w:tc>
              <w:tc>
                <w:tcPr>
                  <w:tcW w:w="1746"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本项目不涉及销售使用“Ⅲ类”燃料</w:t>
                  </w:r>
                </w:p>
              </w:tc>
              <w:tc>
                <w:tcPr>
                  <w:tcW w:w="44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（2）环境质量底线</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大气环境：根据《2022年泰州市环境状况公报》，全市空气环境质量持续改善，优良天数为290天，优良率为79.5%，PM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平均浓度为32μg/m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，同比持平。其中：国控点（国家考核点位）优良天数为295天，优良率为80.8%，PM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平均浓度为32μg/m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，同比下降3.0%；除臭氧外，其余主要污染物均能满足《环境空气质量标准》（GB4145-2012）二级标准限值要求，环境空气质量为不达标区。</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目前泰州市正在编制大气环境达标规划，其达标规划目标为“PM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浓度以2018年监测数据为基础，通过规划的实施，分近、远期逐步削减大气污染物排放量，以细颗粒物年均浓度达标为核心，全面改善环境空气质量，2025年实现全市环境空气质量达标。到2025年，环境空气质量六项指标（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-8h、CO）年均浓度均达标，PM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低于35μg/m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，空气质量优良天数保持大于320天”</w:t>
            </w:r>
            <w:r>
              <w:rPr>
                <w:color w:val="000000" w:themeColor="text1"/>
                <w:kern w:val="0"/>
                <w:sz w:val="24"/>
                <w14:textFill>
                  <w14:solidFill>
                    <w14:schemeClr w14:val="tx1"/>
                  </w14:solidFill>
                </w14:textFill>
              </w:rPr>
              <w:t>。</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地表水环境：根据《2022年泰州市环境状况公报》，2022年泰州市12个国考断面达标率和优Ⅲ比例均为100%，全市39个省以上考核断面达标率和优Ⅲ比例均为100%。</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噪声：泰州市城市区域环境噪声年平均等效声级为54.5分贝，处于二级较好水平，与2021年保持一致。</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建成后会产生一定的污染，如废气、废水、生产设备运行产生的噪声、固废等，根据预测及分析，项目废气、废水、噪声均能达标排放，固废均能妥善处置。项目的建设不会恶化区域环境质量功能，不会触碰区域环境质量底线。</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（3）资源利用上线</w:t>
            </w:r>
          </w:p>
          <w:p>
            <w:pPr>
              <w:adjustRightInd w:val="0"/>
              <w:snapToGrid w:val="0"/>
              <w:spacing w:line="360" w:lineRule="auto"/>
              <w:ind w:firstLine="480" w:firstLineChars="200"/>
              <w:rPr>
                <w:color w:val="000000" w:themeColor="text1"/>
                <w:sz w:val="24"/>
                <w14:textFill>
                  <w14:solidFill>
                    <w14:schemeClr w14:val="tx1"/>
                  </w14:solidFill>
                </w14:textFill>
              </w:rPr>
            </w:pPr>
            <w:r>
              <w:rPr>
                <w:snapToGrid w:val="0"/>
                <w:color w:val="000000" w:themeColor="text1"/>
                <w:kern w:val="0"/>
                <w:sz w:val="24"/>
                <w14:textFill>
                  <w14:solidFill>
                    <w14:schemeClr w14:val="tx1"/>
                  </w14:solidFill>
                </w14:textFill>
              </w:rPr>
              <w:t>项目的资源消耗主要体现在对水、电、土地等资源的利用上。项目将全过程贯彻清洁生产、循环经济理念，通过采用节水工艺、节电设备等手段，严格执行土地利用规划有关规定。项目在区域规划及规划环评划定的资源利用上线内所占比例很小</w:t>
            </w:r>
            <w:r>
              <w:rPr>
                <w:color w:val="000000" w:themeColor="text1"/>
                <w:sz w:val="24"/>
                <w14:textFill>
                  <w14:solidFill>
                    <w14:schemeClr w14:val="tx1"/>
                  </w14:solidFill>
                </w14:textFill>
              </w:rPr>
              <w:t>。</w:t>
            </w:r>
          </w:p>
          <w:p>
            <w:pPr>
              <w:autoSpaceDE w:val="0"/>
              <w:autoSpaceDN w:val="0"/>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（4）环境准入负面清单</w:t>
            </w:r>
          </w:p>
          <w:p>
            <w:pPr>
              <w:autoSpaceDE w:val="0"/>
              <w:autoSpaceDN w:val="0"/>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对照《</w:t>
            </w:r>
            <w:r>
              <w:rPr>
                <w:color w:val="000000" w:themeColor="text1"/>
                <w:sz w:val="24"/>
                <w:lang w:val="zh-CN"/>
                <w14:textFill>
                  <w14:solidFill>
                    <w14:schemeClr w14:val="tx1"/>
                  </w14:solidFill>
                </w14:textFill>
              </w:rPr>
              <w:t>江苏泰州海陵工业园区（市级园区）开发建设规划（2021-2035）环境影响报告书</w:t>
            </w:r>
            <w:r>
              <w:rPr>
                <w:color w:val="000000" w:themeColor="text1"/>
                <w:sz w:val="24"/>
                <w14:textFill>
                  <w14:solidFill>
                    <w14:schemeClr w14:val="tx1"/>
                  </w14:solidFill>
                </w14:textFill>
              </w:rPr>
              <w:t>》中规定的环境准入负面清单，本项目不属于园区限制发展和禁止发展的产业。本项目与园区生态环境准入清单</w:t>
            </w:r>
            <w:r>
              <w:rPr>
                <w:bCs/>
                <w:color w:val="000000" w:themeColor="text1"/>
                <w:sz w:val="24"/>
                <w14:textFill>
                  <w14:solidFill>
                    <w14:schemeClr w14:val="tx1"/>
                  </w14:solidFill>
                </w14:textFill>
              </w:rPr>
              <w:t>的相符性</w:t>
            </w:r>
            <w:r>
              <w:rPr>
                <w:color w:val="000000" w:themeColor="text1"/>
                <w:sz w:val="24"/>
                <w14:textFill>
                  <w14:solidFill>
                    <w14:schemeClr w14:val="tx1"/>
                  </w14:solidFill>
                </w14:textFill>
              </w:rPr>
              <w:t>见下表。</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表1-5  </w:t>
            </w:r>
            <w:r>
              <w:rPr>
                <w:b/>
                <w:color w:val="000000" w:themeColor="text1"/>
                <w:sz w:val="24"/>
                <w:lang w:val="zh-CN"/>
                <w14:textFill>
                  <w14:solidFill>
                    <w14:schemeClr w14:val="tx1"/>
                  </w14:solidFill>
                </w14:textFill>
              </w:rPr>
              <w:t>江苏泰州海陵工业园区</w:t>
            </w:r>
            <w:r>
              <w:rPr>
                <w:b/>
                <w:color w:val="000000" w:themeColor="text1"/>
                <w:sz w:val="24"/>
                <w14:textFill>
                  <w14:solidFill>
                    <w14:schemeClr w14:val="tx1"/>
                  </w14:solidFill>
                </w14:textFill>
              </w:rPr>
              <w:t>环境准入负面清单</w:t>
            </w:r>
          </w:p>
          <w:tbl>
            <w:tblPr>
              <w:tblStyle w:val="20"/>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540"/>
              <w:gridCol w:w="3592"/>
              <w:gridCol w:w="1533"/>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pct"/>
                  <w:gridSpan w:val="2"/>
                  <w:tcBorders>
                    <w:top w:val="single" w:color="auto" w:sz="12" w:space="0"/>
                    <w:left w:val="nil"/>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类别</w:t>
                  </w:r>
                </w:p>
              </w:tc>
              <w:tc>
                <w:tcPr>
                  <w:tcW w:w="2476"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管控条款</w:t>
                  </w:r>
                </w:p>
              </w:tc>
              <w:tc>
                <w:tcPr>
                  <w:tcW w:w="1057"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本项目情况</w:t>
                  </w:r>
                </w:p>
              </w:tc>
              <w:tc>
                <w:tcPr>
                  <w:tcW w:w="633" w:type="pct"/>
                  <w:tcBorders>
                    <w:top w:val="single" w:color="auto" w:sz="12" w:space="0"/>
                    <w:right w:val="nil"/>
                  </w:tcBorders>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restart"/>
                  <w:tcBorders>
                    <w:lef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保护区域</w:t>
                  </w: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基本农田</w:t>
                  </w:r>
                </w:p>
              </w:tc>
              <w:tc>
                <w:tcPr>
                  <w:tcW w:w="2476" w:type="pct"/>
                  <w:vAlign w:val="center"/>
                </w:tcPr>
                <w:p>
                  <w:pPr>
                    <w:pStyle w:val="29"/>
                    <w:jc w:val="center"/>
                    <w:rPr>
                      <w:bCs/>
                      <w:color w:val="000000" w:themeColor="text1"/>
                      <w:lang w:eastAsia="zh-CN"/>
                      <w14:textFill>
                        <w14:solidFill>
                          <w14:schemeClr w14:val="tx1"/>
                        </w14:solidFill>
                      </w14:textFill>
                    </w:rPr>
                  </w:pPr>
                  <w:r>
                    <w:rPr>
                      <w:bCs/>
                      <w:color w:val="000000" w:themeColor="text1"/>
                      <w:spacing w:val="1"/>
                      <w:lang w:eastAsia="zh-CN"/>
                      <w14:textFill>
                        <w14:solidFill>
                          <w14:schemeClr w14:val="tx1"/>
                        </w14:solidFill>
                      </w14:textFill>
                    </w:rPr>
                    <w:t>对规划区内涉及的基本农田，禁止开发利用。加</w:t>
                  </w:r>
                  <w:r>
                    <w:rPr>
                      <w:bCs/>
                      <w:color w:val="000000" w:themeColor="text1"/>
                      <w:spacing w:val="-5"/>
                      <w:lang w:eastAsia="zh-CN"/>
                      <w14:textFill>
                        <w14:solidFill>
                          <w14:schemeClr w14:val="tx1"/>
                        </w14:solidFill>
                      </w14:textFill>
                    </w:rPr>
                    <w:t>强对基本农田的保护，注重工业用地优化</w:t>
                  </w:r>
                  <w:r>
                    <w:rPr>
                      <w:bCs/>
                      <w:color w:val="000000" w:themeColor="text1"/>
                      <w:spacing w:val="-6"/>
                      <w:lang w:eastAsia="zh-CN"/>
                      <w14:textFill>
                        <w14:solidFill>
                          <w14:schemeClr w14:val="tx1"/>
                        </w14:solidFill>
                      </w14:textFill>
                    </w:rPr>
                    <w:t>布局，</w:t>
                  </w:r>
                  <w:r>
                    <w:rPr>
                      <w:bCs/>
                      <w:color w:val="000000" w:themeColor="text1"/>
                      <w:spacing w:val="2"/>
                      <w:lang w:eastAsia="zh-CN"/>
                      <w14:textFill>
                        <w14:solidFill>
                          <w14:schemeClr w14:val="tx1"/>
                        </w14:solidFill>
                      </w14:textFill>
                    </w:rPr>
                    <w:t>涉及有毒有害物质经大气沉降、地表径流、</w:t>
                  </w:r>
                  <w:r>
                    <w:rPr>
                      <w:bCs/>
                      <w:color w:val="000000" w:themeColor="text1"/>
                      <w:spacing w:val="1"/>
                      <w:lang w:eastAsia="zh-CN"/>
                      <w14:textFill>
                        <w14:solidFill>
                          <w14:schemeClr w14:val="tx1"/>
                        </w14:solidFill>
                      </w14:textFill>
                    </w:rPr>
                    <w:t>垂直</w:t>
                  </w:r>
                  <w:r>
                    <w:rPr>
                      <w:bCs/>
                      <w:color w:val="000000" w:themeColor="text1"/>
                      <w:spacing w:val="2"/>
                      <w:lang w:eastAsia="zh-CN"/>
                      <w14:textFill>
                        <w14:solidFill>
                          <w14:schemeClr w14:val="tx1"/>
                        </w14:solidFill>
                      </w14:textFill>
                    </w:rPr>
                    <w:t>入渗等潜在土壤环境污染风险的项目应尽量</w:t>
                  </w:r>
                  <w:r>
                    <w:rPr>
                      <w:bCs/>
                      <w:color w:val="000000" w:themeColor="text1"/>
                      <w:spacing w:val="1"/>
                      <w:lang w:eastAsia="zh-CN"/>
                      <w14:textFill>
                        <w14:solidFill>
                          <w14:schemeClr w14:val="tx1"/>
                        </w14:solidFill>
                      </w14:textFill>
                    </w:rPr>
                    <w:t>布局</w:t>
                  </w:r>
                  <w:r>
                    <w:rPr>
                      <w:bCs/>
                      <w:color w:val="000000" w:themeColor="text1"/>
                      <w:spacing w:val="2"/>
                      <w:lang w:eastAsia="zh-CN"/>
                      <w14:textFill>
                        <w14:solidFill>
                          <w14:schemeClr w14:val="tx1"/>
                        </w14:solidFill>
                      </w14:textFill>
                    </w:rPr>
                    <w:t>在远离基本农田的区域，结合项目土壤、地</w:t>
                  </w:r>
                  <w:r>
                    <w:rPr>
                      <w:bCs/>
                      <w:color w:val="000000" w:themeColor="text1"/>
                      <w:spacing w:val="1"/>
                      <w:lang w:eastAsia="zh-CN"/>
                      <w14:textFill>
                        <w14:solidFill>
                          <w14:schemeClr w14:val="tx1"/>
                        </w14:solidFill>
                      </w14:textFill>
                    </w:rPr>
                    <w:t>下水</w:t>
                  </w:r>
                  <w:r>
                    <w:rPr>
                      <w:bCs/>
                      <w:color w:val="000000" w:themeColor="text1"/>
                      <w:spacing w:val="2"/>
                      <w:lang w:eastAsia="zh-CN"/>
                      <w14:textFill>
                        <w14:solidFill>
                          <w14:schemeClr w14:val="tx1"/>
                        </w14:solidFill>
                      </w14:textFill>
                    </w:rPr>
                    <w:t>环境影响、突发环境事件风险预测结果，与</w:t>
                  </w:r>
                  <w:r>
                    <w:rPr>
                      <w:bCs/>
                      <w:color w:val="000000" w:themeColor="text1"/>
                      <w:spacing w:val="1"/>
                      <w:lang w:eastAsia="zh-CN"/>
                      <w14:textFill>
                        <w14:solidFill>
                          <w14:schemeClr w14:val="tx1"/>
                        </w14:solidFill>
                      </w14:textFill>
                    </w:rPr>
                    <w:t>基本</w:t>
                  </w:r>
                  <w:r>
                    <w:rPr>
                      <w:bCs/>
                      <w:color w:val="000000" w:themeColor="text1"/>
                      <w:spacing w:val="2"/>
                      <w:lang w:eastAsia="zh-CN"/>
                      <w14:textFill>
                        <w14:solidFill>
                          <w14:schemeClr w14:val="tx1"/>
                        </w14:solidFill>
                      </w14:textFill>
                    </w:rPr>
                    <w:t>农田区域保持一定的防护距离，尽量布局在</w:t>
                  </w:r>
                  <w:r>
                    <w:rPr>
                      <w:bCs/>
                      <w:color w:val="000000" w:themeColor="text1"/>
                      <w:spacing w:val="1"/>
                      <w:lang w:eastAsia="zh-CN"/>
                      <w14:textFill>
                        <w14:solidFill>
                          <w14:schemeClr w14:val="tx1"/>
                        </w14:solidFill>
                      </w14:textFill>
                    </w:rPr>
                    <w:t>基本</w:t>
                  </w:r>
                  <w:r>
                    <w:rPr>
                      <w:bCs/>
                      <w:color w:val="000000" w:themeColor="text1"/>
                      <w:spacing w:val="-1"/>
                      <w:lang w:eastAsia="zh-CN"/>
                      <w14:textFill>
                        <w14:solidFill>
                          <w14:schemeClr w14:val="tx1"/>
                        </w14:solidFill>
                      </w14:textFill>
                    </w:rPr>
                    <w:t>农田的下风向、地下水流向的下游区域。</w:t>
                  </w:r>
                </w:p>
              </w:tc>
              <w:tc>
                <w:tcPr>
                  <w:tcW w:w="1057" w:type="pct"/>
                  <w:vAlign w:val="center"/>
                </w:tcPr>
                <w:p>
                  <w:pPr>
                    <w:pStyle w:val="29"/>
                    <w:jc w:val="center"/>
                    <w:rPr>
                      <w:bCs/>
                      <w:color w:val="000000" w:themeColor="text1"/>
                      <w14:textFill>
                        <w14:solidFill>
                          <w14:schemeClr w14:val="tx1"/>
                        </w14:solidFill>
                      </w14:textFill>
                    </w:rPr>
                  </w:pPr>
                  <w:r>
                    <w:rPr>
                      <w:bCs/>
                      <w:color w:val="000000" w:themeColor="text1"/>
                      <w:spacing w:val="-1"/>
                      <w14:textFill>
                        <w14:solidFill>
                          <w14:schemeClr w14:val="tx1"/>
                        </w14:solidFill>
                      </w14:textFill>
                    </w:rPr>
                    <w:t>本项目不涉及</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tcBorders>
                  <w:vAlign w:val="center"/>
                </w:tcPr>
                <w:p>
                  <w:pPr>
                    <w:adjustRightInd w:val="0"/>
                    <w:snapToGrid w:val="0"/>
                    <w:jc w:val="center"/>
                    <w:rPr>
                      <w:bCs/>
                      <w:color w:val="000000" w:themeColor="text1"/>
                      <w:szCs w:val="21"/>
                      <w14:textFill>
                        <w14:solidFill>
                          <w14:schemeClr w14:val="tx1"/>
                        </w14:solidFill>
                      </w14:textFill>
                    </w:rPr>
                  </w:pP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水域</w:t>
                  </w:r>
                </w:p>
              </w:tc>
              <w:tc>
                <w:tcPr>
                  <w:tcW w:w="2476" w:type="pct"/>
                  <w:vAlign w:val="center"/>
                </w:tcPr>
                <w:p>
                  <w:pPr>
                    <w:pStyle w:val="29"/>
                    <w:jc w:val="center"/>
                    <w:rPr>
                      <w:bCs/>
                      <w:color w:val="000000" w:themeColor="text1"/>
                      <w:lang w:eastAsia="zh-CN"/>
                      <w14:textFill>
                        <w14:solidFill>
                          <w14:schemeClr w14:val="tx1"/>
                        </w14:solidFill>
                      </w14:textFill>
                    </w:rPr>
                  </w:pPr>
                  <w:r>
                    <w:rPr>
                      <w:bCs/>
                      <w:color w:val="000000" w:themeColor="text1"/>
                      <w:spacing w:val="-1"/>
                      <w:lang w:eastAsia="zh-CN"/>
                      <w14:textFill>
                        <w14:solidFill>
                          <w14:schemeClr w14:val="tx1"/>
                        </w14:solidFill>
                      </w14:textFill>
                    </w:rPr>
                    <w:t>规划水域禁止开发利用</w:t>
                  </w:r>
                </w:p>
              </w:tc>
              <w:tc>
                <w:tcPr>
                  <w:tcW w:w="1057" w:type="pct"/>
                  <w:vAlign w:val="center"/>
                </w:tcPr>
                <w:p>
                  <w:pPr>
                    <w:pStyle w:val="29"/>
                    <w:jc w:val="center"/>
                    <w:rPr>
                      <w:bCs/>
                      <w:color w:val="000000" w:themeColor="text1"/>
                      <w14:textFill>
                        <w14:solidFill>
                          <w14:schemeClr w14:val="tx1"/>
                        </w14:solidFill>
                      </w14:textFill>
                    </w:rPr>
                  </w:pPr>
                  <w:r>
                    <w:rPr>
                      <w:bCs/>
                      <w:color w:val="000000" w:themeColor="text1"/>
                      <w:spacing w:val="-1"/>
                      <w14:textFill>
                        <w14:solidFill>
                          <w14:schemeClr w14:val="tx1"/>
                        </w14:solidFill>
                      </w14:textFill>
                    </w:rPr>
                    <w:t>本项目不涉及</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tcBorders>
                  <w:vAlign w:val="center"/>
                </w:tcPr>
                <w:p>
                  <w:pPr>
                    <w:adjustRightInd w:val="0"/>
                    <w:snapToGrid w:val="0"/>
                    <w:jc w:val="center"/>
                    <w:rPr>
                      <w:bCs/>
                      <w:color w:val="000000" w:themeColor="text1"/>
                      <w:szCs w:val="21"/>
                      <w14:textFill>
                        <w14:solidFill>
                          <w14:schemeClr w14:val="tx1"/>
                        </w14:solidFill>
                      </w14:textFill>
                    </w:rPr>
                  </w:pP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绿地</w:t>
                  </w:r>
                </w:p>
              </w:tc>
              <w:tc>
                <w:tcPr>
                  <w:tcW w:w="2476" w:type="pct"/>
                  <w:vAlign w:val="center"/>
                </w:tcPr>
                <w:p>
                  <w:pPr>
                    <w:pStyle w:val="29"/>
                    <w:jc w:val="center"/>
                    <w:rPr>
                      <w:bCs/>
                      <w:color w:val="000000" w:themeColor="text1"/>
                      <w:lang w:eastAsia="zh-CN"/>
                      <w14:textFill>
                        <w14:solidFill>
                          <w14:schemeClr w14:val="tx1"/>
                        </w14:solidFill>
                      </w14:textFill>
                    </w:rPr>
                  </w:pPr>
                  <w:r>
                    <w:rPr>
                      <w:bCs/>
                      <w:color w:val="000000" w:themeColor="text1"/>
                      <w:spacing w:val="1"/>
                      <w:lang w:eastAsia="zh-CN"/>
                      <w14:textFill>
                        <w14:solidFill>
                          <w14:schemeClr w14:val="tx1"/>
                        </w14:solidFill>
                      </w14:textFill>
                    </w:rPr>
                    <w:t>规划公园绿地、防护绿地等，禁止转变防护绿地</w:t>
                  </w:r>
                  <w:r>
                    <w:rPr>
                      <w:bCs/>
                      <w:color w:val="000000" w:themeColor="text1"/>
                      <w:spacing w:val="-5"/>
                      <w:lang w:eastAsia="zh-CN"/>
                      <w14:textFill>
                        <w14:solidFill>
                          <w14:schemeClr w14:val="tx1"/>
                        </w14:solidFill>
                      </w14:textFill>
                    </w:rPr>
                    <w:t>的性质</w:t>
                  </w:r>
                </w:p>
              </w:tc>
              <w:tc>
                <w:tcPr>
                  <w:tcW w:w="1057" w:type="pct"/>
                  <w:vAlign w:val="center"/>
                </w:tcPr>
                <w:p>
                  <w:pPr>
                    <w:pStyle w:val="29"/>
                    <w:jc w:val="center"/>
                    <w:rPr>
                      <w:bCs/>
                      <w:color w:val="000000" w:themeColor="text1"/>
                      <w14:textFill>
                        <w14:solidFill>
                          <w14:schemeClr w14:val="tx1"/>
                        </w14:solidFill>
                      </w14:textFill>
                    </w:rPr>
                  </w:pPr>
                  <w:r>
                    <w:rPr>
                      <w:bCs/>
                      <w:color w:val="000000" w:themeColor="text1"/>
                      <w:spacing w:val="-1"/>
                      <w14:textFill>
                        <w14:solidFill>
                          <w14:schemeClr w14:val="tx1"/>
                        </w14:solidFill>
                      </w14:textFill>
                    </w:rPr>
                    <w:t>本项目不涉及</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tcBorders>
                  <w:vAlign w:val="center"/>
                </w:tcPr>
                <w:p>
                  <w:pPr>
                    <w:adjustRightInd w:val="0"/>
                    <w:snapToGrid w:val="0"/>
                    <w:jc w:val="center"/>
                    <w:rPr>
                      <w:bCs/>
                      <w:color w:val="000000" w:themeColor="text1"/>
                      <w:szCs w:val="21"/>
                      <w14:textFill>
                        <w14:solidFill>
                          <w14:schemeClr w14:val="tx1"/>
                        </w14:solidFill>
                      </w14:textFill>
                    </w:rPr>
                  </w:pP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居住区等</w:t>
                  </w:r>
                </w:p>
              </w:tc>
              <w:tc>
                <w:tcPr>
                  <w:tcW w:w="2476" w:type="pct"/>
                  <w:vAlign w:val="center"/>
                </w:tcPr>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6"/>
                      <w:lang w:eastAsia="zh-CN"/>
                      <w14:textFill>
                        <w14:solidFill>
                          <w14:schemeClr w14:val="tx1"/>
                        </w14:solidFill>
                      </w14:textFill>
                    </w:rPr>
                    <w:t>1</w:t>
                  </w:r>
                  <w:r>
                    <w:rPr>
                      <w:bCs/>
                      <w:color w:val="000000" w:themeColor="text1"/>
                      <w:spacing w:val="6"/>
                      <w:lang w:eastAsia="zh-CN"/>
                      <w14:textFill>
                        <w14:solidFill>
                          <w14:schemeClr w14:val="tx1"/>
                        </w14:solidFill>
                      </w14:textFill>
                    </w:rPr>
                    <w:t>、规划居住、商业等非工业用地内不得新引入</w:t>
                  </w:r>
                  <w:r>
                    <w:rPr>
                      <w:bCs/>
                      <w:color w:val="000000" w:themeColor="text1"/>
                      <w:spacing w:val="12"/>
                      <w:lang w:eastAsia="zh-CN"/>
                      <w14:textFill>
                        <w14:solidFill>
                          <w14:schemeClr w14:val="tx1"/>
                        </w14:solidFill>
                      </w14:textFill>
                    </w:rPr>
                    <w:t>工业项目；规划工业区与规划居住区之间设置</w:t>
                  </w:r>
                  <w:r>
                    <w:rPr>
                      <w:rFonts w:ascii="Times New Roman" w:hAnsi="Times New Roman" w:eastAsia="Times New Roman" w:cs="Times New Roman"/>
                      <w:bCs/>
                      <w:color w:val="000000" w:themeColor="text1"/>
                      <w:spacing w:val="-4"/>
                      <w:lang w:eastAsia="zh-CN"/>
                      <w14:textFill>
                        <w14:solidFill>
                          <w14:schemeClr w14:val="tx1"/>
                        </w14:solidFill>
                      </w14:textFill>
                    </w:rPr>
                    <w:t>50m</w:t>
                  </w:r>
                  <w:r>
                    <w:rPr>
                      <w:bCs/>
                      <w:color w:val="000000" w:themeColor="text1"/>
                      <w:spacing w:val="-4"/>
                      <w:lang w:eastAsia="zh-CN"/>
                      <w14:textFill>
                        <w14:solidFill>
                          <w14:schemeClr w14:val="tx1"/>
                        </w14:solidFill>
                      </w14:textFill>
                    </w:rPr>
                    <w:t>空间防护距离；</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2"/>
                      <w:lang w:eastAsia="zh-CN"/>
                      <w14:textFill>
                        <w14:solidFill>
                          <w14:schemeClr w14:val="tx1"/>
                        </w14:solidFill>
                      </w14:textFill>
                    </w:rPr>
                    <w:t>2</w:t>
                  </w:r>
                  <w:r>
                    <w:rPr>
                      <w:bCs/>
                      <w:color w:val="000000" w:themeColor="text1"/>
                      <w:spacing w:val="-2"/>
                      <w:lang w:eastAsia="zh-CN"/>
                      <w14:textFill>
                        <w14:solidFill>
                          <w14:schemeClr w14:val="tx1"/>
                        </w14:solidFill>
                      </w14:textFill>
                    </w:rPr>
                    <w:t>、在距离居住区等大气环境保护目标</w:t>
                  </w:r>
                  <w:r>
                    <w:rPr>
                      <w:rFonts w:ascii="Times New Roman" w:hAnsi="Times New Roman" w:eastAsia="Times New Roman" w:cs="Times New Roman"/>
                      <w:bCs/>
                      <w:color w:val="000000" w:themeColor="text1"/>
                      <w:spacing w:val="-2"/>
                      <w:lang w:eastAsia="zh-CN"/>
                      <w14:textFill>
                        <w14:solidFill>
                          <w14:schemeClr w14:val="tx1"/>
                        </w14:solidFill>
                      </w14:textFill>
                    </w:rPr>
                    <w:t>100m</w:t>
                  </w:r>
                  <w:r>
                    <w:rPr>
                      <w:bCs/>
                      <w:color w:val="000000" w:themeColor="text1"/>
                      <w:spacing w:val="-2"/>
                      <w:lang w:eastAsia="zh-CN"/>
                      <w14:textFill>
                        <w14:solidFill>
                          <w14:schemeClr w14:val="tx1"/>
                        </w14:solidFill>
                      </w14:textFill>
                    </w:rPr>
                    <w:t>范围</w:t>
                  </w:r>
                  <w:r>
                    <w:rPr>
                      <w:bCs/>
                      <w:color w:val="000000" w:themeColor="text1"/>
                      <w:spacing w:val="1"/>
                      <w:lang w:eastAsia="zh-CN"/>
                      <w14:textFill>
                        <w14:solidFill>
                          <w14:schemeClr w14:val="tx1"/>
                        </w14:solidFill>
                      </w14:textFill>
                    </w:rPr>
                    <w:t>内避免布置涂装、酸洗等异味影响显著的工序及</w:t>
                  </w:r>
                  <w:r>
                    <w:rPr>
                      <w:bCs/>
                      <w:color w:val="000000" w:themeColor="text1"/>
                      <w:spacing w:val="-2"/>
                      <w:lang w:eastAsia="zh-CN"/>
                      <w14:textFill>
                        <w14:solidFill>
                          <w14:schemeClr w14:val="tx1"/>
                        </w14:solidFill>
                      </w14:textFill>
                    </w:rPr>
                    <w:t>高噪声设备；</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7"/>
                      <w:lang w:eastAsia="zh-CN"/>
                      <w14:textFill>
                        <w14:solidFill>
                          <w14:schemeClr w14:val="tx1"/>
                        </w14:solidFill>
                      </w14:textFill>
                    </w:rPr>
                    <w:t>3</w:t>
                  </w:r>
                  <w:r>
                    <w:rPr>
                      <w:bCs/>
                      <w:color w:val="000000" w:themeColor="text1"/>
                      <w:spacing w:val="7"/>
                      <w:lang w:eastAsia="zh-CN"/>
                      <w14:textFill>
                        <w14:solidFill>
                          <w14:schemeClr w14:val="tx1"/>
                        </w14:solidFill>
                      </w14:textFill>
                    </w:rPr>
                    <w:t>、污水处理厂中涉及恶臭气体产生的处理设施</w:t>
                  </w:r>
                  <w:r>
                    <w:rPr>
                      <w:bCs/>
                      <w:color w:val="000000" w:themeColor="text1"/>
                      <w:lang w:eastAsia="zh-CN"/>
                      <w14:textFill>
                        <w14:solidFill>
                          <w14:schemeClr w14:val="tx1"/>
                        </w14:solidFill>
                      </w14:textFill>
                    </w:rPr>
                    <w:t>或装置周边设置</w:t>
                  </w:r>
                  <w:r>
                    <w:rPr>
                      <w:rFonts w:ascii="Times New Roman" w:hAnsi="Times New Roman" w:eastAsia="Times New Roman" w:cs="Times New Roman"/>
                      <w:bCs/>
                      <w:color w:val="000000" w:themeColor="text1"/>
                      <w:lang w:eastAsia="zh-CN"/>
                      <w14:textFill>
                        <w14:solidFill>
                          <w14:schemeClr w14:val="tx1"/>
                        </w14:solidFill>
                      </w14:textFill>
                    </w:rPr>
                    <w:t>200m</w:t>
                  </w:r>
                  <w:r>
                    <w:rPr>
                      <w:bCs/>
                      <w:color w:val="000000" w:themeColor="text1"/>
                      <w:lang w:eastAsia="zh-CN"/>
                      <w14:textFill>
                        <w14:solidFill>
                          <w14:schemeClr w14:val="tx1"/>
                        </w14:solidFill>
                      </w14:textFill>
                    </w:rPr>
                    <w:t>卫生防护距离，不</w:t>
                  </w:r>
                  <w:r>
                    <w:rPr>
                      <w:bCs/>
                      <w:color w:val="000000" w:themeColor="text1"/>
                      <w:spacing w:val="-1"/>
                      <w:lang w:eastAsia="zh-CN"/>
                      <w14:textFill>
                        <w14:solidFill>
                          <w14:schemeClr w14:val="tx1"/>
                        </w14:solidFill>
                      </w14:textFill>
                    </w:rPr>
                    <w:t>得建设居住区等环境敏感点</w:t>
                  </w:r>
                  <w:r>
                    <w:rPr>
                      <w:rFonts w:hint="eastAsia"/>
                      <w:bCs/>
                      <w:color w:val="000000" w:themeColor="text1"/>
                      <w:spacing w:val="-1"/>
                      <w:lang w:eastAsia="zh-CN"/>
                      <w14:textFill>
                        <w14:solidFill>
                          <w14:schemeClr w14:val="tx1"/>
                        </w14:solidFill>
                      </w14:textFill>
                    </w:rPr>
                    <w:t>；</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17"/>
                      <w:lang w:eastAsia="zh-CN"/>
                      <w14:textFill>
                        <w14:solidFill>
                          <w14:schemeClr w14:val="tx1"/>
                        </w14:solidFill>
                      </w14:textFill>
                    </w:rPr>
                    <w:t>4</w:t>
                  </w:r>
                  <w:r>
                    <w:rPr>
                      <w:bCs/>
                      <w:color w:val="000000" w:themeColor="text1"/>
                      <w:spacing w:val="17"/>
                      <w:lang w:eastAsia="zh-CN"/>
                      <w14:textFill>
                        <w14:solidFill>
                          <w14:schemeClr w14:val="tx1"/>
                        </w14:solidFill>
                      </w14:textFill>
                    </w:rPr>
                    <w:t>、规划发展备用地本轮规划期内禁止开发利</w:t>
                  </w:r>
                  <w:r>
                    <w:rPr>
                      <w:bCs/>
                      <w:color w:val="000000" w:themeColor="text1"/>
                      <w:spacing w:val="-15"/>
                      <w:lang w:eastAsia="zh-CN"/>
                      <w14:textFill>
                        <w14:solidFill>
                          <w14:schemeClr w14:val="tx1"/>
                        </w14:solidFill>
                      </w14:textFill>
                    </w:rPr>
                    <w:t>用</w:t>
                  </w:r>
                  <w:r>
                    <w:rPr>
                      <w:rFonts w:hint="eastAsia"/>
                      <w:bCs/>
                      <w:color w:val="000000" w:themeColor="text1"/>
                      <w:spacing w:val="-15"/>
                      <w:lang w:eastAsia="zh-CN"/>
                      <w14:textFill>
                        <w14:solidFill>
                          <w14:schemeClr w14:val="tx1"/>
                        </w14:solidFill>
                      </w14:textFill>
                    </w:rPr>
                    <w:t>；</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6"/>
                      <w:lang w:eastAsia="zh-CN"/>
                      <w14:textFill>
                        <w14:solidFill>
                          <w14:schemeClr w14:val="tx1"/>
                        </w14:solidFill>
                      </w14:textFill>
                    </w:rPr>
                    <w:t>5</w:t>
                  </w:r>
                  <w:r>
                    <w:rPr>
                      <w:bCs/>
                      <w:color w:val="000000" w:themeColor="text1"/>
                      <w:spacing w:val="6"/>
                      <w:lang w:eastAsia="zh-CN"/>
                      <w14:textFill>
                        <w14:solidFill>
                          <w14:schemeClr w14:val="tx1"/>
                        </w14:solidFill>
                      </w14:textFill>
                    </w:rPr>
                    <w:t>、本轮规划远期对京泰街区及其周边（北至海</w:t>
                  </w:r>
                  <w:r>
                    <w:rPr>
                      <w:bCs/>
                      <w:color w:val="000000" w:themeColor="text1"/>
                      <w:spacing w:val="2"/>
                      <w:lang w:eastAsia="zh-CN"/>
                      <w14:textFill>
                        <w14:solidFill>
                          <w14:schemeClr w14:val="tx1"/>
                        </w14:solidFill>
                      </w14:textFill>
                    </w:rPr>
                    <w:t>姜大道、西至东环快速路、南至大冯河、东</w:t>
                  </w:r>
                  <w:r>
                    <w:rPr>
                      <w:bCs/>
                      <w:color w:val="000000" w:themeColor="text1"/>
                      <w:spacing w:val="1"/>
                      <w:lang w:eastAsia="zh-CN"/>
                      <w14:textFill>
                        <w14:solidFill>
                          <w14:schemeClr w14:val="tx1"/>
                        </w14:solidFill>
                      </w14:textFill>
                    </w:rPr>
                    <w:t>至规</w:t>
                  </w:r>
                  <w:r>
                    <w:rPr>
                      <w:bCs/>
                      <w:color w:val="000000" w:themeColor="text1"/>
                      <w:spacing w:val="-3"/>
                      <w:lang w:eastAsia="zh-CN"/>
                      <w14:textFill>
                        <w14:solidFill>
                          <w14:schemeClr w14:val="tx1"/>
                        </w14:solidFill>
                      </w14:textFill>
                    </w:rPr>
                    <w:t>划东环路所围成区域）提出了进行</w:t>
                  </w:r>
                  <w:r>
                    <w:rPr>
                      <w:rFonts w:hint="eastAsia"/>
                      <w:bCs/>
                      <w:color w:val="000000" w:themeColor="text1"/>
                      <w:spacing w:val="-3"/>
                      <w:lang w:eastAsia="zh-CN"/>
                      <w14:textFill>
                        <w14:solidFill>
                          <w14:schemeClr w14:val="tx1"/>
                        </w14:solidFill>
                      </w14:textFill>
                    </w:rPr>
                    <w:t>“</w:t>
                  </w:r>
                  <w:r>
                    <w:rPr>
                      <w:bCs/>
                      <w:color w:val="000000" w:themeColor="text1"/>
                      <w:spacing w:val="-3"/>
                      <w:lang w:eastAsia="zh-CN"/>
                      <w14:textFill>
                        <w14:solidFill>
                          <w14:schemeClr w14:val="tx1"/>
                        </w14:solidFill>
                      </w14:textFill>
                    </w:rPr>
                    <w:t>退二进三、</w:t>
                  </w:r>
                  <w:r>
                    <w:rPr>
                      <w:bCs/>
                      <w:color w:val="000000" w:themeColor="text1"/>
                      <w:spacing w:val="-5"/>
                      <w:lang w:eastAsia="zh-CN"/>
                      <w14:textFill>
                        <w14:solidFill>
                          <w14:schemeClr w14:val="tx1"/>
                        </w14:solidFill>
                      </w14:textFill>
                    </w:rPr>
                    <w:t>退二进居</w:t>
                  </w:r>
                  <w:r>
                    <w:rPr>
                      <w:bCs/>
                      <w:color w:val="000000" w:themeColor="text1"/>
                      <w:spacing w:val="-58"/>
                      <w:lang w:eastAsia="zh-CN"/>
                      <w14:textFill>
                        <w14:solidFill>
                          <w14:schemeClr w14:val="tx1"/>
                        </w14:solidFill>
                      </w14:textFill>
                    </w:rPr>
                    <w:t xml:space="preserve"> </w:t>
                  </w:r>
                  <w:r>
                    <w:rPr>
                      <w:rFonts w:hint="eastAsia"/>
                      <w:bCs/>
                      <w:color w:val="000000" w:themeColor="text1"/>
                      <w:spacing w:val="-3"/>
                      <w:lang w:eastAsia="zh-CN"/>
                      <w14:textFill>
                        <w14:solidFill>
                          <w14:schemeClr w14:val="tx1"/>
                        </w14:solidFill>
                      </w14:textFill>
                    </w:rPr>
                    <w:t>”</w:t>
                  </w:r>
                  <w:r>
                    <w:rPr>
                      <w:bCs/>
                      <w:color w:val="000000" w:themeColor="text1"/>
                      <w:spacing w:val="-5"/>
                      <w:lang w:eastAsia="zh-CN"/>
                      <w14:textFill>
                        <w14:solidFill>
                          <w14:schemeClr w14:val="tx1"/>
                        </w14:solidFill>
                      </w14:textFill>
                    </w:rPr>
                    <w:t>要求，该范围内工业企业在规划远期</w:t>
                  </w:r>
                  <w:r>
                    <w:rPr>
                      <w:bCs/>
                      <w:color w:val="000000" w:themeColor="text1"/>
                      <w:spacing w:val="-1"/>
                      <w:lang w:eastAsia="zh-CN"/>
                      <w14:textFill>
                        <w14:solidFill>
                          <w14:schemeClr w14:val="tx1"/>
                        </w14:solidFill>
                      </w14:textFill>
                    </w:rPr>
                    <w:t>应逐步搬迁退出。</w:t>
                  </w:r>
                </w:p>
              </w:tc>
              <w:tc>
                <w:tcPr>
                  <w:tcW w:w="1057" w:type="pct"/>
                  <w:vAlign w:val="center"/>
                </w:tcPr>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11"/>
                      <w:lang w:eastAsia="zh-CN"/>
                      <w14:textFill>
                        <w14:solidFill>
                          <w14:schemeClr w14:val="tx1"/>
                        </w14:solidFill>
                      </w14:textFill>
                    </w:rPr>
                    <w:t>1</w:t>
                  </w:r>
                  <w:r>
                    <w:rPr>
                      <w:bCs/>
                      <w:color w:val="000000" w:themeColor="text1"/>
                      <w:spacing w:val="11"/>
                      <w:lang w:eastAsia="zh-CN"/>
                      <w14:textFill>
                        <w14:solidFill>
                          <w14:schemeClr w14:val="tx1"/>
                        </w14:solidFill>
                      </w14:textFill>
                    </w:rPr>
                    <w:t>、本项目用</w:t>
                  </w:r>
                  <w:r>
                    <w:rPr>
                      <w:bCs/>
                      <w:color w:val="000000" w:themeColor="text1"/>
                      <w:spacing w:val="-9"/>
                      <w:lang w:eastAsia="zh-CN"/>
                      <w14:textFill>
                        <w14:solidFill>
                          <w14:schemeClr w14:val="tx1"/>
                        </w14:solidFill>
                      </w14:textFill>
                    </w:rPr>
                    <w:t>地为工业用</w:t>
                  </w:r>
                  <w:r>
                    <w:rPr>
                      <w:bCs/>
                      <w:color w:val="000000" w:themeColor="text1"/>
                      <w:spacing w:val="-4"/>
                      <w:lang w:eastAsia="zh-CN"/>
                      <w14:textFill>
                        <w14:solidFill>
                          <w14:schemeClr w14:val="tx1"/>
                        </w14:solidFill>
                      </w14:textFill>
                    </w:rPr>
                    <w:t>地。</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13"/>
                      <w:lang w:eastAsia="zh-CN"/>
                      <w14:textFill>
                        <w14:solidFill>
                          <w14:schemeClr w14:val="tx1"/>
                        </w14:solidFill>
                      </w14:textFill>
                    </w:rPr>
                    <w:t>2</w:t>
                  </w:r>
                  <w:r>
                    <w:rPr>
                      <w:bCs/>
                      <w:color w:val="000000" w:themeColor="text1"/>
                      <w:spacing w:val="-13"/>
                      <w:lang w:eastAsia="zh-CN"/>
                      <w14:textFill>
                        <w14:solidFill>
                          <w14:schemeClr w14:val="tx1"/>
                        </w14:solidFill>
                      </w14:textFill>
                    </w:rPr>
                    <w:t>、本项目无</w:t>
                  </w:r>
                  <w:r>
                    <w:rPr>
                      <w:bCs/>
                      <w:color w:val="000000" w:themeColor="text1"/>
                      <w:spacing w:val="13"/>
                      <w:lang w:eastAsia="zh-CN"/>
                      <w14:textFill>
                        <w14:solidFill>
                          <w14:schemeClr w14:val="tx1"/>
                        </w14:solidFill>
                      </w14:textFill>
                    </w:rPr>
                    <w:t>涂装、酸洗等异味显著的工</w:t>
                  </w:r>
                  <w:r>
                    <w:rPr>
                      <w:bCs/>
                      <w:color w:val="000000" w:themeColor="text1"/>
                      <w:spacing w:val="-10"/>
                      <w:lang w:eastAsia="zh-CN"/>
                      <w14:textFill>
                        <w14:solidFill>
                          <w14:schemeClr w14:val="tx1"/>
                        </w14:solidFill>
                      </w14:textFill>
                    </w:rPr>
                    <w:t>序。</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14"/>
                      <w:lang w:eastAsia="zh-CN"/>
                      <w14:textFill>
                        <w14:solidFill>
                          <w14:schemeClr w14:val="tx1"/>
                        </w14:solidFill>
                      </w14:textFill>
                    </w:rPr>
                    <w:t>3</w:t>
                  </w:r>
                  <w:r>
                    <w:rPr>
                      <w:bCs/>
                      <w:color w:val="000000" w:themeColor="text1"/>
                      <w:spacing w:val="-14"/>
                      <w:lang w:eastAsia="zh-CN"/>
                      <w14:textFill>
                        <w14:solidFill>
                          <w14:schemeClr w14:val="tx1"/>
                        </w14:solidFill>
                      </w14:textFill>
                    </w:rPr>
                    <w:t>、本项目非</w:t>
                  </w:r>
                  <w:r>
                    <w:rPr>
                      <w:bCs/>
                      <w:color w:val="000000" w:themeColor="text1"/>
                      <w:spacing w:val="12"/>
                      <w:lang w:eastAsia="zh-CN"/>
                      <w14:textFill>
                        <w14:solidFill>
                          <w14:schemeClr w14:val="tx1"/>
                        </w14:solidFill>
                      </w14:textFill>
                    </w:rPr>
                    <w:t>污水处理厂项</w:t>
                  </w:r>
                  <w:r>
                    <w:rPr>
                      <w:bCs/>
                      <w:color w:val="000000" w:themeColor="text1"/>
                      <w:spacing w:val="-10"/>
                      <w:lang w:eastAsia="zh-CN"/>
                      <w14:textFill>
                        <w14:solidFill>
                          <w14:schemeClr w14:val="tx1"/>
                        </w14:solidFill>
                      </w14:textFill>
                    </w:rPr>
                    <w:t>目。</w:t>
                  </w:r>
                </w:p>
                <w:p>
                  <w:pPr>
                    <w:pStyle w:val="29"/>
                    <w:jc w:val="center"/>
                    <w:rPr>
                      <w:bCs/>
                      <w:color w:val="000000" w:themeColor="text1"/>
                      <w:lang w:eastAsia="zh-CN"/>
                      <w14:textFill>
                        <w14:solidFill>
                          <w14:schemeClr w14:val="tx1"/>
                        </w14:solidFill>
                      </w14:textFill>
                    </w:rPr>
                  </w:pPr>
                  <w:r>
                    <w:rPr>
                      <w:rFonts w:ascii="Times New Roman" w:hAnsi="Times New Roman" w:eastAsia="Times New Roman" w:cs="Times New Roman"/>
                      <w:bCs/>
                      <w:color w:val="000000" w:themeColor="text1"/>
                      <w:spacing w:val="-13"/>
                      <w:lang w:eastAsia="zh-CN"/>
                      <w14:textFill>
                        <w14:solidFill>
                          <w14:schemeClr w14:val="tx1"/>
                        </w14:solidFill>
                      </w14:textFill>
                    </w:rPr>
                    <w:t>4</w:t>
                  </w:r>
                  <w:r>
                    <w:rPr>
                      <w:bCs/>
                      <w:color w:val="000000" w:themeColor="text1"/>
                      <w:spacing w:val="-13"/>
                      <w:lang w:eastAsia="zh-CN"/>
                      <w14:textFill>
                        <w14:solidFill>
                          <w14:schemeClr w14:val="tx1"/>
                        </w14:solidFill>
                      </w14:textFill>
                    </w:rPr>
                    <w:t>、本项目不</w:t>
                  </w:r>
                  <w:r>
                    <w:rPr>
                      <w:bCs/>
                      <w:color w:val="000000" w:themeColor="text1"/>
                      <w:spacing w:val="12"/>
                      <w:lang w:eastAsia="zh-CN"/>
                      <w14:textFill>
                        <w14:solidFill>
                          <w14:schemeClr w14:val="tx1"/>
                        </w14:solidFill>
                      </w14:textFill>
                    </w:rPr>
                    <w:t>涉及规划发展</w:t>
                  </w:r>
                  <w:r>
                    <w:rPr>
                      <w:bCs/>
                      <w:color w:val="000000" w:themeColor="text1"/>
                      <w:spacing w:val="-2"/>
                      <w:lang w:eastAsia="zh-CN"/>
                      <w14:textFill>
                        <w14:solidFill>
                          <w14:schemeClr w14:val="tx1"/>
                        </w14:solidFill>
                      </w14:textFill>
                    </w:rPr>
                    <w:t>备用地。</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restart"/>
                  <w:tcBorders>
                    <w:lef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重点管控区域</w:t>
                  </w: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空间布局约束</w:t>
                  </w:r>
                </w:p>
              </w:tc>
              <w:tc>
                <w:tcPr>
                  <w:tcW w:w="2476" w:type="pct"/>
                  <w:vAlign w:val="center"/>
                </w:tcPr>
                <w:p>
                  <w:pPr>
                    <w:widowControl/>
                    <w:jc w:val="center"/>
                    <w:rPr>
                      <w:bCs/>
                      <w:color w:val="000000" w:themeColor="text1"/>
                      <w:szCs w:val="21"/>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本园区优先引入的产业清单：</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1</w:t>
                  </w:r>
                  <w:r>
                    <w:rPr>
                      <w:rFonts w:ascii="宋体" w:hAnsi="宋体" w:cs="宋体"/>
                      <w:bCs/>
                      <w:color w:val="000000" w:themeColor="text1"/>
                      <w:kern w:val="0"/>
                      <w:szCs w:val="21"/>
                      <w:lang w:bidi="ar"/>
                      <w14:textFill>
                        <w14:solidFill>
                          <w14:schemeClr w14:val="tx1"/>
                        </w14:solidFill>
                      </w14:textFill>
                    </w:rPr>
                    <w:t>、交通运输装备：汽车智能电子控制系统与车载智能设备、智能汽车</w:t>
                  </w:r>
                  <w:r>
                    <w:rPr>
                      <w:bCs/>
                      <w:color w:val="000000" w:themeColor="text1"/>
                      <w:kern w:val="0"/>
                      <w:szCs w:val="21"/>
                      <w:lang w:bidi="ar"/>
                      <w14:textFill>
                        <w14:solidFill>
                          <w14:schemeClr w14:val="tx1"/>
                        </w14:solidFill>
                      </w14:textFill>
                    </w:rPr>
                    <w:t>/</w:t>
                  </w:r>
                  <w:r>
                    <w:rPr>
                      <w:rFonts w:ascii="宋体" w:hAnsi="宋体" w:cs="宋体"/>
                      <w:bCs/>
                      <w:color w:val="000000" w:themeColor="text1"/>
                      <w:kern w:val="0"/>
                      <w:szCs w:val="21"/>
                      <w:lang w:bidi="ar"/>
                      <w14:textFill>
                        <w14:solidFill>
                          <w14:schemeClr w14:val="tx1"/>
                        </w14:solidFill>
                      </w14:textFill>
                    </w:rPr>
                    <w:t>新能源汽车零部件等；</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、通用专用装备：泵、阀、压缩机等机械制造、通用零部件制造等，医疗、环保类专用机械设备制造等；</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3</w:t>
                  </w:r>
                  <w:r>
                    <w:rPr>
                      <w:rFonts w:ascii="宋体" w:hAnsi="宋体" w:cs="宋体"/>
                      <w:bCs/>
                      <w:color w:val="000000" w:themeColor="text1"/>
                      <w:kern w:val="0"/>
                      <w:szCs w:val="21"/>
                      <w:lang w:bidi="ar"/>
                      <w14:textFill>
                        <w14:solidFill>
                          <w14:schemeClr w14:val="tx1"/>
                        </w14:solidFill>
                      </w14:textFill>
                    </w:rPr>
                    <w:t>、电气机械及器材：太阳能电池片生产及光伏组件装配、冰箱空调生产及相关零部件制造、智能电网设备等；</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4</w:t>
                  </w:r>
                  <w:r>
                    <w:rPr>
                      <w:rFonts w:ascii="宋体" w:hAnsi="宋体" w:cs="宋体"/>
                      <w:bCs/>
                      <w:color w:val="000000" w:themeColor="text1"/>
                      <w:kern w:val="0"/>
                      <w:szCs w:val="21"/>
                      <w:lang w:bidi="ar"/>
                      <w14:textFill>
                        <w14:solidFill>
                          <w14:schemeClr w14:val="tx1"/>
                        </w14:solidFill>
                      </w14:textFill>
                    </w:rPr>
                    <w:t>、电子和通讯设备：电子设备、新型电子元器件、通讯设备制造、集成电路装备制造、新型电子专用材料等；</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5</w:t>
                  </w:r>
                  <w:r>
                    <w:rPr>
                      <w:rFonts w:ascii="宋体" w:hAnsi="宋体" w:cs="宋体"/>
                      <w:bCs/>
                      <w:color w:val="000000" w:themeColor="text1"/>
                      <w:kern w:val="0"/>
                      <w:szCs w:val="21"/>
                      <w:lang w:bidi="ar"/>
                      <w14:textFill>
                        <w14:solidFill>
                          <w14:schemeClr w14:val="tx1"/>
                        </w14:solidFill>
                      </w14:textFill>
                    </w:rPr>
                    <w:t>、仪器与仪表：数字化、智能化、网络化工业自动检测仪表等。</w:t>
                  </w:r>
                </w:p>
                <w:p>
                  <w:pPr>
                    <w:widowControl/>
                    <w:jc w:val="center"/>
                    <w:rPr>
                      <w:bCs/>
                      <w:color w:val="000000" w:themeColor="text1"/>
                      <w:szCs w:val="21"/>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本园区禁止引入的产业清单：</w:t>
                  </w:r>
                </w:p>
                <w:p>
                  <w:pPr>
                    <w:widowControl/>
                    <w:numPr>
                      <w:ilvl w:val="0"/>
                      <w:numId w:val="3"/>
                    </w:numPr>
                    <w:jc w:val="center"/>
                    <w:rPr>
                      <w:rFonts w:ascii="宋体" w:hAnsi="宋体" w:cs="宋体"/>
                      <w:bCs/>
                      <w:color w:val="000000" w:themeColor="text1"/>
                      <w:kern w:val="0"/>
                      <w:szCs w:val="21"/>
                      <w:lang w:bidi="ar"/>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禁止新建含电镀工序的项目；</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、禁止引入不符合国家及江苏省</w:t>
                  </w:r>
                  <w:r>
                    <w:rPr>
                      <w:bCs/>
                      <w:color w:val="000000" w:themeColor="text1"/>
                      <w:kern w:val="0"/>
                      <w:szCs w:val="21"/>
                      <w:lang w:bidi="ar"/>
                      <w14:textFill>
                        <w14:solidFill>
                          <w14:schemeClr w14:val="tx1"/>
                        </w14:solidFill>
                      </w14:textFill>
                    </w:rPr>
                    <w:t>VOCs</w:t>
                  </w:r>
                  <w:r>
                    <w:rPr>
                      <w:rFonts w:ascii="宋体" w:hAnsi="宋体" w:cs="宋体"/>
                      <w:bCs/>
                      <w:color w:val="000000" w:themeColor="text1"/>
                      <w:kern w:val="0"/>
                      <w:szCs w:val="21"/>
                      <w:lang w:bidi="ar"/>
                      <w14:textFill>
                        <w14:solidFill>
                          <w14:schemeClr w14:val="tx1"/>
                        </w14:solidFill>
                      </w14:textFill>
                    </w:rPr>
                    <w:t>管控要求的涂装项目；</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3</w:t>
                  </w:r>
                  <w:r>
                    <w:rPr>
                      <w:rFonts w:ascii="宋体" w:hAnsi="宋体" w:cs="宋体"/>
                      <w:bCs/>
                      <w:color w:val="000000" w:themeColor="text1"/>
                      <w:kern w:val="0"/>
                      <w:szCs w:val="21"/>
                      <w:lang w:bidi="ar"/>
                      <w14:textFill>
                        <w14:solidFill>
                          <w14:schemeClr w14:val="tx1"/>
                        </w14:solidFill>
                      </w14:textFill>
                    </w:rPr>
                    <w:t>、禁止引入涉及重点重金属（铅、汞、镉、铬、砷）排放的项目；</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4</w:t>
                  </w:r>
                  <w:r>
                    <w:rPr>
                      <w:rFonts w:ascii="宋体" w:hAnsi="宋体" w:cs="宋体"/>
                      <w:bCs/>
                      <w:color w:val="000000" w:themeColor="text1"/>
                      <w:kern w:val="0"/>
                      <w:szCs w:val="21"/>
                      <w:lang w:bidi="ar"/>
                      <w14:textFill>
                        <w14:solidFill>
                          <w14:schemeClr w14:val="tx1"/>
                        </w14:solidFill>
                      </w14:textFill>
                    </w:rPr>
                    <w:t>、禁止引入化工、石化、印染、制革、造纸、冶金、焦化、平板玻璃等重污染项目；</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5</w:t>
                  </w:r>
                  <w:r>
                    <w:rPr>
                      <w:rFonts w:ascii="宋体" w:hAnsi="宋体" w:cs="宋体"/>
                      <w:bCs/>
                      <w:color w:val="000000" w:themeColor="text1"/>
                      <w:kern w:val="0"/>
                      <w:szCs w:val="21"/>
                      <w:lang w:bidi="ar"/>
                      <w14:textFill>
                        <w14:solidFill>
                          <w14:schemeClr w14:val="tx1"/>
                        </w14:solidFill>
                      </w14:textFill>
                    </w:rPr>
                    <w:t>、禁止引入含有酿造、发酵等异味气体影响显著工序的食品制造项目；</w:t>
                  </w:r>
                </w:p>
                <w:p>
                  <w:pPr>
                    <w:widowControl/>
                    <w:jc w:val="center"/>
                    <w:rPr>
                      <w:rFonts w:ascii="宋体" w:hAnsi="宋体" w:cs="宋体"/>
                      <w:bCs/>
                      <w:color w:val="000000" w:themeColor="text1"/>
                      <w:kern w:val="0"/>
                      <w:szCs w:val="21"/>
                      <w:lang w:bidi="ar"/>
                      <w14:textFill>
                        <w14:solidFill>
                          <w14:schemeClr w14:val="tx1"/>
                        </w14:solidFill>
                      </w14:textFill>
                    </w:rPr>
                  </w:pPr>
                  <w:r>
                    <w:rPr>
                      <w:bCs/>
                      <w:color w:val="000000" w:themeColor="text1"/>
                      <w:kern w:val="0"/>
                      <w:szCs w:val="21"/>
                      <w:lang w:bidi="ar"/>
                      <w14:textFill>
                        <w14:solidFill>
                          <w14:schemeClr w14:val="tx1"/>
                        </w14:solidFill>
                      </w14:textFill>
                    </w:rPr>
                    <w:t>6</w:t>
                  </w:r>
                  <w:r>
                    <w:rPr>
                      <w:rFonts w:ascii="宋体" w:hAnsi="宋体" w:cs="宋体"/>
                      <w:bCs/>
                      <w:color w:val="000000" w:themeColor="text1"/>
                      <w:kern w:val="0"/>
                      <w:szCs w:val="21"/>
                      <w:lang w:bidi="ar"/>
                      <w14:textFill>
                        <w14:solidFill>
                          <w14:schemeClr w14:val="tx1"/>
                        </w14:solidFill>
                      </w14:textFill>
                    </w:rPr>
                    <w:t>、禁止引入化学药品原料药制造、兽用药品及生物药品制品制造的医药制造业（单纯药品复配、分装的轻污染项目除外）；</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7</w:t>
                  </w:r>
                  <w:r>
                    <w:rPr>
                      <w:rFonts w:ascii="宋体" w:hAnsi="宋体" w:cs="宋体"/>
                      <w:bCs/>
                      <w:color w:val="000000" w:themeColor="text1"/>
                      <w:kern w:val="0"/>
                      <w:szCs w:val="21"/>
                      <w:lang w:bidi="ar"/>
                      <w14:textFill>
                        <w14:solidFill>
                          <w14:schemeClr w14:val="tx1"/>
                        </w14:solidFill>
                      </w14:textFill>
                    </w:rPr>
                    <w:t>、禁止引入含有提炼工艺的中药饮片加工及中成药生产项目（单纯切片、制干、打包的除外）；</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8</w:t>
                  </w:r>
                  <w:r>
                    <w:rPr>
                      <w:rFonts w:ascii="宋体" w:hAnsi="宋体" w:cs="宋体"/>
                      <w:bCs/>
                      <w:color w:val="000000" w:themeColor="text1"/>
                      <w:kern w:val="0"/>
                      <w:szCs w:val="21"/>
                      <w:lang w:bidi="ar"/>
                      <w14:textFill>
                        <w14:solidFill>
                          <w14:schemeClr w14:val="tx1"/>
                        </w14:solidFill>
                      </w14:textFill>
                    </w:rPr>
                    <w:t>、禁止引入含有化纤合成工序的化学纤维制造业（单纯纺丝除外）；</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9</w:t>
                  </w:r>
                  <w:r>
                    <w:rPr>
                      <w:rFonts w:ascii="宋体" w:hAnsi="宋体" w:cs="宋体"/>
                      <w:bCs/>
                      <w:color w:val="000000" w:themeColor="text1"/>
                      <w:kern w:val="0"/>
                      <w:szCs w:val="21"/>
                      <w:lang w:bidi="ar"/>
                      <w14:textFill>
                        <w14:solidFill>
                          <w14:schemeClr w14:val="tx1"/>
                        </w14:solidFill>
                      </w14:textFill>
                    </w:rPr>
                    <w:t>、禁止引入含有炼焦、硫化等异味气体影响显著的橡胶制品业；</w:t>
                  </w:r>
                </w:p>
                <w:p>
                  <w:pPr>
                    <w:widowControl/>
                    <w:jc w:val="center"/>
                    <w:rPr>
                      <w:rFonts w:ascii="宋体" w:hAnsi="宋体" w:cs="宋体"/>
                      <w:bCs/>
                      <w:color w:val="000000" w:themeColor="text1"/>
                      <w:kern w:val="0"/>
                      <w:szCs w:val="21"/>
                      <w:lang w:bidi="ar"/>
                      <w14:textFill>
                        <w14:solidFill>
                          <w14:schemeClr w14:val="tx1"/>
                        </w14:solidFill>
                      </w14:textFill>
                    </w:rPr>
                  </w:pPr>
                  <w:r>
                    <w:rPr>
                      <w:bCs/>
                      <w:color w:val="000000" w:themeColor="text1"/>
                      <w:kern w:val="0"/>
                      <w:szCs w:val="21"/>
                      <w:lang w:bidi="ar"/>
                      <w14:textFill>
                        <w14:solidFill>
                          <w14:schemeClr w14:val="tx1"/>
                        </w14:solidFill>
                      </w14:textFill>
                    </w:rPr>
                    <w:t>10</w:t>
                  </w:r>
                  <w:r>
                    <w:rPr>
                      <w:rFonts w:ascii="宋体" w:hAnsi="宋体" w:cs="宋体"/>
                      <w:bCs/>
                      <w:color w:val="000000" w:themeColor="text1"/>
                      <w:kern w:val="0"/>
                      <w:szCs w:val="21"/>
                      <w:lang w:bidi="ar"/>
                      <w14:textFill>
                        <w14:solidFill>
                          <w14:schemeClr w14:val="tx1"/>
                        </w14:solidFill>
                      </w14:textFill>
                    </w:rPr>
                    <w:t>、禁止引入《环境保护综合名录》</w:t>
                  </w:r>
                  <w:r>
                    <w:rPr>
                      <w:bCs/>
                      <w:color w:val="000000" w:themeColor="text1"/>
                      <w:kern w:val="0"/>
                      <w:szCs w:val="21"/>
                      <w:lang w:bidi="ar"/>
                      <w14:textFill>
                        <w14:solidFill>
                          <w14:schemeClr w14:val="tx1"/>
                        </w14:solidFill>
                      </w14:textFill>
                    </w:rPr>
                    <w:t>“</w:t>
                  </w:r>
                  <w:r>
                    <w:rPr>
                      <w:rFonts w:ascii="宋体" w:hAnsi="宋体" w:cs="宋体"/>
                      <w:bCs/>
                      <w:color w:val="000000" w:themeColor="text1"/>
                      <w:kern w:val="0"/>
                      <w:szCs w:val="21"/>
                      <w:lang w:bidi="ar"/>
                      <w14:textFill>
                        <w14:solidFill>
                          <w14:schemeClr w14:val="tx1"/>
                        </w14:solidFill>
                      </w14:textFill>
                    </w:rPr>
                    <w:t>高污染、高环境风险</w:t>
                  </w:r>
                  <w:r>
                    <w:rPr>
                      <w:bCs/>
                      <w:color w:val="000000" w:themeColor="text1"/>
                      <w:kern w:val="0"/>
                      <w:szCs w:val="21"/>
                      <w:lang w:bidi="ar"/>
                      <w14:textFill>
                        <w14:solidFill>
                          <w14:schemeClr w14:val="tx1"/>
                        </w14:solidFill>
                      </w14:textFill>
                    </w:rPr>
                    <w:t>”</w:t>
                  </w:r>
                  <w:r>
                    <w:rPr>
                      <w:rFonts w:ascii="宋体" w:hAnsi="宋体" w:cs="宋体"/>
                      <w:bCs/>
                      <w:color w:val="000000" w:themeColor="text1"/>
                      <w:kern w:val="0"/>
                      <w:szCs w:val="21"/>
                      <w:lang w:bidi="ar"/>
                      <w14:textFill>
                        <w14:solidFill>
                          <w14:schemeClr w14:val="tx1"/>
                        </w14:solidFill>
                      </w14:textFill>
                    </w:rPr>
                    <w:t>产品；</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11</w:t>
                  </w:r>
                  <w:r>
                    <w:rPr>
                      <w:rFonts w:ascii="宋体" w:hAnsi="宋体" w:cs="宋体"/>
                      <w:bCs/>
                      <w:color w:val="000000" w:themeColor="text1"/>
                      <w:kern w:val="0"/>
                      <w:szCs w:val="21"/>
                      <w:lang w:bidi="ar"/>
                      <w14:textFill>
                        <w14:solidFill>
                          <w14:schemeClr w14:val="tx1"/>
                        </w14:solidFill>
                      </w14:textFill>
                    </w:rPr>
                    <w:t>、禁止引入其他不符合国家、江苏省及泰州市等相关部门制定的产业引导政策，或涉及相关限制淘汰类设备和工艺清单的项目。</w:t>
                  </w:r>
                </w:p>
              </w:tc>
              <w:tc>
                <w:tcPr>
                  <w:tcW w:w="1057"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本项目为汽车零部件及高端装备国际配套零部件项目，主要生产汽车零部件及通用专用设备，符合园区主导行业中交通运输装备、通用专用装备。</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tcBorders>
                  <w:vAlign w:val="center"/>
                </w:tcPr>
                <w:p>
                  <w:pPr>
                    <w:adjustRightInd w:val="0"/>
                    <w:snapToGrid w:val="0"/>
                    <w:jc w:val="center"/>
                    <w:rPr>
                      <w:bCs/>
                      <w:color w:val="000000" w:themeColor="text1"/>
                      <w:szCs w:val="21"/>
                      <w14:textFill>
                        <w14:solidFill>
                          <w14:schemeClr w14:val="tx1"/>
                        </w14:solidFill>
                      </w14:textFill>
                    </w:rPr>
                  </w:pP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污染物排放管控</w:t>
                  </w:r>
                </w:p>
              </w:tc>
              <w:tc>
                <w:tcPr>
                  <w:tcW w:w="2476" w:type="pct"/>
                  <w:vAlign w:val="center"/>
                </w:tcPr>
                <w:p>
                  <w:pPr>
                    <w:widowControl/>
                    <w:jc w:val="center"/>
                    <w:rPr>
                      <w:rFonts w:ascii="宋体" w:hAnsi="宋体" w:cs="宋体"/>
                      <w:bCs/>
                      <w:color w:val="000000" w:themeColor="text1"/>
                      <w:kern w:val="0"/>
                      <w:szCs w:val="21"/>
                      <w:lang w:bidi="ar"/>
                      <w14:textFill>
                        <w14:solidFill>
                          <w14:schemeClr w14:val="tx1"/>
                        </w14:solidFill>
                      </w14:textFill>
                    </w:rPr>
                  </w:pPr>
                  <w:r>
                    <w:rPr>
                      <w:bCs/>
                      <w:color w:val="000000" w:themeColor="text1"/>
                      <w:kern w:val="0"/>
                      <w:szCs w:val="21"/>
                      <w:lang w:bidi="ar"/>
                      <w14:textFill>
                        <w14:solidFill>
                          <w14:schemeClr w14:val="tx1"/>
                        </w14:solidFill>
                      </w14:textFill>
                    </w:rPr>
                    <w:t>1</w:t>
                  </w:r>
                  <w:r>
                    <w:rPr>
                      <w:rFonts w:ascii="宋体" w:hAnsi="宋体" w:cs="宋体"/>
                      <w:bCs/>
                      <w:color w:val="000000" w:themeColor="text1"/>
                      <w:kern w:val="0"/>
                      <w:szCs w:val="21"/>
                      <w:lang w:bidi="ar"/>
                      <w14:textFill>
                        <w14:solidFill>
                          <w14:schemeClr w14:val="tx1"/>
                        </w14:solidFill>
                      </w14:textFill>
                    </w:rPr>
                    <w:t>、水污染物排放总量：</w:t>
                  </w:r>
                  <w:r>
                    <w:rPr>
                      <w:bCs/>
                      <w:color w:val="000000" w:themeColor="text1"/>
                      <w:kern w:val="0"/>
                      <w:szCs w:val="21"/>
                      <w:lang w:bidi="ar"/>
                      <w14:textFill>
                        <w14:solidFill>
                          <w14:schemeClr w14:val="tx1"/>
                        </w14:solidFill>
                      </w14:textFill>
                    </w:rPr>
                    <w:t>COD471.46t/a</w:t>
                  </w:r>
                  <w:r>
                    <w:rPr>
                      <w:rFonts w:ascii="宋体" w:hAnsi="宋体" w:cs="宋体"/>
                      <w:bCs/>
                      <w:color w:val="000000" w:themeColor="text1"/>
                      <w:kern w:val="0"/>
                      <w:szCs w:val="21"/>
                      <w:lang w:bidi="ar"/>
                      <w14:textFill>
                        <w14:solidFill>
                          <w14:schemeClr w14:val="tx1"/>
                        </w14:solidFill>
                      </w14:textFill>
                    </w:rPr>
                    <w:t>、氨氮</w:t>
                  </w:r>
                  <w:r>
                    <w:rPr>
                      <w:bCs/>
                      <w:color w:val="000000" w:themeColor="text1"/>
                      <w:kern w:val="0"/>
                      <w:szCs w:val="21"/>
                      <w:lang w:bidi="ar"/>
                      <w14:textFill>
                        <w14:solidFill>
                          <w14:schemeClr w14:val="tx1"/>
                        </w14:solidFill>
                      </w14:textFill>
                    </w:rPr>
                    <w:t>37.05t/a</w:t>
                  </w:r>
                  <w:r>
                    <w:rPr>
                      <w:rFonts w:ascii="宋体" w:hAnsi="宋体" w:cs="宋体"/>
                      <w:bCs/>
                      <w:color w:val="000000" w:themeColor="text1"/>
                      <w:kern w:val="0"/>
                      <w:szCs w:val="21"/>
                      <w:lang w:bidi="ar"/>
                      <w14:textFill>
                        <w14:solidFill>
                          <w14:schemeClr w14:val="tx1"/>
                        </w14:solidFill>
                      </w14:textFill>
                    </w:rPr>
                    <w:t>、总磷</w:t>
                  </w:r>
                  <w:r>
                    <w:rPr>
                      <w:bCs/>
                      <w:color w:val="000000" w:themeColor="text1"/>
                      <w:kern w:val="0"/>
                      <w:szCs w:val="21"/>
                      <w:lang w:bidi="ar"/>
                      <w14:textFill>
                        <w14:solidFill>
                          <w14:schemeClr w14:val="tx1"/>
                        </w14:solidFill>
                      </w14:textFill>
                    </w:rPr>
                    <w:t>4.71t/a</w:t>
                  </w:r>
                  <w:r>
                    <w:rPr>
                      <w:rFonts w:ascii="宋体" w:hAnsi="宋体" w:cs="宋体"/>
                      <w:bCs/>
                      <w:color w:val="000000" w:themeColor="text1"/>
                      <w:kern w:val="0"/>
                      <w:szCs w:val="21"/>
                      <w:lang w:bidi="ar"/>
                      <w14:textFill>
                        <w14:solidFill>
                          <w14:schemeClr w14:val="tx1"/>
                        </w14:solidFill>
                      </w14:textFill>
                    </w:rPr>
                    <w:t>、总氮</w:t>
                  </w:r>
                  <w:r>
                    <w:rPr>
                      <w:bCs/>
                      <w:color w:val="000000" w:themeColor="text1"/>
                      <w:kern w:val="0"/>
                      <w:szCs w:val="21"/>
                      <w:lang w:bidi="ar"/>
                      <w14:textFill>
                        <w14:solidFill>
                          <w14:schemeClr w14:val="tx1"/>
                        </w14:solidFill>
                      </w14:textFill>
                    </w:rPr>
                    <w:t>181.83t/a</w:t>
                  </w:r>
                  <w:r>
                    <w:rPr>
                      <w:rFonts w:ascii="宋体" w:hAnsi="宋体" w:cs="宋体"/>
                      <w:bCs/>
                      <w:color w:val="000000" w:themeColor="text1"/>
                      <w:kern w:val="0"/>
                      <w:szCs w:val="21"/>
                      <w:lang w:bidi="ar"/>
                      <w14:textFill>
                        <w14:solidFill>
                          <w14:schemeClr w14:val="tx1"/>
                        </w14:solidFill>
                      </w14:textFill>
                    </w:rPr>
                    <w:t>；</w:t>
                  </w:r>
                  <w:r>
                    <w:rPr>
                      <w:bCs/>
                      <w:color w:val="000000" w:themeColor="text1"/>
                      <w:kern w:val="0"/>
                      <w:szCs w:val="21"/>
                      <w:lang w:bidi="ar"/>
                      <w14:textFill>
                        <w14:solidFill>
                          <w14:schemeClr w14:val="tx1"/>
                        </w14:solidFill>
                      </w14:textFill>
                    </w:rPr>
                    <w:t>SS121.22t/a</w:t>
                  </w:r>
                  <w:r>
                    <w:rPr>
                      <w:rFonts w:ascii="宋体" w:hAnsi="宋体" w:cs="宋体"/>
                      <w:bCs/>
                      <w:color w:val="000000" w:themeColor="text1"/>
                      <w:kern w:val="0"/>
                      <w:szCs w:val="21"/>
                      <w:lang w:bidi="ar"/>
                      <w14:textFill>
                        <w14:solidFill>
                          <w14:schemeClr w14:val="tx1"/>
                        </w14:solidFill>
                      </w14:textFill>
                    </w:rPr>
                    <w:t>、石油类</w:t>
                  </w:r>
                  <w:r>
                    <w:rPr>
                      <w:bCs/>
                      <w:color w:val="000000" w:themeColor="text1"/>
                      <w:kern w:val="0"/>
                      <w:szCs w:val="21"/>
                      <w:lang w:bidi="ar"/>
                      <w14:textFill>
                        <w14:solidFill>
                          <w14:schemeClr w14:val="tx1"/>
                        </w14:solidFill>
                      </w14:textFill>
                    </w:rPr>
                    <w:t>3.24t/a</w:t>
                  </w:r>
                  <w:r>
                    <w:rPr>
                      <w:rFonts w:ascii="宋体" w:hAnsi="宋体" w:cs="宋体"/>
                      <w:bCs/>
                      <w:color w:val="000000" w:themeColor="text1"/>
                      <w:kern w:val="0"/>
                      <w:szCs w:val="21"/>
                      <w:lang w:bidi="ar"/>
                      <w14:textFill>
                        <w14:solidFill>
                          <w14:schemeClr w14:val="tx1"/>
                        </w14:solidFill>
                      </w14:textFill>
                    </w:rPr>
                    <w:t>、总铜</w:t>
                  </w:r>
                  <w:r>
                    <w:rPr>
                      <w:bCs/>
                      <w:color w:val="000000" w:themeColor="text1"/>
                      <w:kern w:val="0"/>
                      <w:szCs w:val="21"/>
                      <w:lang w:bidi="ar"/>
                      <w14:textFill>
                        <w14:solidFill>
                          <w14:schemeClr w14:val="tx1"/>
                        </w14:solidFill>
                      </w14:textFill>
                    </w:rPr>
                    <w:t>0.11t/a</w:t>
                  </w:r>
                  <w:r>
                    <w:rPr>
                      <w:rFonts w:ascii="宋体" w:hAnsi="宋体" w:cs="宋体"/>
                      <w:bCs/>
                      <w:color w:val="000000" w:themeColor="text1"/>
                      <w:kern w:val="0"/>
                      <w:szCs w:val="21"/>
                      <w:lang w:bidi="ar"/>
                      <w14:textFill>
                        <w14:solidFill>
                          <w14:schemeClr w14:val="tx1"/>
                        </w14:solidFill>
                      </w14:textFill>
                    </w:rPr>
                    <w:t>、总锌</w:t>
                  </w:r>
                  <w:r>
                    <w:rPr>
                      <w:bCs/>
                      <w:color w:val="000000" w:themeColor="text1"/>
                      <w:kern w:val="0"/>
                      <w:szCs w:val="21"/>
                      <w:lang w:bidi="ar"/>
                      <w14:textFill>
                        <w14:solidFill>
                          <w14:schemeClr w14:val="tx1"/>
                        </w14:solidFill>
                      </w14:textFill>
                    </w:rPr>
                    <w:t>0.16t/a</w:t>
                  </w:r>
                  <w:r>
                    <w:rPr>
                      <w:rFonts w:ascii="宋体" w:hAnsi="宋体" w:cs="宋体"/>
                      <w:bCs/>
                      <w:color w:val="000000" w:themeColor="text1"/>
                      <w:kern w:val="0"/>
                      <w:szCs w:val="21"/>
                      <w:lang w:bidi="ar"/>
                      <w14:textFill>
                        <w14:solidFill>
                          <w14:schemeClr w14:val="tx1"/>
                        </w14:solidFill>
                      </w14:textFill>
                    </w:rPr>
                    <w:t>、总镍</w:t>
                  </w:r>
                  <w:r>
                    <w:rPr>
                      <w:bCs/>
                      <w:color w:val="000000" w:themeColor="text1"/>
                      <w:kern w:val="0"/>
                      <w:szCs w:val="21"/>
                      <w:lang w:bidi="ar"/>
                      <w14:textFill>
                        <w14:solidFill>
                          <w14:schemeClr w14:val="tx1"/>
                        </w14:solidFill>
                      </w14:textFill>
                    </w:rPr>
                    <w:t>0.09t/a</w:t>
                  </w:r>
                  <w:r>
                    <w:rPr>
                      <w:rFonts w:ascii="宋体" w:hAnsi="宋体" w:cs="宋体"/>
                      <w:bCs/>
                      <w:color w:val="000000" w:themeColor="text1"/>
                      <w:kern w:val="0"/>
                      <w:szCs w:val="21"/>
                      <w:lang w:bidi="ar"/>
                      <w14:textFill>
                        <w14:solidFill>
                          <w14:schemeClr w14:val="tx1"/>
                        </w14:solidFill>
                      </w14:textFill>
                    </w:rPr>
                    <w:t>、氟化物</w:t>
                  </w:r>
                  <w:r>
                    <w:rPr>
                      <w:bCs/>
                      <w:color w:val="000000" w:themeColor="text1"/>
                      <w:kern w:val="0"/>
                      <w:szCs w:val="21"/>
                      <w:lang w:bidi="ar"/>
                      <w14:textFill>
                        <w14:solidFill>
                          <w14:schemeClr w14:val="tx1"/>
                        </w14:solidFill>
                      </w14:textFill>
                    </w:rPr>
                    <w:t>4.69t/a</w:t>
                  </w:r>
                  <w:r>
                    <w:rPr>
                      <w:rFonts w:ascii="宋体" w:hAnsi="宋体" w:cs="宋体"/>
                      <w:bCs/>
                      <w:color w:val="000000" w:themeColor="text1"/>
                      <w:kern w:val="0"/>
                      <w:szCs w:val="21"/>
                      <w:lang w:bidi="ar"/>
                      <w14:textFill>
                        <w14:solidFill>
                          <w14:schemeClr w14:val="tx1"/>
                        </w14:solidFill>
                      </w14:textFill>
                    </w:rPr>
                    <w:t>、总氰化物</w:t>
                  </w:r>
                  <w:r>
                    <w:rPr>
                      <w:bCs/>
                      <w:color w:val="000000" w:themeColor="text1"/>
                      <w:kern w:val="0"/>
                      <w:szCs w:val="21"/>
                      <w:lang w:bidi="ar"/>
                      <w14:textFill>
                        <w14:solidFill>
                          <w14:schemeClr w14:val="tx1"/>
                        </w14:solidFill>
                      </w14:textFill>
                    </w:rPr>
                    <w:t>0.006t/a</w:t>
                  </w:r>
                  <w:r>
                    <w:rPr>
                      <w:rFonts w:ascii="宋体" w:hAnsi="宋体" w:cs="宋体"/>
                      <w:bCs/>
                      <w:color w:val="000000" w:themeColor="text1"/>
                      <w:kern w:val="0"/>
                      <w:szCs w:val="21"/>
                      <w:lang w:bidi="ar"/>
                      <w14:textFill>
                        <w14:solidFill>
                          <w14:schemeClr w14:val="tx1"/>
                        </w14:solidFill>
                      </w14:textFill>
                    </w:rPr>
                    <w:t>、总银</w:t>
                  </w:r>
                  <w:r>
                    <w:rPr>
                      <w:bCs/>
                      <w:color w:val="000000" w:themeColor="text1"/>
                      <w:kern w:val="0"/>
                      <w:szCs w:val="21"/>
                      <w:lang w:bidi="ar"/>
                      <w14:textFill>
                        <w14:solidFill>
                          <w14:schemeClr w14:val="tx1"/>
                        </w14:solidFill>
                      </w14:textFill>
                    </w:rPr>
                    <w:t>0.003t/a</w:t>
                  </w:r>
                  <w:r>
                    <w:rPr>
                      <w:rFonts w:ascii="宋体" w:hAnsi="宋体" w:cs="宋体"/>
                      <w:bCs/>
                      <w:color w:val="000000" w:themeColor="text1"/>
                      <w:kern w:val="0"/>
                      <w:szCs w:val="21"/>
                      <w:lang w:bidi="ar"/>
                      <w14:textFill>
                        <w14:solidFill>
                          <w14:schemeClr w14:val="tx1"/>
                        </w14:solidFill>
                      </w14:textFill>
                    </w:rPr>
                    <w:t>；</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、大气污染物排放总量：</w:t>
                  </w:r>
                  <w:r>
                    <w:rPr>
                      <w:bCs/>
                      <w:color w:val="000000" w:themeColor="text1"/>
                      <w:kern w:val="0"/>
                      <w:szCs w:val="21"/>
                      <w:lang w:bidi="ar"/>
                      <w14:textFill>
                        <w14:solidFill>
                          <w14:schemeClr w14:val="tx1"/>
                        </w14:solidFill>
                      </w14:textFill>
                    </w:rPr>
                    <w:t>SO</w:t>
                  </w:r>
                  <w:r>
                    <w:rPr>
                      <w:bCs/>
                      <w:color w:val="000000" w:themeColor="text1"/>
                      <w:kern w:val="0"/>
                      <w:szCs w:val="21"/>
                      <w:vertAlign w:val="subscript"/>
                      <w:lang w:bidi="ar"/>
                      <w14:textFill>
                        <w14:solidFill>
                          <w14:schemeClr w14:val="tx1"/>
                        </w14:solidFill>
                      </w14:textFill>
                    </w:rPr>
                    <w:t>2</w:t>
                  </w:r>
                  <w:r>
                    <w:rPr>
                      <w:bCs/>
                      <w:color w:val="000000" w:themeColor="text1"/>
                      <w:kern w:val="0"/>
                      <w:szCs w:val="21"/>
                      <w:lang w:bidi="ar"/>
                      <w14:textFill>
                        <w14:solidFill>
                          <w14:schemeClr w14:val="tx1"/>
                        </w14:solidFill>
                      </w14:textFill>
                    </w:rPr>
                    <w:t>2.26t/a</w:t>
                  </w:r>
                  <w:r>
                    <w:rPr>
                      <w:rFonts w:ascii="宋体" w:hAnsi="宋体" w:cs="宋体"/>
                      <w:bCs/>
                      <w:color w:val="000000" w:themeColor="text1"/>
                      <w:kern w:val="0"/>
                      <w:szCs w:val="21"/>
                      <w:lang w:bidi="ar"/>
                      <w14:textFill>
                        <w14:solidFill>
                          <w14:schemeClr w14:val="tx1"/>
                        </w14:solidFill>
                      </w14:textFill>
                    </w:rPr>
                    <w:t>、</w:t>
                  </w:r>
                  <w:r>
                    <w:rPr>
                      <w:bCs/>
                      <w:color w:val="000000" w:themeColor="text1"/>
                      <w:kern w:val="0"/>
                      <w:szCs w:val="21"/>
                      <w:lang w:bidi="ar"/>
                      <w14:textFill>
                        <w14:solidFill>
                          <w14:schemeClr w14:val="tx1"/>
                        </w14:solidFill>
                      </w14:textFill>
                    </w:rPr>
                    <w:t>NO</w:t>
                  </w:r>
                  <w:r>
                    <w:rPr>
                      <w:bCs/>
                      <w:color w:val="000000" w:themeColor="text1"/>
                      <w:kern w:val="0"/>
                      <w:szCs w:val="21"/>
                      <w:vertAlign w:val="subscript"/>
                      <w:lang w:bidi="ar"/>
                      <w14:textFill>
                        <w14:solidFill>
                          <w14:schemeClr w14:val="tx1"/>
                        </w14:solidFill>
                      </w14:textFill>
                    </w:rPr>
                    <w:t>X</w:t>
                  </w:r>
                  <w:r>
                    <w:rPr>
                      <w:bCs/>
                      <w:color w:val="000000" w:themeColor="text1"/>
                      <w:kern w:val="0"/>
                      <w:szCs w:val="21"/>
                      <w:lang w:bidi="ar"/>
                      <w14:textFill>
                        <w14:solidFill>
                          <w14:schemeClr w14:val="tx1"/>
                        </w14:solidFill>
                      </w14:textFill>
                    </w:rPr>
                    <w:t>15.81t/a</w:t>
                  </w:r>
                  <w:r>
                    <w:rPr>
                      <w:rFonts w:ascii="宋体" w:hAnsi="宋体" w:cs="宋体"/>
                      <w:bCs/>
                      <w:color w:val="000000" w:themeColor="text1"/>
                      <w:kern w:val="0"/>
                      <w:szCs w:val="21"/>
                      <w:lang w:bidi="ar"/>
                      <w14:textFill>
                        <w14:solidFill>
                          <w14:schemeClr w14:val="tx1"/>
                        </w14:solidFill>
                      </w14:textFill>
                    </w:rPr>
                    <w:t>、</w:t>
                  </w:r>
                  <w:r>
                    <w:rPr>
                      <w:bCs/>
                      <w:color w:val="000000" w:themeColor="text1"/>
                      <w:kern w:val="0"/>
                      <w:szCs w:val="21"/>
                      <w:lang w:bidi="ar"/>
                      <w14:textFill>
                        <w14:solidFill>
                          <w14:schemeClr w14:val="tx1"/>
                        </w14:solidFill>
                      </w14:textFill>
                    </w:rPr>
                    <w:t>VOCs42.03t/a</w:t>
                  </w:r>
                  <w:r>
                    <w:rPr>
                      <w:rFonts w:ascii="宋体" w:hAnsi="宋体" w:cs="宋体"/>
                      <w:bCs/>
                      <w:color w:val="000000" w:themeColor="text1"/>
                      <w:kern w:val="0"/>
                      <w:szCs w:val="21"/>
                      <w:lang w:bidi="ar"/>
                      <w14:textFill>
                        <w14:solidFill>
                          <w14:schemeClr w14:val="tx1"/>
                        </w14:solidFill>
                      </w14:textFill>
                    </w:rPr>
                    <w:t>、烟粉尘</w:t>
                  </w:r>
                  <w:r>
                    <w:rPr>
                      <w:bCs/>
                      <w:color w:val="000000" w:themeColor="text1"/>
                      <w:kern w:val="0"/>
                      <w:szCs w:val="21"/>
                      <w:lang w:bidi="ar"/>
                      <w14:textFill>
                        <w14:solidFill>
                          <w14:schemeClr w14:val="tx1"/>
                        </w14:solidFill>
                      </w14:textFill>
                    </w:rPr>
                    <w:t>34.94t/a</w:t>
                  </w:r>
                  <w:r>
                    <w:rPr>
                      <w:rFonts w:ascii="宋体" w:hAnsi="宋体" w:cs="宋体"/>
                      <w:bCs/>
                      <w:color w:val="000000" w:themeColor="text1"/>
                      <w:kern w:val="0"/>
                      <w:szCs w:val="21"/>
                      <w:lang w:bidi="ar"/>
                      <w14:textFill>
                        <w14:solidFill>
                          <w14:schemeClr w14:val="tx1"/>
                        </w14:solidFill>
                      </w14:textFill>
                    </w:rPr>
                    <w:t>；硫酸雾</w:t>
                  </w:r>
                  <w:r>
                    <w:rPr>
                      <w:bCs/>
                      <w:color w:val="000000" w:themeColor="text1"/>
                      <w:kern w:val="0"/>
                      <w:szCs w:val="21"/>
                      <w:lang w:bidi="ar"/>
                      <w14:textFill>
                        <w14:solidFill>
                          <w14:schemeClr w14:val="tx1"/>
                        </w14:solidFill>
                      </w14:textFill>
                    </w:rPr>
                    <w:t>3.33t/a</w:t>
                  </w:r>
                  <w:r>
                    <w:rPr>
                      <w:rFonts w:ascii="宋体" w:hAnsi="宋体" w:cs="宋体"/>
                      <w:bCs/>
                      <w:color w:val="000000" w:themeColor="text1"/>
                      <w:kern w:val="0"/>
                      <w:szCs w:val="21"/>
                      <w:lang w:bidi="ar"/>
                      <w14:textFill>
                        <w14:solidFill>
                          <w14:schemeClr w14:val="tx1"/>
                        </w14:solidFill>
                      </w14:textFill>
                    </w:rPr>
                    <w:t>、二甲苯</w:t>
                  </w:r>
                  <w:r>
                    <w:rPr>
                      <w:bCs/>
                      <w:color w:val="000000" w:themeColor="text1"/>
                      <w:kern w:val="0"/>
                      <w:szCs w:val="21"/>
                      <w:lang w:bidi="ar"/>
                      <w14:textFill>
                        <w14:solidFill>
                          <w14:schemeClr w14:val="tx1"/>
                        </w14:solidFill>
                      </w14:textFill>
                    </w:rPr>
                    <w:t>14.44t/a</w:t>
                  </w:r>
                  <w:r>
                    <w:rPr>
                      <w:rFonts w:ascii="宋体" w:hAnsi="宋体" w:cs="宋体"/>
                      <w:bCs/>
                      <w:color w:val="000000" w:themeColor="text1"/>
                      <w:kern w:val="0"/>
                      <w:szCs w:val="21"/>
                      <w:lang w:bidi="ar"/>
                      <w14:textFill>
                        <w14:solidFill>
                          <w14:schemeClr w14:val="tx1"/>
                        </w14:solidFill>
                      </w14:textFill>
                    </w:rPr>
                    <w:t>、氯化氢</w:t>
                  </w:r>
                  <w:r>
                    <w:rPr>
                      <w:bCs/>
                      <w:color w:val="000000" w:themeColor="text1"/>
                      <w:kern w:val="0"/>
                      <w:szCs w:val="21"/>
                      <w:lang w:bidi="ar"/>
                      <w14:textFill>
                        <w14:solidFill>
                          <w14:schemeClr w14:val="tx1"/>
                        </w14:solidFill>
                      </w14:textFill>
                    </w:rPr>
                    <w:t>1.67t/a</w:t>
                  </w:r>
                  <w:r>
                    <w:rPr>
                      <w:rFonts w:ascii="宋体" w:hAnsi="宋体" w:cs="宋体"/>
                      <w:bCs/>
                      <w:color w:val="000000" w:themeColor="text1"/>
                      <w:kern w:val="0"/>
                      <w:szCs w:val="21"/>
                      <w:lang w:bidi="ar"/>
                      <w14:textFill>
                        <w14:solidFill>
                          <w14:schemeClr w14:val="tx1"/>
                        </w14:solidFill>
                      </w14:textFill>
                    </w:rPr>
                    <w:t>、氰化氢</w:t>
                  </w:r>
                  <w:r>
                    <w:rPr>
                      <w:bCs/>
                      <w:color w:val="000000" w:themeColor="text1"/>
                      <w:kern w:val="0"/>
                      <w:szCs w:val="21"/>
                      <w:lang w:bidi="ar"/>
                      <w14:textFill>
                        <w14:solidFill>
                          <w14:schemeClr w14:val="tx1"/>
                        </w14:solidFill>
                      </w14:textFill>
                    </w:rPr>
                    <w:t>0.014t/a</w:t>
                  </w:r>
                  <w:r>
                    <w:rPr>
                      <w:rFonts w:ascii="宋体" w:hAnsi="宋体" w:cs="宋体"/>
                      <w:bCs/>
                      <w:color w:val="000000" w:themeColor="text1"/>
                      <w:kern w:val="0"/>
                      <w:szCs w:val="21"/>
                      <w:lang w:bidi="ar"/>
                      <w14:textFill>
                        <w14:solidFill>
                          <w14:schemeClr w14:val="tx1"/>
                        </w14:solidFill>
                      </w14:textFill>
                    </w:rPr>
                    <w:t>、氟化物</w:t>
                  </w:r>
                  <w:r>
                    <w:rPr>
                      <w:bCs/>
                      <w:color w:val="000000" w:themeColor="text1"/>
                      <w:kern w:val="0"/>
                      <w:szCs w:val="21"/>
                      <w:lang w:bidi="ar"/>
                      <w14:textFill>
                        <w14:solidFill>
                          <w14:schemeClr w14:val="tx1"/>
                        </w14:solidFill>
                      </w14:textFill>
                    </w:rPr>
                    <w:t>5.45t/a</w:t>
                  </w:r>
                  <w:r>
                    <w:rPr>
                      <w:rFonts w:ascii="宋体" w:hAnsi="宋体" w:cs="宋体"/>
                      <w:bCs/>
                      <w:color w:val="000000" w:themeColor="text1"/>
                      <w:kern w:val="0"/>
                      <w:szCs w:val="21"/>
                      <w:lang w:bidi="ar"/>
                      <w14:textFill>
                        <w14:solidFill>
                          <w14:schemeClr w14:val="tx1"/>
                        </w14:solidFill>
                      </w14:textFill>
                    </w:rPr>
                    <w:t>、氨</w:t>
                  </w:r>
                  <w:r>
                    <w:rPr>
                      <w:bCs/>
                      <w:color w:val="000000" w:themeColor="text1"/>
                      <w:kern w:val="0"/>
                      <w:szCs w:val="21"/>
                      <w:lang w:bidi="ar"/>
                      <w14:textFill>
                        <w14:solidFill>
                          <w14:schemeClr w14:val="tx1"/>
                        </w14:solidFill>
                      </w14:textFill>
                    </w:rPr>
                    <w:t>13.89t/a</w:t>
                  </w:r>
                  <w:r>
                    <w:rPr>
                      <w:rFonts w:ascii="宋体" w:hAnsi="宋体" w:cs="宋体"/>
                      <w:bCs/>
                      <w:color w:val="000000" w:themeColor="text1"/>
                      <w:kern w:val="0"/>
                      <w:szCs w:val="21"/>
                      <w:lang w:bidi="ar"/>
                      <w14:textFill>
                        <w14:solidFill>
                          <w14:schemeClr w14:val="tx1"/>
                        </w14:solidFill>
                      </w14:textFill>
                    </w:rPr>
                    <w:t>；</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3</w:t>
                  </w:r>
                  <w:r>
                    <w:rPr>
                      <w:rFonts w:ascii="宋体" w:hAnsi="宋体" w:cs="宋体"/>
                      <w:bCs/>
                      <w:color w:val="000000" w:themeColor="text1"/>
                      <w:kern w:val="0"/>
                      <w:szCs w:val="21"/>
                      <w:lang w:bidi="ar"/>
                      <w14:textFill>
                        <w14:solidFill>
                          <w14:schemeClr w14:val="tx1"/>
                        </w14:solidFill>
                      </w14:textFill>
                    </w:rPr>
                    <w:t>、碳排放：根据国家碳排放达峰与碳中和要</w:t>
                  </w:r>
                </w:p>
                <w:p>
                  <w:pPr>
                    <w:widowControl/>
                    <w:jc w:val="center"/>
                    <w:rPr>
                      <w:bCs/>
                      <w:color w:val="000000" w:themeColor="text1"/>
                      <w:szCs w:val="21"/>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求，完成国家及地方下达的相关目标指标要求。</w:t>
                  </w:r>
                </w:p>
              </w:tc>
              <w:tc>
                <w:tcPr>
                  <w:tcW w:w="1057"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本项目审批前，将取得污染物排放总量指标，总量在园区范围内平衡</w:t>
                  </w:r>
                  <w:r>
                    <w:rPr>
                      <w:rFonts w:hint="eastAsia"/>
                      <w:bCs/>
                      <w:color w:val="000000" w:themeColor="text1"/>
                      <w:szCs w:val="21"/>
                      <w14:textFill>
                        <w14:solidFill>
                          <w14:schemeClr w14:val="tx1"/>
                        </w14:solidFill>
                      </w14:textFill>
                    </w:rPr>
                    <w:t>。</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tcBorders>
                  <w:vAlign w:val="center"/>
                </w:tcPr>
                <w:p>
                  <w:pPr>
                    <w:adjustRightInd w:val="0"/>
                    <w:snapToGrid w:val="0"/>
                    <w:jc w:val="center"/>
                    <w:rPr>
                      <w:bCs/>
                      <w:color w:val="000000" w:themeColor="text1"/>
                      <w:szCs w:val="21"/>
                      <w14:textFill>
                        <w14:solidFill>
                          <w14:schemeClr w14:val="tx1"/>
                        </w14:solidFill>
                      </w14:textFill>
                    </w:rPr>
                  </w:pPr>
                </w:p>
              </w:tc>
              <w:tc>
                <w:tcPr>
                  <w:tcW w:w="371"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环境风险防控</w:t>
                  </w:r>
                </w:p>
              </w:tc>
              <w:tc>
                <w:tcPr>
                  <w:tcW w:w="2476" w:type="pct"/>
                  <w:vAlign w:val="center"/>
                </w:tcPr>
                <w:p>
                  <w:pPr>
                    <w:widowControl/>
                    <w:numPr>
                      <w:ilvl w:val="0"/>
                      <w:numId w:val="4"/>
                    </w:numPr>
                    <w:jc w:val="center"/>
                    <w:rPr>
                      <w:rFonts w:ascii="宋体" w:hAnsi="宋体" w:cs="宋体"/>
                      <w:bCs/>
                      <w:color w:val="000000" w:themeColor="text1"/>
                      <w:kern w:val="0"/>
                      <w:szCs w:val="21"/>
                      <w:lang w:bidi="ar"/>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加强园区应急预案管理，按要求落实预案及风险评估更新，建立并定期更新</w:t>
                  </w:r>
                  <w:r>
                    <w:rPr>
                      <w:rFonts w:hint="eastAsia" w:ascii="宋体" w:hAnsi="宋体" w:cs="宋体"/>
                      <w:bCs/>
                      <w:color w:val="000000" w:themeColor="text1"/>
                      <w:kern w:val="0"/>
                      <w:szCs w:val="21"/>
                      <w:lang w:bidi="ar"/>
                      <w14:textFill>
                        <w14:solidFill>
                          <w14:schemeClr w14:val="tx1"/>
                        </w14:solidFill>
                      </w14:textFill>
                    </w:rPr>
                    <w:t>应急物资</w:t>
                  </w:r>
                  <w:r>
                    <w:rPr>
                      <w:rFonts w:ascii="宋体" w:hAnsi="宋体" w:cs="宋体"/>
                      <w:bCs/>
                      <w:color w:val="000000" w:themeColor="text1"/>
                      <w:kern w:val="0"/>
                      <w:szCs w:val="21"/>
                      <w:lang w:bidi="ar"/>
                      <w14:textFill>
                        <w14:solidFill>
                          <w14:schemeClr w14:val="tx1"/>
                        </w14:solidFill>
                      </w14:textFill>
                    </w:rPr>
                    <w:t>库，定期开展突发环境事件应急演练，提高突发环境事件应急应对能力。</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对生产、使用、存储或释放风险物质的企业，开展突发环境事件风险评估，督促重点环境风险企业开展环境风险隐患排查整改，对风险源按要求落实必要的监测和预警装置，实现快速应急响应。加强危险化学品运输管理，杜绝环境各类环境风险事故的发生。</w:t>
                  </w:r>
                </w:p>
              </w:tc>
              <w:tc>
                <w:tcPr>
                  <w:tcW w:w="1057"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本项目建成后严格按照要求制定风险防范措施，强化环境事故应急管理，编制应急预案，开展事故应急演练。</w:t>
                  </w:r>
                </w:p>
              </w:tc>
              <w:tc>
                <w:tcPr>
                  <w:tcW w:w="633" w:type="pct"/>
                  <w:tcBorders>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pct"/>
                  <w:vMerge w:val="continue"/>
                  <w:tcBorders>
                    <w:left w:val="nil"/>
                    <w:bottom w:val="single" w:color="auto" w:sz="12" w:space="0"/>
                  </w:tcBorders>
                  <w:vAlign w:val="center"/>
                </w:tcPr>
                <w:p>
                  <w:pPr>
                    <w:adjustRightInd w:val="0"/>
                    <w:snapToGrid w:val="0"/>
                    <w:jc w:val="center"/>
                    <w:rPr>
                      <w:bCs/>
                      <w:color w:val="000000" w:themeColor="text1"/>
                      <w:szCs w:val="21"/>
                      <w14:textFill>
                        <w14:solidFill>
                          <w14:schemeClr w14:val="tx1"/>
                        </w14:solidFill>
                      </w14:textFill>
                    </w:rPr>
                  </w:pPr>
                </w:p>
              </w:tc>
              <w:tc>
                <w:tcPr>
                  <w:tcW w:w="371" w:type="pct"/>
                  <w:tcBorders>
                    <w:bottom w:val="single" w:color="auto" w:sz="12" w:space="0"/>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资源开发利用要求</w:t>
                  </w:r>
                </w:p>
              </w:tc>
              <w:tc>
                <w:tcPr>
                  <w:tcW w:w="2476" w:type="pct"/>
                  <w:tcBorders>
                    <w:bottom w:val="single" w:color="auto" w:sz="12" w:space="0"/>
                  </w:tcBorders>
                  <w:vAlign w:val="center"/>
                </w:tcPr>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1</w:t>
                  </w:r>
                  <w:r>
                    <w:rPr>
                      <w:rFonts w:ascii="宋体" w:hAnsi="宋体" w:cs="宋体"/>
                      <w:bCs/>
                      <w:color w:val="000000" w:themeColor="text1"/>
                      <w:kern w:val="0"/>
                      <w:szCs w:val="21"/>
                      <w:lang w:bidi="ar"/>
                      <w14:textFill>
                        <w14:solidFill>
                          <w14:schemeClr w14:val="tx1"/>
                        </w14:solidFill>
                      </w14:textFill>
                    </w:rPr>
                    <w:t>、入区企业按照《涂装行业清洁生产评价指标体系》、《光伏电池行业清洁生产评价指标体系》等相关行业清洁生产标准中资源和能源消耗指标来进行控制。</w:t>
                  </w:r>
                </w:p>
                <w:p>
                  <w:pPr>
                    <w:widowControl/>
                    <w:jc w:val="center"/>
                    <w:rPr>
                      <w:bCs/>
                      <w:color w:val="000000" w:themeColor="text1"/>
                      <w:szCs w:val="21"/>
                      <w14:textFill>
                        <w14:solidFill>
                          <w14:schemeClr w14:val="tx1"/>
                        </w14:solidFill>
                      </w14:textFill>
                    </w:rPr>
                  </w:pP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、规划区内不实行集中供热。进区项目因生产工艺需要自建供热设施应以电力、天然气为主，太阳能等多种清洁能源混合使用的能源结构。禁止使用燃料为</w:t>
                  </w:r>
                  <w:r>
                    <w:rPr>
                      <w:bCs/>
                      <w:color w:val="000000" w:themeColor="text1"/>
                      <w:kern w:val="0"/>
                      <w:szCs w:val="21"/>
                      <w:lang w:bidi="ar"/>
                      <w14:textFill>
                        <w14:solidFill>
                          <w14:schemeClr w14:val="tx1"/>
                        </w14:solidFill>
                      </w14:textFill>
                    </w:rPr>
                    <w:t>“Ⅲ</w:t>
                  </w:r>
                  <w:r>
                    <w:rPr>
                      <w:rFonts w:ascii="宋体" w:hAnsi="宋体" w:cs="宋体"/>
                      <w:bCs/>
                      <w:color w:val="000000" w:themeColor="text1"/>
                      <w:kern w:val="0"/>
                      <w:szCs w:val="21"/>
                      <w:lang w:bidi="ar"/>
                      <w14:textFill>
                        <w14:solidFill>
                          <w14:schemeClr w14:val="tx1"/>
                        </w14:solidFill>
                      </w14:textFill>
                    </w:rPr>
                    <w:t>类</w:t>
                  </w:r>
                  <w:r>
                    <w:rPr>
                      <w:bCs/>
                      <w:color w:val="000000" w:themeColor="text1"/>
                      <w:kern w:val="0"/>
                      <w:szCs w:val="21"/>
                      <w:lang w:bidi="ar"/>
                      <w14:textFill>
                        <w14:solidFill>
                          <w14:schemeClr w14:val="tx1"/>
                        </w14:solidFill>
                      </w14:textFill>
                    </w:rPr>
                    <w:t>”</w:t>
                  </w:r>
                  <w:r>
                    <w:rPr>
                      <w:rFonts w:ascii="宋体" w:hAnsi="宋体" w:cs="宋体"/>
                      <w:bCs/>
                      <w:color w:val="000000" w:themeColor="text1"/>
                      <w:kern w:val="0"/>
                      <w:szCs w:val="21"/>
                      <w:lang w:bidi="ar"/>
                      <w14:textFill>
                        <w14:solidFill>
                          <w14:schemeClr w14:val="tx1"/>
                        </w14:solidFill>
                      </w14:textFill>
                    </w:rPr>
                    <w:t>（严格），具体包括：（</w:t>
                  </w:r>
                  <w:r>
                    <w:rPr>
                      <w:bCs/>
                      <w:color w:val="000000" w:themeColor="text1"/>
                      <w:kern w:val="0"/>
                      <w:szCs w:val="21"/>
                      <w:lang w:bidi="ar"/>
                      <w14:textFill>
                        <w14:solidFill>
                          <w14:schemeClr w14:val="tx1"/>
                        </w14:solidFill>
                      </w14:textFill>
                    </w:rPr>
                    <w:t>1</w:t>
                  </w:r>
                  <w:r>
                    <w:rPr>
                      <w:rFonts w:ascii="宋体" w:hAnsi="宋体" w:cs="宋体"/>
                      <w:bCs/>
                      <w:color w:val="000000" w:themeColor="text1"/>
                      <w:kern w:val="0"/>
                      <w:szCs w:val="21"/>
                      <w:lang w:bidi="ar"/>
                      <w14:textFill>
                        <w14:solidFill>
                          <w14:schemeClr w14:val="tx1"/>
                        </w14:solidFill>
                      </w14:textFill>
                    </w:rPr>
                    <w:t>）煤炭及其制品（包括原煤、散煤、煤矸石、煤泥、煤粉、水煤浆、型煤、焦炭、兰炭等）；（</w:t>
                  </w:r>
                  <w:r>
                    <w:rPr>
                      <w:bCs/>
                      <w:color w:val="000000" w:themeColor="text1"/>
                      <w:kern w:val="0"/>
                      <w:szCs w:val="21"/>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）石油焦、油页岩、原油、重油、渣油、煤焦油；（</w:t>
                  </w:r>
                  <w:r>
                    <w:rPr>
                      <w:bCs/>
                      <w:color w:val="000000" w:themeColor="text1"/>
                      <w:kern w:val="0"/>
                      <w:szCs w:val="21"/>
                      <w:lang w:bidi="ar"/>
                      <w14:textFill>
                        <w14:solidFill>
                          <w14:schemeClr w14:val="tx1"/>
                        </w14:solidFill>
                      </w14:textFill>
                    </w:rPr>
                    <w:t>3</w:t>
                  </w:r>
                  <w:r>
                    <w:rPr>
                      <w:rFonts w:ascii="宋体" w:hAnsi="宋体" w:cs="宋体"/>
                      <w:bCs/>
                      <w:color w:val="000000" w:themeColor="text1"/>
                      <w:kern w:val="0"/>
                      <w:szCs w:val="21"/>
                      <w:lang w:bidi="ar"/>
                      <w14:textFill>
                        <w14:solidFill>
                          <w14:schemeClr w14:val="tx1"/>
                        </w14:solidFill>
                      </w14:textFill>
                    </w:rPr>
                    <w:t>）非专用锅炉或未配置高效除尘设施的专用锅炉燃用的生物质成型燃料；（</w:t>
                  </w:r>
                  <w:r>
                    <w:rPr>
                      <w:bCs/>
                      <w:color w:val="000000" w:themeColor="text1"/>
                      <w:kern w:val="0"/>
                      <w:szCs w:val="21"/>
                      <w:lang w:bidi="ar"/>
                      <w14:textFill>
                        <w14:solidFill>
                          <w14:schemeClr w14:val="tx1"/>
                        </w14:solidFill>
                      </w14:textFill>
                    </w:rPr>
                    <w:t>4</w:t>
                  </w:r>
                  <w:r>
                    <w:rPr>
                      <w:rFonts w:ascii="宋体" w:hAnsi="宋体" w:cs="宋体"/>
                      <w:bCs/>
                      <w:color w:val="000000" w:themeColor="text1"/>
                      <w:kern w:val="0"/>
                      <w:szCs w:val="21"/>
                      <w:lang w:bidi="ar"/>
                      <w14:textFill>
                        <w14:solidFill>
                          <w14:schemeClr w14:val="tx1"/>
                        </w14:solidFill>
                      </w14:textFill>
                    </w:rPr>
                    <w:t>）国家规定禁止使用</w:t>
                  </w:r>
                  <w:r>
                    <w:rPr>
                      <w:rFonts w:hint="eastAsia" w:ascii="宋体" w:hAnsi="宋体" w:cs="宋体"/>
                      <w:bCs/>
                      <w:color w:val="000000" w:themeColor="text1"/>
                      <w:kern w:val="0"/>
                      <w:szCs w:val="21"/>
                      <w:lang w:bidi="ar"/>
                      <w14:textFill>
                        <w14:solidFill>
                          <w14:schemeClr w14:val="tx1"/>
                        </w14:solidFill>
                      </w14:textFill>
                    </w:rPr>
                    <w:t>的其他</w:t>
                  </w:r>
                  <w:r>
                    <w:rPr>
                      <w:rFonts w:ascii="宋体" w:hAnsi="宋体" w:cs="宋体"/>
                      <w:bCs/>
                      <w:color w:val="000000" w:themeColor="text1"/>
                      <w:kern w:val="0"/>
                      <w:szCs w:val="21"/>
                      <w:lang w:bidi="ar"/>
                      <w14:textFill>
                        <w14:solidFill>
                          <w14:schemeClr w14:val="tx1"/>
                        </w14:solidFill>
                      </w14:textFill>
                    </w:rPr>
                    <w:t>高污染燃料。</w:t>
                  </w:r>
                  <w:r>
                    <w:rPr>
                      <w:bCs/>
                      <w:color w:val="000000" w:themeColor="text1"/>
                      <w:kern w:val="0"/>
                      <w:szCs w:val="21"/>
                      <w:lang w:bidi="ar"/>
                      <w14:textFill>
                        <w14:solidFill>
                          <w14:schemeClr w14:val="tx1"/>
                        </w14:solidFill>
                      </w14:textFill>
                    </w:rPr>
                    <w:t>3</w:t>
                  </w:r>
                  <w:r>
                    <w:rPr>
                      <w:rFonts w:ascii="宋体" w:hAnsi="宋体" w:cs="宋体"/>
                      <w:bCs/>
                      <w:color w:val="000000" w:themeColor="text1"/>
                      <w:kern w:val="0"/>
                      <w:szCs w:val="21"/>
                      <w:lang w:bidi="ar"/>
                      <w14:textFill>
                        <w14:solidFill>
                          <w14:schemeClr w14:val="tx1"/>
                        </w14:solidFill>
                      </w14:textFill>
                    </w:rPr>
                    <w:t>、规划末期单位工业用地工业增加值</w:t>
                  </w:r>
                  <w:r>
                    <w:rPr>
                      <w:bCs/>
                      <w:color w:val="000000" w:themeColor="text1"/>
                      <w:kern w:val="0"/>
                      <w:szCs w:val="21"/>
                      <w:lang w:bidi="ar"/>
                      <w14:textFill>
                        <w14:solidFill>
                          <w14:schemeClr w14:val="tx1"/>
                        </w14:solidFill>
                      </w14:textFill>
                    </w:rPr>
                    <w:t>≥9</w:t>
                  </w:r>
                  <w:r>
                    <w:rPr>
                      <w:rFonts w:ascii="宋体" w:hAnsi="宋体" w:cs="宋体"/>
                      <w:bCs/>
                      <w:color w:val="000000" w:themeColor="text1"/>
                      <w:kern w:val="0"/>
                      <w:szCs w:val="21"/>
                      <w:lang w:bidi="ar"/>
                      <w14:textFill>
                        <w14:solidFill>
                          <w14:schemeClr w14:val="tx1"/>
                        </w14:solidFill>
                      </w14:textFill>
                    </w:rPr>
                    <w:t>亿元</w:t>
                  </w:r>
                  <w:r>
                    <w:rPr>
                      <w:bCs/>
                      <w:color w:val="000000" w:themeColor="text1"/>
                      <w:kern w:val="0"/>
                      <w:szCs w:val="21"/>
                      <w:lang w:bidi="ar"/>
                      <w14:textFill>
                        <w14:solidFill>
                          <w14:schemeClr w14:val="tx1"/>
                        </w14:solidFill>
                      </w14:textFill>
                    </w:rPr>
                    <w:t>/km</w:t>
                  </w:r>
                  <w:r>
                    <w:rPr>
                      <w:bCs/>
                      <w:color w:val="000000" w:themeColor="text1"/>
                      <w:kern w:val="0"/>
                      <w:szCs w:val="21"/>
                      <w:vertAlign w:val="superscript"/>
                      <w:lang w:bidi="ar"/>
                      <w14:textFill>
                        <w14:solidFill>
                          <w14:schemeClr w14:val="tx1"/>
                        </w14:solidFill>
                      </w14:textFill>
                    </w:rPr>
                    <w:t>2</w:t>
                  </w:r>
                  <w:r>
                    <w:rPr>
                      <w:rFonts w:ascii="宋体" w:hAnsi="宋体" w:cs="宋体"/>
                      <w:bCs/>
                      <w:color w:val="000000" w:themeColor="text1"/>
                      <w:kern w:val="0"/>
                      <w:szCs w:val="21"/>
                      <w:lang w:bidi="ar"/>
                      <w14:textFill>
                        <w14:solidFill>
                          <w14:schemeClr w14:val="tx1"/>
                        </w14:solidFill>
                      </w14:textFill>
                    </w:rPr>
                    <w:t>、单位工业增加值综合能耗</w:t>
                  </w:r>
                  <w:r>
                    <w:rPr>
                      <w:bCs/>
                      <w:color w:val="000000" w:themeColor="text1"/>
                      <w:kern w:val="0"/>
                      <w:szCs w:val="21"/>
                      <w:lang w:bidi="ar"/>
                      <w14:textFill>
                        <w14:solidFill>
                          <w14:schemeClr w14:val="tx1"/>
                        </w14:solidFill>
                      </w14:textFill>
                    </w:rPr>
                    <w:t>≤0.5</w:t>
                  </w:r>
                  <w:r>
                    <w:rPr>
                      <w:rFonts w:ascii="宋体" w:hAnsi="宋体" w:cs="宋体"/>
                      <w:bCs/>
                      <w:color w:val="000000" w:themeColor="text1"/>
                      <w:kern w:val="0"/>
                      <w:szCs w:val="21"/>
                      <w:lang w:bidi="ar"/>
                      <w14:textFill>
                        <w14:solidFill>
                          <w14:schemeClr w14:val="tx1"/>
                        </w14:solidFill>
                      </w14:textFill>
                    </w:rPr>
                    <w:t>吨标煤</w:t>
                  </w:r>
                  <w:r>
                    <w:rPr>
                      <w:bCs/>
                      <w:color w:val="000000" w:themeColor="text1"/>
                      <w:kern w:val="0"/>
                      <w:szCs w:val="21"/>
                      <w:lang w:bidi="ar"/>
                      <w14:textFill>
                        <w14:solidFill>
                          <w14:schemeClr w14:val="tx1"/>
                        </w14:solidFill>
                      </w14:textFill>
                    </w:rPr>
                    <w:t>/</w:t>
                  </w:r>
                  <w:r>
                    <w:rPr>
                      <w:rFonts w:ascii="宋体" w:hAnsi="宋体" w:cs="宋体"/>
                      <w:bCs/>
                      <w:color w:val="000000" w:themeColor="text1"/>
                      <w:kern w:val="0"/>
                      <w:szCs w:val="21"/>
                      <w:lang w:bidi="ar"/>
                      <w14:textFill>
                        <w14:solidFill>
                          <w14:schemeClr w14:val="tx1"/>
                        </w14:solidFill>
                      </w14:textFill>
                    </w:rPr>
                    <w:t>万元、单位工业增加值水耗</w:t>
                  </w:r>
                  <w:r>
                    <w:rPr>
                      <w:bCs/>
                      <w:color w:val="000000" w:themeColor="text1"/>
                      <w:kern w:val="0"/>
                      <w:szCs w:val="21"/>
                      <w:lang w:bidi="ar"/>
                      <w14:textFill>
                        <w14:solidFill>
                          <w14:schemeClr w14:val="tx1"/>
                        </w14:solidFill>
                      </w14:textFill>
                    </w:rPr>
                    <w:t>≤8m3/</w:t>
                  </w:r>
                  <w:r>
                    <w:rPr>
                      <w:rFonts w:ascii="宋体" w:hAnsi="宋体" w:cs="宋体"/>
                      <w:bCs/>
                      <w:color w:val="000000" w:themeColor="text1"/>
                      <w:kern w:val="0"/>
                      <w:szCs w:val="21"/>
                      <w:lang w:bidi="ar"/>
                      <w14:textFill>
                        <w14:solidFill>
                          <w14:schemeClr w14:val="tx1"/>
                        </w14:solidFill>
                      </w14:textFill>
                    </w:rPr>
                    <w:t>万元、工业用水重复利用率</w:t>
                  </w:r>
                  <w:r>
                    <w:rPr>
                      <w:bCs/>
                      <w:color w:val="000000" w:themeColor="text1"/>
                      <w:kern w:val="0"/>
                      <w:szCs w:val="21"/>
                      <w:lang w:bidi="ar"/>
                      <w14:textFill>
                        <w14:solidFill>
                          <w14:schemeClr w14:val="tx1"/>
                        </w14:solidFill>
                      </w14:textFill>
                    </w:rPr>
                    <w:t>≥75%</w:t>
                  </w:r>
                  <w:r>
                    <w:rPr>
                      <w:rFonts w:ascii="宋体" w:hAnsi="宋体" w:cs="宋体"/>
                      <w:bCs/>
                      <w:color w:val="000000" w:themeColor="text1"/>
                      <w:kern w:val="0"/>
                      <w:szCs w:val="21"/>
                      <w:lang w:bidi="ar"/>
                      <w14:textFill>
                        <w14:solidFill>
                          <w14:schemeClr w14:val="tx1"/>
                        </w14:solidFill>
                      </w14:textFill>
                    </w:rPr>
                    <w:t>。</w:t>
                  </w:r>
                </w:p>
              </w:tc>
              <w:tc>
                <w:tcPr>
                  <w:tcW w:w="1057" w:type="pct"/>
                  <w:tcBorders>
                    <w:bottom w:val="single" w:color="auto" w:sz="12" w:space="0"/>
                  </w:tcBorders>
                  <w:vAlign w:val="center"/>
                </w:tcPr>
                <w:p>
                  <w:pPr>
                    <w:adjustRightInd w:val="0"/>
                    <w:snapToGrid w:val="0"/>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本项目属于</w:t>
                  </w:r>
                  <w:r>
                    <w:rPr>
                      <w:rFonts w:hint="eastAsia"/>
                      <w:color w:val="000000" w:themeColor="text1"/>
                      <w:szCs w:val="21"/>
                      <w14:textFill>
                        <w14:solidFill>
                          <w14:schemeClr w14:val="tx1"/>
                        </w14:solidFill>
                      </w14:textFill>
                    </w:rPr>
                    <w:t>机械零部件加工、汽车零部件及配件制造</w:t>
                  </w:r>
                  <w:r>
                    <w:rPr>
                      <w:rFonts w:hint="eastAsia"/>
                      <w:bCs/>
                      <w:color w:val="000000" w:themeColor="text1"/>
                      <w:szCs w:val="21"/>
                      <w14:textFill>
                        <w14:solidFill>
                          <w14:schemeClr w14:val="tx1"/>
                        </w14:solidFill>
                      </w14:textFill>
                    </w:rPr>
                    <w:t>，不属于涂装行业、光伏电池行业</w:t>
                  </w:r>
                  <w:r>
                    <w:rPr>
                      <w:rFonts w:hint="eastAsia"/>
                      <w:color w:val="000000" w:themeColor="text1"/>
                      <w14:textFill>
                        <w14:solidFill>
                          <w14:schemeClr w14:val="tx1"/>
                        </w14:solidFill>
                      </w14:textFill>
                    </w:rPr>
                    <w:t>，</w:t>
                  </w:r>
                  <w:r>
                    <w:rPr>
                      <w:rFonts w:hint="eastAsia"/>
                      <w:bCs/>
                      <w:color w:val="000000" w:themeColor="text1"/>
                      <w:szCs w:val="21"/>
                      <w14:textFill>
                        <w14:solidFill>
                          <w14:schemeClr w14:val="tx1"/>
                        </w14:solidFill>
                      </w14:textFill>
                    </w:rPr>
                    <w:t>本项目涉及天然气，天然气为清洁能源。</w:t>
                  </w:r>
                </w:p>
              </w:tc>
              <w:tc>
                <w:tcPr>
                  <w:tcW w:w="633" w:type="pct"/>
                  <w:tcBorders>
                    <w:bottom w:val="single" w:color="auto" w:sz="12" w:space="0"/>
                    <w:right w:val="nil"/>
                  </w:tcBorders>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相符</w:t>
                  </w:r>
                </w:p>
              </w:tc>
            </w:tr>
          </w:tbl>
          <w:p>
            <w:pPr>
              <w:pStyle w:val="26"/>
              <w:shd w:val="clear" w:color="auto" w:fill="auto"/>
              <w:snapToGrid w:val="0"/>
              <w:spacing w:line="360" w:lineRule="auto"/>
              <w:ind w:firstLine="480" w:firstLineChars="200"/>
              <w:rPr>
                <w:rFonts w:ascii="Times New Roman" w:hAnsi="Times New Roman" w:cs="Times New Roman"/>
                <w:b/>
                <w:color w:val="000000" w:themeColor="text1"/>
                <w14:textFill>
                  <w14:solidFill>
                    <w14:schemeClr w14:val="tx1"/>
                  </w14:solidFill>
                </w14:textFill>
              </w:rPr>
            </w:pPr>
            <w:r>
              <w:rPr>
                <w:rFonts w:ascii="Times New Roman" w:hAnsi="Times New Roman" w:cs="Times New Roman"/>
                <w:snapToGrid w:val="0"/>
                <w:color w:val="000000" w:themeColor="text1"/>
                <w14:textFill>
                  <w14:solidFill>
                    <w14:schemeClr w14:val="tx1"/>
                  </w14:solidFill>
                </w14:textFill>
              </w:rPr>
              <w:t>对照</w:t>
            </w:r>
            <w:r>
              <w:rPr>
                <w:rFonts w:ascii="Times New Roman" w:hAnsi="Times New Roman" w:cs="Times New Roman"/>
                <w:bCs/>
                <w:color w:val="000000" w:themeColor="text1"/>
                <w14:textFill>
                  <w14:solidFill>
                    <w14:schemeClr w14:val="tx1"/>
                  </w14:solidFill>
                </w14:textFill>
              </w:rPr>
              <w:t>《关于印发&lt;长江经济带发展负面清单指南&gt;（试行，2022年版）的通知》（长江办〔2022〕7号）</w:t>
            </w:r>
            <w:r>
              <w:rPr>
                <w:rFonts w:ascii="Times New Roman" w:hAnsi="Times New Roman" w:cs="Times New Roman"/>
                <w:snapToGrid w:val="0"/>
                <w:color w:val="000000" w:themeColor="text1"/>
                <w14:textFill>
                  <w14:solidFill>
                    <w14:schemeClr w14:val="tx1"/>
                  </w14:solidFill>
                </w14:textFill>
              </w:rPr>
              <w:t>，详见下表。</w:t>
            </w:r>
          </w:p>
          <w:p>
            <w:pPr>
              <w:autoSpaceDE w:val="0"/>
              <w:autoSpaceDN w:val="0"/>
              <w:adjustRightInd w:val="0"/>
              <w:snapToGrid w:val="0"/>
              <w:jc w:val="center"/>
              <w:rPr>
                <w:color w:val="000000" w:themeColor="text1"/>
                <w:sz w:val="24"/>
                <w14:textFill>
                  <w14:solidFill>
                    <w14:schemeClr w14:val="tx1"/>
                  </w14:solidFill>
                </w14:textFill>
              </w:rPr>
            </w:pPr>
            <w:r>
              <w:rPr>
                <w:b/>
                <w:color w:val="000000" w:themeColor="text1"/>
                <w:sz w:val="24"/>
                <w14:textFill>
                  <w14:solidFill>
                    <w14:schemeClr w14:val="tx1"/>
                  </w14:solidFill>
                </w14:textFill>
              </w:rPr>
              <w:t>表1-6  与《关于印发&lt;长江经济带发展负面清单指南&gt;（试行，2022年版）的通知》（长江办〔2022〕7号）的相符性</w:t>
            </w:r>
          </w:p>
          <w:tbl>
            <w:tblPr>
              <w:tblStyle w:val="19"/>
              <w:tblW w:w="5000"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3796"/>
              <w:gridCol w:w="2082"/>
              <w:gridCol w:w="8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93" w:type="dxa"/>
                  <w:gridSpan w:val="2"/>
                  <w:vAlign w:val="center"/>
                </w:tcPr>
                <w:p>
                  <w:pPr>
                    <w:autoSpaceDE w:val="0"/>
                    <w:autoSpaceDN w:val="0"/>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负面清单</w:t>
                  </w:r>
                </w:p>
              </w:tc>
              <w:tc>
                <w:tcPr>
                  <w:tcW w:w="2075" w:type="dxa"/>
                  <w:vAlign w:val="center"/>
                </w:tcPr>
                <w:p>
                  <w:pPr>
                    <w:autoSpaceDE w:val="0"/>
                    <w:autoSpaceDN w:val="0"/>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相符性分析</w:t>
                  </w:r>
                </w:p>
              </w:tc>
              <w:tc>
                <w:tcPr>
                  <w:tcW w:w="889" w:type="dxa"/>
                  <w:vAlign w:val="center"/>
                </w:tcPr>
                <w:p>
                  <w:pPr>
                    <w:autoSpaceDE w:val="0"/>
                    <w:autoSpaceDN w:val="0"/>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3782"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禁止建设不符合全国和省级港口布局规划以及港口总体规划的码头项目，禁止建设不符合《长江干线过江通道布局规划》的过长江通道项目。</w:t>
                  </w:r>
                </w:p>
              </w:tc>
              <w:tc>
                <w:tcPr>
                  <w:tcW w:w="2075"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本项目不属于码头项目和过长江通道项目</w:t>
                  </w:r>
                </w:p>
              </w:tc>
              <w:tc>
                <w:tcPr>
                  <w:tcW w:w="889" w:type="dxa"/>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3782"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禁止在自然保护核心区、缓冲区的岸线和河段范围内投资建设旅游和生产经营项目。禁止在风景名胜区核心景区的岸线和河段范围内投资建设与风景名胜资源保护无关的项目。</w:t>
                  </w:r>
                </w:p>
              </w:tc>
              <w:tc>
                <w:tcPr>
                  <w:tcW w:w="2075"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本项目建设场所不属于自然保护核心区、缓冲区的岸线和河段范围内</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w:t>
                  </w:r>
                </w:p>
              </w:tc>
              <w:tc>
                <w:tcPr>
                  <w:tcW w:w="3782"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2075" w:type="dxa"/>
                  <w:vAlign w:val="center"/>
                </w:tcPr>
                <w:p>
                  <w:pPr>
                    <w:autoSpaceDE w:val="0"/>
                    <w:autoSpaceDN w:val="0"/>
                    <w:adjustRightIn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本项目不在饮用水水源一级保护区、二级保护区的岸线和河段范围内</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本项目不在水产种质资源保护区的岸线和河段范围内，不在国家湿地公园的岸线和河段范围内</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本项目不在《长江岸线保护和开发利用总体规划》划定的岸线保护区内，不在《全国重要江河湖泊水功能区划》划定的河段保护区、保留区内</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禁止未经许可在长江干支流及湖泊新设、改设或扩大排污口。</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本项目不涉及在长江干支流及湖泊新设、改设或扩大排污口</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禁止在“一江一口两湖七河”和332个水生生物保护区开展生产性捕捞。</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本项目不涉及生产性捕捞</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本项目不属于化工园区和化工项目，不属于三磷项目、尾矿库项目</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禁止在合规园区外新建、扩建钢铁、石化、化工、焦化、建材、有色、制浆造纸等高污染项目。</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位于江苏泰州海陵工业园区，</w:t>
                  </w:r>
                  <w:r>
                    <w:rPr>
                      <w:color w:val="000000" w:themeColor="text1"/>
                      <w:szCs w:val="21"/>
                      <w14:textFill>
                        <w14:solidFill>
                          <w14:schemeClr w14:val="tx1"/>
                        </w14:solidFill>
                      </w14:textFill>
                    </w:rPr>
                    <w:t>不属于在合规园区外新建、扩建钢铁、石化、化工、焦化、建材、有色、制浆造纸等高污染项目</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禁止新建、扩建不符合国家石化、现代煤化工等产业布局规划的项目。</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本项目不属于新建、扩建不符合国家石化、现代煤化工等产业布局规划的项目</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禁止新建、扩建法律法规和相关政策明令禁止的落后产能项目。禁止新建、扩建不符合国家产能置换要求的严重过剩产能行业的项目。禁止新建、扩建不符合要求的高耗能高排放项目。</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本项目不属于落后产能项目，不属于严重过剩产能行业的项目，不属于高耗能高排放项目</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11"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3782"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法律法规及相关政策文件有更加严格规定的从其规定。</w:t>
                  </w:r>
                </w:p>
              </w:tc>
              <w:tc>
                <w:tcPr>
                  <w:tcW w:w="2075" w:type="dxa"/>
                  <w:vAlign w:val="center"/>
                </w:tcPr>
                <w:p>
                  <w:pPr>
                    <w:autoSpaceDE w:val="0"/>
                    <w:autoSpaceDN w:val="0"/>
                    <w:adjustRightIn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本项目将遵守法律法规及相关政策文件中更加严格规定</w:t>
                  </w:r>
                </w:p>
              </w:tc>
              <w:tc>
                <w:tcPr>
                  <w:tcW w:w="889" w:type="dxa"/>
                  <w:vAlign w:val="center"/>
                </w:tcPr>
                <w:p>
                  <w:pPr>
                    <w:autoSpaceDE w:val="0"/>
                    <w:autoSpaceDN w:val="0"/>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pStyle w:val="26"/>
              <w:shd w:val="clear" w:color="auto" w:fill="auto"/>
              <w:snapToGrid w:val="0"/>
              <w:spacing w:line="360" w:lineRule="auto"/>
              <w:ind w:firstLine="480" w:firstLineChars="200"/>
              <w:rPr>
                <w:rFonts w:ascii="Times New Roman" w:hAnsi="Times New Roman" w:cs="Times New Roman"/>
                <w:snapToGrid w:val="0"/>
                <w:color w:val="000000" w:themeColor="text1"/>
                <w14:textFill>
                  <w14:solidFill>
                    <w14:schemeClr w14:val="tx1"/>
                  </w14:solidFill>
                </w14:textFill>
              </w:rPr>
            </w:pPr>
            <w:r>
              <w:rPr>
                <w:rFonts w:ascii="Times New Roman" w:hAnsi="Times New Roman" w:cs="Times New Roman"/>
                <w:snapToGrid w:val="0"/>
                <w:color w:val="000000" w:themeColor="text1"/>
                <w14:textFill>
                  <w14:solidFill>
                    <w14:schemeClr w14:val="tx1"/>
                  </w14:solidFill>
                </w14:textFill>
              </w:rPr>
              <w:t>对照《长江经济带发展负面清单指南（试行，2022年版）》江苏省实施细则相符性分析，详见下表。</w:t>
            </w:r>
          </w:p>
          <w:p>
            <w:pPr>
              <w:autoSpaceDE w:val="0"/>
              <w:autoSpaceDN w:val="0"/>
              <w:adjustRightInd w:val="0"/>
              <w:snapToGrid w:val="0"/>
              <w:jc w:val="center"/>
              <w:rPr>
                <w:b/>
                <w:color w:val="000000" w:themeColor="text1"/>
                <w:sz w:val="24"/>
                <w14:textFill>
                  <w14:solidFill>
                    <w14:schemeClr w14:val="tx1"/>
                  </w14:solidFill>
                </w14:textFill>
              </w:rPr>
            </w:pPr>
          </w:p>
          <w:p>
            <w:pPr>
              <w:autoSpaceDE w:val="0"/>
              <w:autoSpaceDN w:val="0"/>
              <w:adjustRightInd w:val="0"/>
              <w:snapToGrid w:val="0"/>
              <w:jc w:val="center"/>
              <w:rPr>
                <w:b/>
                <w:color w:val="000000" w:themeColor="text1"/>
                <w:sz w:val="24"/>
                <w14:textFill>
                  <w14:solidFill>
                    <w14:schemeClr w14:val="tx1"/>
                  </w14:solidFill>
                </w14:textFill>
              </w:rPr>
            </w:pPr>
          </w:p>
          <w:p>
            <w:pPr>
              <w:autoSpaceDE w:val="0"/>
              <w:autoSpaceDN w:val="0"/>
              <w:adjustRightInd w:val="0"/>
              <w:snapToGrid w:val="0"/>
              <w:jc w:val="center"/>
              <w:rPr>
                <w:b/>
                <w:color w:val="000000" w:themeColor="text1"/>
                <w:sz w:val="24"/>
                <w14:textFill>
                  <w14:solidFill>
                    <w14:schemeClr w14:val="tx1"/>
                  </w14:solidFill>
                </w14:textFill>
              </w:rPr>
            </w:pPr>
          </w:p>
          <w:p>
            <w:pPr>
              <w:autoSpaceDE w:val="0"/>
              <w:autoSpaceDN w:val="0"/>
              <w:adjustRightInd w:val="0"/>
              <w:snapToGrid w:val="0"/>
              <w:jc w:val="center"/>
              <w:rPr>
                <w:b/>
                <w:color w:val="000000" w:themeColor="text1"/>
                <w:sz w:val="24"/>
                <w14:textFill>
                  <w14:solidFill>
                    <w14:schemeClr w14:val="tx1"/>
                  </w14:solidFill>
                </w14:textFill>
              </w:rPr>
            </w:pPr>
          </w:p>
          <w:p>
            <w:pPr>
              <w:autoSpaceDE w:val="0"/>
              <w:autoSpaceDN w:val="0"/>
              <w:adjustRightInd w:val="0"/>
              <w:snapToGrid w:val="0"/>
              <w:jc w:val="center"/>
              <w:rPr>
                <w:b/>
                <w:color w:val="000000" w:themeColor="text1"/>
                <w:sz w:val="24"/>
                <w14:textFill>
                  <w14:solidFill>
                    <w14:schemeClr w14:val="tx1"/>
                  </w14:solidFill>
                </w14:textFill>
              </w:rPr>
            </w:pPr>
          </w:p>
          <w:p>
            <w:pPr>
              <w:autoSpaceDE w:val="0"/>
              <w:autoSpaceDN w:val="0"/>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表1-7  与《长江经济带发展负面清单指南（试行，2022年版）》江苏省实施细则相符性分析</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4210"/>
              <w:gridCol w:w="1595"/>
              <w:gridCol w:w="9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9" w:type="pct"/>
                  <w:gridSpan w:val="2"/>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江苏省实施细则条款</w:t>
                  </w:r>
                </w:p>
              </w:tc>
              <w:tc>
                <w:tcPr>
                  <w:tcW w:w="1095"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644" w:type="pct"/>
                  <w:vAlign w:val="center"/>
                </w:tcPr>
                <w:p>
                  <w:pPr>
                    <w:wordWrap w:val="0"/>
                    <w:topLinePun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一、河段利用与岸线开发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建设不符合国家港口布局规划和《江苏省沿江沿海港口布局规划(2015-2030年）》《江苏省内河港口布局规划(2017-2035年)》以及我省有关港口总体规划的码头项目，禁止建设未纳入《长江干线过江通道布局规划》的过长江通道项目。</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严格执行《中华人民共和国自然保护区条例》，禁止在自然保护区核心区﹑缓冲区的岸线和河段范围内投资建设旅游和生产经营项目。严格执行《风景名胜区条例》《江苏省风景名胜区管理条例》，禁止在国家级和省级风景名胜区核心景区的岸线和河段范围内投资建设与风景名胜资源保护无关的项目。自然保护区、风景名胜区由省林业局会同有关方面界定并落实管控责任。</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严格执行《中华人民共和国水污染防治法》《江苏省人民代表大会常务委员会关于加强饮用水源地保护的决定》《江苏省水污染防治条例》，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禁止在饮用水水源准保护区的岸线和河段范围内新建﹑扩建对水体污染严重的投资建设项目，改建项目应当消减排污量。饮用水水源一级保护区、二级保护区﹑准保护区由省生态环境厅会同水利等有关方面界定并落实管控责任。</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严格执行《水产种质资源保护区管理暂行办法》，禁止在国家级和省级水产种质资源保护区的岸线和河段范围内新建围湖造田、围海造地或围填海等投资建设项目。严格执行《中华人民共和国湿地保护法》《江苏省湿地保护条例》，禁止在国家湿地公园的岸线和河段范围内挖沙、采矿，以及任何不符合主体功能定位的投资建设项目。水产种质资源保护区、国家湿地公园分别由省农业农村厅、省林业局会同有关方面界定并落实管控责任。</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长江干支流基础设施项目应按照《长江岸线保护和开发利用总体规划》和生态环境保护、岸线保护等要求，按规定开展项目前期论证并办理相关手续。禁止在《全国重要江河湖泊水功能区划》划定的河段及湖泊保护区﹑保留区内投资建设不利于水资源及自然生态保护的项目。</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禁止未经许可在长江干支流及湖泊新设、改设或扩大排污口。</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二、区域活动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禁止长江干流、长江口、34个列入《率先全面禁捕的长江流域水生生物保护区名录》的水生生物保护区以及省规定</w:t>
                  </w:r>
                  <w:r>
                    <w:rPr>
                      <w:rFonts w:hint="eastAsia"/>
                      <w:color w:val="000000" w:themeColor="text1"/>
                      <w:szCs w:val="21"/>
                      <w14:textFill>
                        <w14:solidFill>
                          <w14:schemeClr w14:val="tx1"/>
                        </w14:solidFill>
                      </w14:textFill>
                    </w:rPr>
                    <w:t>的其他</w:t>
                  </w:r>
                  <w:r>
                    <w:rPr>
                      <w:color w:val="000000" w:themeColor="text1"/>
                      <w:szCs w:val="21"/>
                      <w14:textFill>
                        <w14:solidFill>
                          <w14:schemeClr w14:val="tx1"/>
                        </w14:solidFill>
                      </w14:textFill>
                    </w:rPr>
                    <w:t>禁渔水域开展生产性捕捞。</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禁止在距离长江干支流岸线一公里范围内新建、扩建化工园区和化工项目。长江干支流-一公里按照长江干支流岸线边界(即水利部门河道管理范围边界）向陆域纵深一公里执行。</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禁止在长江干流岸线三公里范围内新建、改建、扩建尾矿库、冶炼渣库和磷石膏库,以提升安全、生态环境保护水平为目的的改建除外。</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禁止在太湖流域一、二、三级保护区内开展《江苏省太湖水污染防治条例》禁止的投资建设活动。</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禁止在沿江地区新建、扩建未纳入国家和省布局规划的燃煤发电项目。</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禁止在合规园区外新建、扩建钢铁、石化、化工、焦化、建材、有色、制浆造纸等高污染项目。合规园区名录按照《〈长江经济带发展负面清单指南（试行，2022年版)〉江苏省实施细则合规园区名录》执行。</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禁止在取消化工定位的园区(集中区)内新建化工项目。</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2890" w:type="pct"/>
                  <w:vAlign w:val="center"/>
                </w:tcPr>
                <w:p>
                  <w:pPr>
                    <w:wordWrap w:val="0"/>
                    <w:topLinePunct/>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禁止在化工企业周边建设不符合安全距离规定的劳动密集型的非化工项目和其他人员密集的公共设施项目。</w:t>
                  </w:r>
                </w:p>
              </w:tc>
              <w:tc>
                <w:tcPr>
                  <w:tcW w:w="1095"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不涉及</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三、产业发展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禁止新建﹑扩建不符合国家和省产业政策的尿素﹑磷铵、电石、烧碱、聚氯乙烯、纯碱等行业新增产能项目。</w:t>
                  </w:r>
                </w:p>
              </w:tc>
              <w:tc>
                <w:tcPr>
                  <w:tcW w:w="1095"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本项目不属于尿素﹑磷铵、电石、烧碱、聚氯乙烯、纯碱等项目</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禁止新建、改建、扩建高毒、高残留以及对环境影响大的农药原药（化学合成类）项目，禁止新建、扩建不符合国家和省产业政策的农药、医药和染料中间体化工项目。</w:t>
                  </w:r>
                </w:p>
              </w:tc>
              <w:tc>
                <w:tcPr>
                  <w:tcW w:w="1095"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本项目不属于农药、医药和染料中间体化工项目</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禁止新建、扩建不符合国家石化、现代煤化工等产业布局规划的项目，禁止新建独立焦化项目。</w:t>
                  </w:r>
                </w:p>
              </w:tc>
              <w:tc>
                <w:tcPr>
                  <w:tcW w:w="1095"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本项目不属于国家石化、现代煤化工、焦化等项目</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国家《产业结构调整指导目录》《江苏省产业结构调整限制﹑淘汰和禁止目录》明确的限制类、淘汰类、禁止类项目，法律法规和相关政策明令禁止的落后产能项目，以及明令淘汰的安全生产落后工艺及装备项目。</w:t>
                  </w:r>
                </w:p>
              </w:tc>
              <w:tc>
                <w:tcPr>
                  <w:tcW w:w="1095"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本项目不属于《产业结构调整指导目录》《江苏省产业结构调整限制﹑淘汰和禁止目录》明确的限制类、淘汰类、禁止类项目</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w:t>
                  </w:r>
                </w:p>
              </w:tc>
              <w:tc>
                <w:tcPr>
                  <w:tcW w:w="2890"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禁止新建、扩建不符合国家产能置换要求的严重过剩产能行业的项目。禁止新建﹑扩建不符合要求的高耗能高排放项目。</w:t>
                  </w:r>
                </w:p>
              </w:tc>
              <w:tc>
                <w:tcPr>
                  <w:tcW w:w="1095" w:type="pct"/>
                  <w:vAlign w:val="center"/>
                </w:tcPr>
                <w:p>
                  <w:pPr>
                    <w:wordWrap w:val="0"/>
                    <w:topLinePunct/>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本项目不属于国家产能置换要求的严重过剩产能行业的项目</w:t>
                  </w:r>
                </w:p>
              </w:tc>
              <w:tc>
                <w:tcPr>
                  <w:tcW w:w="644" w:type="pct"/>
                  <w:vAlign w:val="center"/>
                </w:tcPr>
                <w:p>
                  <w:pPr>
                    <w:wordWrap w:val="0"/>
                    <w:topLinePun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bl>
          <w:p>
            <w:pPr>
              <w:autoSpaceDE w:val="0"/>
              <w:autoSpaceDN w:val="0"/>
              <w:adjustRightIn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综上所述，本项目的建设符合“三线一单”（即生态红线、环境质量底线、资源利用上线及环境准入负面清单）的相关要求。</w:t>
            </w:r>
          </w:p>
          <w:p>
            <w:pPr>
              <w:autoSpaceDE w:val="0"/>
              <w:autoSpaceDN w:val="0"/>
              <w:adjustRightInd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4、与《省生态环境厅关于进一步做好建设项目环评审批工作的通知》（苏环办〔2019〕36号）相符性分析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项目与《江苏省生态环境厅关于进一步做好建设项目环评审批工作的通知》（苏环办〔2019〕36号）相符性分析详见下表。</w:t>
            </w:r>
          </w:p>
          <w:p>
            <w:pPr>
              <w:pStyle w:val="26"/>
              <w:shd w:val="clear" w:color="auto" w:fill="auto"/>
              <w:spacing w:line="240" w:lineRule="auto"/>
              <w:jc w:val="center"/>
              <w:rPr>
                <w:rFonts w:ascii="Times New Roman" w:hAnsi="Times New Roman" w:cs="Times New Roman"/>
                <w:b/>
                <w:bCs/>
                <w:snapToGrid w:val="0"/>
                <w:color w:val="000000" w:themeColor="text1"/>
                <w:kern w:val="0"/>
                <w:szCs w:val="22"/>
                <w14:textFill>
                  <w14:solidFill>
                    <w14:schemeClr w14:val="tx1"/>
                  </w14:solidFill>
                </w14:textFill>
              </w:rPr>
            </w:pPr>
          </w:p>
          <w:p>
            <w:pPr>
              <w:pStyle w:val="26"/>
              <w:shd w:val="clear" w:color="auto" w:fill="auto"/>
              <w:spacing w:line="240" w:lineRule="auto"/>
              <w:jc w:val="center"/>
              <w:rPr>
                <w:rFonts w:ascii="Times New Roman" w:hAnsi="Times New Roman" w:cs="Times New Roman"/>
                <w:b/>
                <w:bCs/>
                <w:snapToGrid w:val="0"/>
                <w:color w:val="000000" w:themeColor="text1"/>
                <w:kern w:val="0"/>
                <w:szCs w:val="22"/>
                <w14:textFill>
                  <w14:solidFill>
                    <w14:schemeClr w14:val="tx1"/>
                  </w14:solidFill>
                </w14:textFill>
              </w:rPr>
            </w:pPr>
          </w:p>
          <w:p>
            <w:pPr>
              <w:pStyle w:val="15"/>
              <w:rPr>
                <w:rFonts w:ascii="Times New Roman" w:hAnsi="Times New Roman" w:eastAsia="宋体"/>
                <w:b/>
                <w:bCs/>
                <w:snapToGrid w:val="0"/>
                <w:color w:val="000000" w:themeColor="text1"/>
                <w:szCs w:val="22"/>
                <w14:textFill>
                  <w14:solidFill>
                    <w14:schemeClr w14:val="tx1"/>
                  </w14:solidFill>
                </w14:textFill>
              </w:rPr>
            </w:pPr>
          </w:p>
          <w:p>
            <w:pPr>
              <w:pStyle w:val="15"/>
              <w:rPr>
                <w:rFonts w:ascii="Times New Roman" w:hAnsi="Times New Roman" w:eastAsia="宋体"/>
                <w:b/>
                <w:bCs/>
                <w:snapToGrid w:val="0"/>
                <w:color w:val="000000" w:themeColor="text1"/>
                <w:szCs w:val="22"/>
                <w14:textFill>
                  <w14:solidFill>
                    <w14:schemeClr w14:val="tx1"/>
                  </w14:solidFill>
                </w14:textFill>
              </w:rPr>
            </w:pPr>
          </w:p>
          <w:p>
            <w:pPr>
              <w:pStyle w:val="15"/>
              <w:rPr>
                <w:rFonts w:ascii="Times New Roman" w:hAnsi="Times New Roman" w:eastAsia="宋体"/>
                <w:b/>
                <w:bCs/>
                <w:snapToGrid w:val="0"/>
                <w:color w:val="000000" w:themeColor="text1"/>
                <w:szCs w:val="22"/>
                <w14:textFill>
                  <w14:solidFill>
                    <w14:schemeClr w14:val="tx1"/>
                  </w14:solidFill>
                </w14:textFill>
              </w:rPr>
            </w:pPr>
          </w:p>
          <w:p>
            <w:pPr>
              <w:pStyle w:val="26"/>
              <w:shd w:val="clear" w:color="auto" w:fill="auto"/>
              <w:spacing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snapToGrid w:val="0"/>
                <w:color w:val="000000" w:themeColor="text1"/>
                <w:kern w:val="0"/>
                <w:szCs w:val="22"/>
                <w14:textFill>
                  <w14:solidFill>
                    <w14:schemeClr w14:val="tx1"/>
                  </w14:solidFill>
                </w14:textFill>
              </w:rPr>
              <w:t>表1-8  项目与《江苏省生态环境厅关于进一步做好建设项目环评审批工作的通知》（苏环办〔2019〕36号）相符性分析</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56"/>
              <w:gridCol w:w="2061"/>
              <w:gridCol w:w="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文件要求（涉及主要内容）</w:t>
                  </w:r>
                </w:p>
              </w:tc>
              <w:tc>
                <w:tcPr>
                  <w:tcW w:w="2061"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966"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一、有下列情形之一的，不予批准∶</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（1）建设项目类型及其选址、布局、规模等不符合环境保护法律法规和相关法定规划；</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（2）所在区域环境质量未达到国家或者地方环境质量标准，且建设项目拟采取的措施不能满足区域环境质量改善目标管理要求；</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（3）建设项目采取的污染防治措施无法确保污染物排放达到国家和地方排放标准，或者未采取必要措施预防和控制生态破坏；</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（4）改建、扩建和技术改造项目，未针对项目原有环境污染和生态破坏提出有效</w:t>
                  </w:r>
                  <w:r>
                    <w:rPr>
                      <w:rFonts w:hint="eastAsia"/>
                      <w:color w:val="000000" w:themeColor="text1"/>
                      <w:szCs w:val="21"/>
                      <w14:textFill>
                        <w14:solidFill>
                          <w14:schemeClr w14:val="tx1"/>
                        </w14:solidFill>
                      </w14:textFill>
                    </w:rPr>
                    <w:t>防治措施</w:t>
                  </w:r>
                  <w:r>
                    <w:rPr>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（5）建设项目的环境影响报告书、环境影响报告表的基础资料数据明显不实，内容存在重大缺陷、遗漏，或者环境影响评价结论不明确、不合理。</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（1）本项目类型及选址、布局、规模等符合环境保护法律法规和相关法定规划；</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（2）本项目所在区域环境空气质量为不达标区；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（3）根据工程分析可知本项目采取的污染防治措施能保证污染物排放达到国家和地方排放标准；</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（4）本项目为新建项目，不涉及原有环境污染问题</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二、严格控制在优先保护类耕地集中区域新建有色金属冶炼、石油加工、化工、焦化、电镀、制革等行业企业，有关环境保护主管部门依法不予审批可能造成耕地土壤污染的建设项目环境影响报告书或者报告表。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2061" w:type="dxa"/>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w:t>
                  </w:r>
                  <w:r>
                    <w:rPr>
                      <w:color w:val="000000" w:themeColor="text1"/>
                      <w:szCs w:val="21"/>
                      <w14:textFill>
                        <w14:solidFill>
                          <w14:schemeClr w14:val="tx1"/>
                        </w14:solidFill>
                      </w14:textFill>
                    </w:rPr>
                    <w:t>位于江苏省泰州市海陵区海陵工业园兴陵路28号，所在地块为工业用地，不属于优先保护类耕地集中区域</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三、严格落实污染物排放总量控制制度，把主要污染物排放总量指标作为建设项目环境影响评价审批的前置条件。排放主要污染物的建设项目，在环境影响评价文件审批前，须取得主要污染物排放总量指标。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本项目审批前将取得污染物排放总量指标</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四、（1）规划环评要作为规划所包含项目环评的重要依据，对于不符合规划环评结论及审查意见的项目环评，依法不予审批。</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（2）对于现有同类型项目环境污染或生态破坏严重、环境违法违规现象多发，致使环境容量接近或超过承载能力的地区，在现有问题整改到位前，依法暂停审批该地区同类行业的项目环评文件。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（1）本项目与所在区域规划环评结论及审查工作相符；</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本</w:t>
                  </w:r>
                  <w:r>
                    <w:rPr>
                      <w:color w:val="000000" w:themeColor="text1"/>
                      <w:szCs w:val="21"/>
                      <w14:textFill>
                        <w14:solidFill>
                          <w14:schemeClr w14:val="tx1"/>
                        </w14:solidFill>
                      </w14:textFill>
                    </w:rPr>
                    <w:t>项目位于江苏省泰州市海陵区海陵工业园，主要为</w:t>
                  </w:r>
                  <w:r>
                    <w:rPr>
                      <w:rFonts w:hint="eastAsia"/>
                      <w:color w:val="000000" w:themeColor="text1"/>
                      <w:szCs w:val="21"/>
                      <w14:textFill>
                        <w14:solidFill>
                          <w14:schemeClr w14:val="tx1"/>
                        </w14:solidFill>
                      </w14:textFill>
                    </w:rPr>
                    <w:t>机械零部件加工、汽车零部件及配件制造</w:t>
                  </w:r>
                  <w:r>
                    <w:rPr>
                      <w:color w:val="000000" w:themeColor="text1"/>
                      <w:szCs w:val="21"/>
                      <w14:textFill>
                        <w14:solidFill>
                          <w14:schemeClr w14:val="tx1"/>
                        </w14:solidFill>
                      </w14:textFill>
                    </w:rPr>
                    <w:t>，未有现有同类型项目环境污染或生态破坏严重、环境违法违规现象多发，致使地区环境容量接近或超过承载能力的现象；</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（3）本项目所在区域环境空气质量为不达标区。本项目不在生态保护红线范围内</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五、严禁在长江干流及主要支流岸线1公里范围内新建布局化工园区和化工企业。严格化工项目环评审批，提高准入门槛，新建化工项目原则上投资额不得低于10亿元，不得新建、改建、扩建三类中间体项目。</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本项目不在长江干流及主要支流岸线1公里范围内，且本项目不属于化工项目</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六、禁止新建燃煤自备电厂。在重点地区执行《江苏省化工钢铁煤电行业环境准入和排放标准》。燃煤电厂2019年底前全部实行超低排放。</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本项目不属于新建燃煤自备电厂项目</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七、禁止建设生产和使用高VOCs含量的溶剂型涂料、油墨、胶粘剂等项目。</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本项目生产不涉及高VOCs含量的溶剂型涂料、油墨、胶粘剂</w:t>
                  </w:r>
                  <w:r>
                    <w:rPr>
                      <w:rFonts w:hint="eastAsia"/>
                      <w:color w:val="000000" w:themeColor="text1"/>
                      <w:szCs w:val="21"/>
                      <w14:textFill>
                        <w14:solidFill>
                          <w14:schemeClr w14:val="tx1"/>
                        </w14:solidFill>
                      </w14:textFill>
                    </w:rPr>
                    <w:t>等</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八、一律不批新的化工园区，一律不批化工园区外化工企业（除化工重点监测点和提升安全、环保、节能水平及油品质量升级、结构调整以外的改扩建项目），一律不批化工园区内环境基础设施不完善或长期不能稳定运行企业的新改扩建化工项目。新建（含搬迁）化工项目必须进入已经依法完成规划环评审查的化工园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严禁在长江干流及主要支流岸线1公里范围内新建危化品码头。</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本项目不属于新建化工园区项目，不属于化工项目，本项目位于</w:t>
                  </w:r>
                  <w:r>
                    <w:rPr>
                      <w:color w:val="000000" w:themeColor="text1"/>
                      <w:szCs w:val="21"/>
                      <w:lang w:val="zh-CN"/>
                      <w14:textFill>
                        <w14:solidFill>
                          <w14:schemeClr w14:val="tx1"/>
                        </w14:solidFill>
                      </w14:textFill>
                    </w:rPr>
                    <w:t>江苏泰州海陵工业园区</w:t>
                  </w:r>
                  <w:r>
                    <w:rPr>
                      <w:color w:val="000000" w:themeColor="text1"/>
                      <w:szCs w:val="21"/>
                      <w14:textFill>
                        <w14:solidFill>
                          <w14:schemeClr w14:val="tx1"/>
                        </w14:solidFill>
                      </w14:textFill>
                    </w:rPr>
                    <w:t>，不属于化工园区，本项目不属于危化品码头项目</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九、生态保护红线原则上按禁止开发区域的要求进行管理，严禁不符合主体功能定位的各类开发活动，严禁任意改变用途。</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本项目不在生态保护红线范围内，不对其进行开发</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十、禁止审批无法落实危险废物利用、处置途径的项目，从严审批危险废物产生量大、本地无配套利用处置能力、且需设区市统筹解决的项目。</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本项目为汽车零部件及高端装备国际配套零部件项目，产生的危险废物暂存危废暂存间定期委托有资质单位处置</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5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十一、（1）禁止建设不符合全国和省级港口布局规划以及港口总体规划的码头项目，禁止建设不符合《长江干线过江通道布局规划》的过长江通道项目。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（2）禁止在自然保护区核心区、缓冲区的岸线和河段范围内投资建设旅游和生产经营项目。禁止在风景名胜区核心景区的岸线和河段范围内投资建设与风景名胜资源保护无关的项目。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禁止在水产种质资源保护区的岸线和河段范围内新建排污口，以及围湖造田、围海造地或围填海等投资建设项目。禁止在国家湿地公园的岸线和河段范围内挖沙、采矿，以及任何不符合主体功能定位的投资建设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禁止在生态保护红线和永久基本农田范围内投资建设除国家重大战略资源勘查项目、生态保护修复和环境治理项目、重大基础设施项目、军事国防项目以及农牧民基本生产生活等必要的民生项目以外的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（7）禁止在长江干支流1公里范围内新建、扩建化工园区和化工项目。禁止在合规园区外新建、扩建钢铁、石化、化工、焦化、建材、有色等高污染项目。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（8）禁止新建、扩建不符合国家石化、现代煤化工等产业布局规划的项目。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（9）禁止新建、扩建法律法规和相关政策明令禁止的落后产能项目。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（10）禁止新建、扩建不符合国家产能置换要求的严重过剩产能行业的项目。</w:t>
                  </w:r>
                </w:p>
              </w:tc>
              <w:tc>
                <w:tcPr>
                  <w:tcW w:w="206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（1）本项目不属于过长江通道项目；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（2）不属于旅游和生产经营项目，且本项目不在自然保护区内；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（3）本项目不在饮用水水源一级二级保护区的岸线和河段范围内；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（4）本项目新建污水、雨水排口，不在国家湿地公园的岸线和河段范围内；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（5）本项目不在《长江岸线保护和开发利用总体规划》划定的岸线保护区内，不在岸线保留区，不在《全国重要江河湖泊水功能区划》划定的河段保护区、保留区内。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（6）本项目不在生态保护红线和永久基本农田范围内；</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（7）本项目不在长江干支流1公里范围内，不属于钢铁、石化、化工、焦化、建材、有色等高污染项目；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（8）本项目不属于石化、现代煤化工等项目；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（9）本项目不属于法律法规和相关政策明令禁止的落后产能项目；</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（10）本项目不属于不符合国家产能置换要求的严重过剩产能行业的项目</w:t>
                  </w:r>
                </w:p>
              </w:tc>
              <w:tc>
                <w:tcPr>
                  <w:tcW w:w="96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不涉及</w:t>
                  </w:r>
                </w:p>
              </w:tc>
            </w:tr>
          </w:tbl>
          <w:p>
            <w:pPr>
              <w:autoSpaceDE w:val="0"/>
              <w:autoSpaceDN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5、与《工业和信息化部国家发展改革委生态环境部关于推动铸造和锻压行业高质量发展的指导意见》（工信部联通装〔2023〕40号）</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与《工业和信息化部国家发展改革委生态环境部关于推动铸造和锻压行业高质量发展的指导意见》（工信部联通装〔2023〕40号）相符性分析详见下表。</w:t>
            </w:r>
          </w:p>
          <w:p>
            <w:pPr>
              <w:pStyle w:val="26"/>
              <w:shd w:val="clear" w:color="auto" w:fill="auto"/>
              <w:spacing w:line="240" w:lineRule="auto"/>
              <w:jc w:val="center"/>
              <w:rPr>
                <w:rFonts w:ascii="Times New Roman" w:hAnsi="Times New Roman" w:cs="Times New Roman"/>
                <w:b/>
                <w:bCs/>
                <w:snapToGrid w:val="0"/>
                <w:color w:val="000000" w:themeColor="text1"/>
                <w:kern w:val="0"/>
                <w:szCs w:val="22"/>
                <w14:textFill>
                  <w14:solidFill>
                    <w14:schemeClr w14:val="tx1"/>
                  </w14:solidFill>
                </w14:textFill>
              </w:rPr>
            </w:pPr>
            <w:r>
              <w:rPr>
                <w:rFonts w:ascii="Times New Roman" w:hAnsi="Times New Roman" w:cs="Times New Roman"/>
                <w:b/>
                <w:bCs/>
                <w:snapToGrid w:val="0"/>
                <w:color w:val="000000" w:themeColor="text1"/>
                <w:kern w:val="0"/>
                <w:szCs w:val="22"/>
                <w14:textFill>
                  <w14:solidFill>
                    <w14:schemeClr w14:val="tx1"/>
                  </w14:solidFill>
                </w14:textFill>
              </w:rPr>
              <w:t>表1-9  项目与《工业和信息化部国家发展改革委生态环境部关于推动铸造和锻压行业高质量发展的指导意见》（工信部联通装〔2023〕40号）相符性分析</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2265"/>
              <w:gridCol w:w="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文件要求（涉及主要内容）</w:t>
                  </w:r>
                </w:p>
              </w:tc>
              <w:tc>
                <w:tcPr>
                  <w:tcW w:w="2121"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722"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发展目标：到2025年，铸造和锻压行业总体水平进一步提高，保障装备制造业产业链供应链安全稳定的能力明显增强。产业结构更趋合理，产业布局与生产要素更加协同。重点领域高端铸件、锻件产品取得突破，掌握一批具有自主知识产权的核心技术，一体化压铸成形、无模铸造、砂型3D打印、超高强钢热成形、精密冷温热锻、轻质高强合金轻量化等先进工艺技术实现产业化应用。建成10个以上具有示范效应的产业集群，初步形成大中小企业、产业链上中下游协同发展的良好生态。智能化改造效应凸显，打造30家以上智能制造示范工厂。培育100家以上绿色工厂，铸造行业颗粒物污染排放量较2020年减少30%以上，年铸造废砂再生循环利用达到800万吨以上，吨锻件能源消耗较2020年减少5%。</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本项目产品性能好，适用</w:t>
                  </w:r>
                  <w:r>
                    <w:rPr>
                      <w:rFonts w:hint="eastAsia"/>
                      <w:color w:val="000000" w:themeColor="text1"/>
                      <w:szCs w:val="21"/>
                      <w14:textFill>
                        <w14:solidFill>
                          <w14:schemeClr w14:val="tx1"/>
                        </w14:solidFill>
                      </w14:textFill>
                    </w:rPr>
                    <w:t>智能汽车及高端装备领域，具有先进的工业技术</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重点任务：发展先进铸造工艺与装备。重点发展高紧实度粘土砂自动化造型、高效自硬砂铸造、精密组芯造型、壳型铸造、离心铸造、金属型铸造、铁模覆砂、消失模/V法/实型铸造、轻合金高压/挤压/差压/低压/半固态/调压铸造、硅溶胶熔模铸造、短流程铸造、砂型3D打印等先进铸造工艺与装备。</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属于金属型铸造</w:t>
                  </w:r>
                  <w:r>
                    <w:rPr>
                      <w:color w:val="000000" w:themeColor="text1"/>
                      <w:szCs w:val="21"/>
                      <w14:textFill>
                        <w14:solidFill>
                          <w14:schemeClr w14:val="tx1"/>
                        </w14:solidFill>
                      </w14:textFill>
                    </w:rPr>
                    <w:t>，采用</w:t>
                  </w:r>
                  <w:r>
                    <w:rPr>
                      <w:rFonts w:hint="eastAsia"/>
                      <w:color w:val="000000" w:themeColor="text1"/>
                      <w:szCs w:val="21"/>
                      <w14:textFill>
                        <w14:solidFill>
                          <w14:schemeClr w14:val="tx1"/>
                        </w14:solidFill>
                      </w14:textFill>
                    </w:rPr>
                    <w:t>天然气熔铝炉、感应加热炉等</w:t>
                  </w:r>
                  <w:r>
                    <w:rPr>
                      <w:color w:val="000000" w:themeColor="text1"/>
                      <w:szCs w:val="21"/>
                      <w14:textFill>
                        <w14:solidFill>
                          <w14:schemeClr w14:val="tx1"/>
                        </w14:solidFill>
                      </w14:textFill>
                    </w:rPr>
                    <w:t>对物料进行熔融</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推进产业结构优化。严格执行节能、环保、质量、安全技术等相关法律法规标准和《产业结构调整指导目录》等政策，依法依规淘汰工艺装备落后、污染物排放不达标、生产安全无保障的落后产能。鼓励大气污染防治重点区域加大淘汰落后力度。铸造企业不得采用无芯工频感应电炉、无磁轭(≥0.25吨)铝壳中频感应电炉、水玻璃熔模精密铸造氯化铵硬化模壳、铝合金六氯乙烷精炼等淘汰类工艺和装备。加快存量项目升级改造，推进企业合理选择低污染、低能耗、经济高效的先进工艺技术，提升行业竞争能力。强化铸造和锻压与装备制造业协同布局，引导具备条件的企业入园集聚发展，提升产业链供应链协同配套能力，构建布局合理、错位互补、供需联动、协同发展的产业格</w:t>
                  </w:r>
                  <w:r>
                    <w:rPr>
                      <w:color w:val="000000" w:themeColor="text1"/>
                      <w14:textFill>
                        <w14:solidFill>
                          <w14:schemeClr w14:val="tx1"/>
                        </w14:solidFill>
                      </w14:textFill>
                    </w:rPr>
                    <w:t>局</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本项目符合法律法规标准和《产业结构调整指导目录》等政策，采用</w:t>
                  </w:r>
                  <w:r>
                    <w:rPr>
                      <w:rFonts w:hint="eastAsia"/>
                      <w:color w:val="000000" w:themeColor="text1"/>
                      <w:szCs w:val="21"/>
                      <w14:textFill>
                        <w14:solidFill>
                          <w14:schemeClr w14:val="tx1"/>
                        </w14:solidFill>
                      </w14:textFill>
                    </w:rPr>
                    <w:t>天然气熔铝炉、感应加热炉等</w:t>
                  </w:r>
                  <w:r>
                    <w:rPr>
                      <w:color w:val="000000" w:themeColor="text1"/>
                      <w:szCs w:val="21"/>
                      <w14:textFill>
                        <w14:solidFill>
                          <w14:schemeClr w14:val="tx1"/>
                        </w14:solidFill>
                      </w14:textFill>
                    </w:rPr>
                    <w:t>对物料进行熔融，不属于淘汰类工艺和装备</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规范行业监督管理。系统科学有序推进行业转型升级，避免政策执行“一刀切”和“层层加码”。充分发挥行业自治作用，加强行业自律建设。推动修订《铸造企业规范条件》(T/CFA 0310021)，鼓励地方参照该条件引导铸造企业规范发展。严格区分锻压行业和钢铁行业生产工艺特征特点，避免锻压配套的炼钢判定为钢铁冶炼生产，也严禁以铸造和锻压名义违规新增钢铁产能、违规生产钢坯钢锭及上市销售。</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本项目不属于钢铁冶炼生产</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autoSpaceDE w:val="0"/>
              <w:autoSpaceDN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6、与《关于转发&lt;工业和信息化部国家发展和改革委员会生态环境部关于推动铸造和锻压行业高质量发展的指导意见&gt;的通知》（苏工信装备〔2023〕194号）相符性分析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与《关于转发&lt;工业和信息化部国家发展和改革委员会生态环境部关于推动铸造和锻压行业高质量发展的指导意见&gt;的通知》（苏工信装备〔2023〕194号）相符性分析详见下表。</w:t>
            </w:r>
          </w:p>
          <w:p>
            <w:pPr>
              <w:pStyle w:val="26"/>
              <w:shd w:val="clear" w:color="auto" w:fill="auto"/>
              <w:spacing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snapToGrid w:val="0"/>
                <w:color w:val="000000" w:themeColor="text1"/>
                <w:kern w:val="0"/>
                <w:szCs w:val="22"/>
                <w14:textFill>
                  <w14:solidFill>
                    <w14:schemeClr w14:val="tx1"/>
                  </w14:solidFill>
                </w14:textFill>
              </w:rPr>
              <w:t xml:space="preserve">表1-10  </w:t>
            </w:r>
            <w:r>
              <w:rPr>
                <w:rFonts w:ascii="Times New Roman" w:hAnsi="Times New Roman" w:cs="Times New Roman"/>
                <w:b/>
                <w:bCs/>
                <w:color w:val="000000" w:themeColor="text1"/>
                <w:kern w:val="0"/>
                <w14:textFill>
                  <w14:solidFill>
                    <w14:schemeClr w14:val="tx1"/>
                  </w14:solidFill>
                </w14:textFill>
              </w:rPr>
              <w:t>项目与苏工信装备〔2023〕194号相符性分析</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2265"/>
              <w:gridCol w:w="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文件要求（涉及主要内容）</w:t>
                  </w:r>
                </w:p>
              </w:tc>
              <w:tc>
                <w:tcPr>
                  <w:tcW w:w="2121"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722"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严格执行节能、环保、质量、安全技术等相关法律法规标准和《产业结构调整指导目录》等政策，依法依规淘汰工艺装备落后、污染物排放不达标、生产安全无保障的落后产能</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本项目符合法律法规标准和《产业结构调整指导目录》等政策，采用先进设备及工艺</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加快存量项目升级改造，推进企业合理选择低污染、低能耗、经济高效的先进工艺技术，提升行业竞争能力。</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本项目采用先进的铸造</w:t>
                  </w:r>
                  <w:r>
                    <w:rPr>
                      <w:rFonts w:hint="eastAsia"/>
                      <w:color w:val="000000" w:themeColor="text1"/>
                      <w:szCs w:val="21"/>
                      <w14:textFill>
                        <w14:solidFill>
                          <w14:schemeClr w14:val="tx1"/>
                        </w14:solidFill>
                      </w14:textFill>
                    </w:rPr>
                    <w:t>及锻压</w:t>
                  </w:r>
                  <w:r>
                    <w:rPr>
                      <w:color w:val="000000" w:themeColor="text1"/>
                      <w:szCs w:val="21"/>
                      <w14:textFill>
                        <w14:solidFill>
                          <w14:schemeClr w14:val="tx1"/>
                        </w14:solidFill>
                      </w14:textFill>
                    </w:rPr>
                    <w:t>工艺</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要结合实际谋划新建或改造升级的高端建设项目落地实施，严格审批新建、改扩建项目，确保项目备案、环评、排污许可、安评、节能审查等手续清晰、完备，项目建设符合国家相关法律法规标准要求。严格落实主要污染物排放总量控制、能源消耗总量和强度调控制度，坚决遏制不符合要求的项目盲目发展和低水平重复建设，防止产能盲目扩张，切实推进产业结构优化升级。</w:t>
                  </w:r>
                </w:p>
              </w:tc>
              <w:tc>
                <w:tcPr>
                  <w:tcW w:w="212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项目依法办理各项审批手续，符合国家法律法规要求；本项目审批前，将申请主要污染物排放总量指标</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autoSpaceDE w:val="0"/>
              <w:autoSpaceDN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7、与《铸造企业规范条件》（T/CFA0310021-2023）相符性分析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与《铸造企业规范条件》（T/CFA0310021-2023）相符性分析详见下表。</w:t>
            </w:r>
          </w:p>
          <w:p>
            <w:pPr>
              <w:pStyle w:val="26"/>
              <w:shd w:val="clear" w:color="auto" w:fill="auto"/>
              <w:spacing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snapToGrid w:val="0"/>
                <w:color w:val="000000" w:themeColor="text1"/>
                <w:kern w:val="0"/>
                <w:szCs w:val="22"/>
                <w14:textFill>
                  <w14:solidFill>
                    <w14:schemeClr w14:val="tx1"/>
                  </w14:solidFill>
                </w14:textFill>
              </w:rPr>
              <w:t xml:space="preserve">表1-11  </w:t>
            </w:r>
            <w:r>
              <w:rPr>
                <w:rFonts w:ascii="Times New Roman" w:hAnsi="Times New Roman" w:cs="Times New Roman"/>
                <w:b/>
                <w:bCs/>
                <w:color w:val="000000" w:themeColor="text1"/>
                <w:kern w:val="0"/>
                <w14:textFill>
                  <w14:solidFill>
                    <w14:schemeClr w14:val="tx1"/>
                  </w14:solidFill>
                </w14:textFill>
              </w:rPr>
              <w:t>项目与T/CFA0310021-2023相符性分析</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2265"/>
              <w:gridCol w:w="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文件要求（涉及主要内容）</w:t>
                  </w:r>
                </w:p>
              </w:tc>
              <w:tc>
                <w:tcPr>
                  <w:tcW w:w="2121"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722" w:type="dxa"/>
                  <w:vAlign w:val="center"/>
                </w:tcPr>
                <w:p>
                  <w:pPr>
                    <w:adjustRightInd w:val="0"/>
                    <w:snapToGrid w:val="0"/>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4、建设条件与布局</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4.1 企业的布局及厂址的确定应符合国家相关法律法规、产业政策以及各地方装备制造业和铸造行业的总体规划要求。</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4.2 企业生产场所应依法取得土地使用权并符合土地使用性质。</w:t>
                  </w:r>
                </w:p>
              </w:tc>
              <w:tc>
                <w:tcPr>
                  <w:tcW w:w="212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本项目租用</w:t>
                  </w:r>
                  <w:r>
                    <w:rPr>
                      <w:rFonts w:hint="eastAsia"/>
                      <w:color w:val="000000" w:themeColor="text1"/>
                      <w:szCs w:val="21"/>
                      <w14:textFill>
                        <w14:solidFill>
                          <w14:schemeClr w14:val="tx1"/>
                        </w14:solidFill>
                      </w14:textFill>
                    </w:rPr>
                    <w:t>泰州豹变智控科技有限公司</w:t>
                  </w:r>
                  <w:r>
                    <w:rPr>
                      <w:color w:val="000000" w:themeColor="text1"/>
                      <w:szCs w:val="21"/>
                      <w14:textFill>
                        <w14:solidFill>
                          <w14:schemeClr w14:val="tx1"/>
                        </w14:solidFill>
                      </w14:textFill>
                    </w:rPr>
                    <w:t>合法厂房，用地性质是工业用地，符合规划要求</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6、生产工艺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6.1 企业应根据生产铸件的材质、品种、批量，合理选择低污染、低排放、低能耗、经济高效的铸造工艺。</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6.2 企业不应使用国家明令淘汰的生产工艺。不应采用粘土砂干型/芯、油砂制芯、七〇砂制型/芯等落后铸造工艺；粘土砂工艺批量生产铸件不应采用手工造型；水玻璃熔模精密铸造模壳硬化不应采用氯化铵硬化工艺；铝合金精炼不应采用六氯乙烷等有毒有害的精炼剂。</w:t>
                  </w:r>
                </w:p>
              </w:tc>
              <w:tc>
                <w:tcPr>
                  <w:tcW w:w="212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本项目采用金属型铸造工艺，不属于国家明令淘汰的粘土砂干型/芯、油砂制芯、七〇砂制型/芯等工艺</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7、生产装备</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7.1.1 企业不应使用国家明令淘汰的生产装备，如：无芯工频感应电炉、0.25吨及以上无磁轭的铝壳中频感应电炉等。</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7.2 熔炼（化）及炉前检测设备</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7.2.1 企业应配备与生产能力相匹配的熔炼（化）设备，如冲天炉、中频感应电炉、电弧炉、精炼炉（AOD、VOD、LF等）、电阻炉、燃气炉、保温炉等。</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7.2.2 企业熔炼（化）设备炉前应配置必要的化学成分分析、金属液温度测量等检测仪器。</w:t>
                  </w:r>
                </w:p>
              </w:tc>
              <w:tc>
                <w:tcPr>
                  <w:tcW w:w="212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本项目未使用国家明令淘汰的生产装备；采用</w:t>
                  </w:r>
                  <w:r>
                    <w:rPr>
                      <w:rFonts w:hint="eastAsia"/>
                      <w:color w:val="000000" w:themeColor="text1"/>
                      <w:szCs w:val="21"/>
                      <w14:textFill>
                        <w14:solidFill>
                          <w14:schemeClr w14:val="tx1"/>
                        </w14:solidFill>
                      </w14:textFill>
                    </w:rPr>
                    <w:t>天然气熔铝炉、感应加热炉等</w:t>
                  </w:r>
                  <w:r>
                    <w:rPr>
                      <w:color w:val="000000" w:themeColor="text1"/>
                      <w:szCs w:val="21"/>
                      <w14:textFill>
                        <w14:solidFill>
                          <w14:schemeClr w14:val="tx1"/>
                        </w14:solidFill>
                      </w14:textFill>
                    </w:rPr>
                    <w:t>，不属于无芯工频感应电炉、0.25吨及以上无磁轭的铝壳中频感应电炉；企业</w:t>
                  </w:r>
                  <w:r>
                    <w:rPr>
                      <w:rFonts w:hint="eastAsia"/>
                      <w:color w:val="000000" w:themeColor="text1"/>
                      <w:szCs w:val="21"/>
                      <w14:textFill>
                        <w14:solidFill>
                          <w14:schemeClr w14:val="tx1"/>
                        </w14:solidFill>
                      </w14:textFill>
                    </w:rPr>
                    <w:t>下料前设有检测工艺</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77"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 环境保护</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10.1 企业应按HJ1115、HJ1200的要求，取得排污许可证；宜按照HJ1251的要求制定自行监测方案。</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10.2 企业大气污染物排放应符合GB39726的要求。应配置完善的环保处理装置，废气、废水、噪声、工业固体废物等排放与处置措施应符合国家及地方环保法规和标准的规定。</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10.3 企业宜参照《重污染天气重点行业应急减排措施制定技术指南》的要求开展绩效分级管理，制定重污染天气应急减排措施。</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10.4 企业可按照GB/T24001要求建立环境管理体系，通过认证并持续有效运行</w:t>
                  </w:r>
                </w:p>
              </w:tc>
              <w:tc>
                <w:tcPr>
                  <w:tcW w:w="2121"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1、本项目建成后将按要求办理排污许可证；</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2、本项目废气排放符合GB39726要求，配备了完善的废气、废水、噪声、工业固废等排放与处置措施，均符合国家及地方环保法规和标准要求。</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3、将参照《重污染天气重点行业应急减排措施制定技术指南》的要求制定重污染天气应急减排措施。</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4、建成后将按要求建立环境管理体系，规范企业环境管理</w:t>
                  </w:r>
                </w:p>
              </w:tc>
              <w:tc>
                <w:tcPr>
                  <w:tcW w:w="72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autoSpaceDE w:val="0"/>
              <w:autoSpaceDN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8、与关于印发《泰州市涉粉尘建材与铸造企业环境专项整治实施方案》的通知（泰环办〔2022〕58号）相符性分析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项目与关于印发《泰州市涉粉尘建材与铸造企业环境专项整治实施方案》（泰环办〔2022〕58号）相符性分析如下。</w:t>
            </w:r>
          </w:p>
          <w:p>
            <w:pPr>
              <w:pStyle w:val="26"/>
              <w:shd w:val="clear" w:color="auto" w:fill="auto"/>
              <w:spacing w:line="240" w:lineRule="auto"/>
              <w:jc w:val="center"/>
              <w:rPr>
                <w:rFonts w:ascii="Times New Roman" w:hAnsi="Times New Roman" w:cs="Times New Roman"/>
                <w:b/>
                <w:bCs/>
                <w:snapToGrid w:val="0"/>
                <w:color w:val="000000" w:themeColor="text1"/>
                <w:kern w:val="0"/>
                <w:szCs w:val="22"/>
                <w14:textFill>
                  <w14:solidFill>
                    <w14:schemeClr w14:val="tx1"/>
                  </w14:solidFill>
                </w14:textFill>
              </w:rPr>
            </w:pPr>
            <w:r>
              <w:rPr>
                <w:rFonts w:ascii="Times New Roman" w:hAnsi="Times New Roman" w:cs="Times New Roman"/>
                <w:b/>
                <w:bCs/>
                <w:snapToGrid w:val="0"/>
                <w:color w:val="000000" w:themeColor="text1"/>
                <w:kern w:val="0"/>
                <w:szCs w:val="22"/>
                <w14:textFill>
                  <w14:solidFill>
                    <w14:schemeClr w14:val="tx1"/>
                  </w14:solidFill>
                </w14:textFill>
              </w:rPr>
              <w:t>表1-12  项目与泰环办〔2022〕58号相符性分析</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611"/>
              <w:gridCol w:w="2905"/>
              <w:gridCol w:w="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382"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文件要求（涉及主要内容）</w:t>
                  </w:r>
                </w:p>
              </w:tc>
              <w:tc>
                <w:tcPr>
                  <w:tcW w:w="2720"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相符性分析</w:t>
                  </w:r>
                </w:p>
              </w:tc>
              <w:tc>
                <w:tcPr>
                  <w:tcW w:w="718" w:type="dxa"/>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adjustRightInd w:val="0"/>
                    <w:snapToGrid w:val="0"/>
                    <w:jc w:val="center"/>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物料储存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煤粉、膨润土等粉状物料和硅砂应袋装或灌装，并贮存在封闭储存或半封闭料场(堆棚)中。</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本项目不使用煤粉、膨润土等粉状物料</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生铁、废钢等粒状、块状物料应储存在封闭相符储库、料仓中，或储存于半封闭料场(堆棚)中，或四周设置防风抑尘网、挡风墙，或采取覆盖措施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本项目外购原辅料储存于原料暂存区</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物料转移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粉状、粒状等易散发粉尘的物料厂内转移、输送过程，应封闭或采取覆盖等抑尘措施，转移、输送、装卸过程中产尘点应采取集气除尘措施，或喷淋（雾）等抑尘措施。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本项目外购</w:t>
                  </w:r>
                  <w:r>
                    <w:rPr>
                      <w:rFonts w:hint="eastAsia"/>
                      <w:color w:val="000000" w:themeColor="text1"/>
                      <w:szCs w:val="21"/>
                      <w14:textFill>
                        <w14:solidFill>
                          <w14:schemeClr w14:val="tx1"/>
                        </w14:solidFill>
                      </w14:textFill>
                    </w:rPr>
                    <w:t>铝碇、圆钢、</w:t>
                  </w:r>
                  <w:r>
                    <w:rPr>
                      <w:color w:val="000000" w:themeColor="text1"/>
                      <w14:textFill>
                        <w14:solidFill>
                          <w14:schemeClr w14:val="tx1"/>
                        </w14:solidFill>
                      </w14:textFill>
                    </w:rPr>
                    <w:t>铝合金铸棒</w:t>
                  </w:r>
                  <w:r>
                    <w:rPr>
                      <w:color w:val="000000" w:themeColor="text1"/>
                      <w:szCs w:val="21"/>
                      <w14:textFill>
                        <w14:solidFill>
                          <w14:schemeClr w14:val="tx1"/>
                        </w14:solidFill>
                      </w14:textFill>
                    </w:rPr>
                    <w:t>等均为块状或板状，不属于易散发粉尘的物料；外购</w:t>
                  </w:r>
                  <w:r>
                    <w:rPr>
                      <w:rFonts w:hint="eastAsia"/>
                      <w:color w:val="000000" w:themeColor="text1"/>
                      <w14:textFill>
                        <w14:solidFill>
                          <w14:schemeClr w14:val="tx1"/>
                        </w14:solidFill>
                      </w14:textFill>
                    </w:rPr>
                    <w:t>精炼变质剂、清渣覆盖剂、覆膜砂等</w:t>
                  </w:r>
                  <w:r>
                    <w:rPr>
                      <w:color w:val="000000" w:themeColor="text1"/>
                      <w:szCs w:val="21"/>
                      <w14:textFill>
                        <w14:solidFill>
                          <w14:schemeClr w14:val="tx1"/>
                        </w14:solidFill>
                      </w14:textFill>
                    </w:rPr>
                    <w:t>在厂内转移、输送、装卸时未拆包，仍属于密闭状态</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造型、制芯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设置集气罩，配套建设布袋除尘等粉尘污染治理设施；使用树脂砂等涉VOCs原辅料的需要配套建设有机废气吸附装置。</w:t>
                  </w:r>
                </w:p>
              </w:tc>
              <w:tc>
                <w:tcPr>
                  <w:tcW w:w="272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企业于制芯机顶部设置集气罩，末端设施配套布袋除尘器</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熔炼（化）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电炉应配套集气罩+高效袋式除尘设施等废气处理设施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熔化</w:t>
                  </w:r>
                  <w:r>
                    <w:rPr>
                      <w:color w:val="000000" w:themeColor="text1"/>
                      <w:szCs w:val="21"/>
                      <w14:textFill>
                        <w14:solidFill>
                          <w14:schemeClr w14:val="tx1"/>
                        </w14:solidFill>
                      </w14:textFill>
                    </w:rPr>
                    <w:t>废气经集气罩收集后通过</w:t>
                  </w:r>
                  <w:r>
                    <w:rPr>
                      <w:rFonts w:hint="eastAsia"/>
                      <w:color w:val="000000" w:themeColor="text1"/>
                      <w:szCs w:val="21"/>
                      <w14:textFill>
                        <w14:solidFill>
                          <w14:schemeClr w14:val="tx1"/>
                        </w14:solidFill>
                      </w14:textFill>
                    </w:rPr>
                    <w:t>碱喷淋</w:t>
                  </w:r>
                  <w:r>
                    <w:rPr>
                      <w:color w:val="000000" w:themeColor="text1"/>
                      <w:szCs w:val="21"/>
                      <w14:textFill>
                        <w14:solidFill>
                          <w14:schemeClr w14:val="tx1"/>
                        </w14:solidFill>
                      </w14:textFill>
                    </w:rPr>
                    <w:t>塔+干式过滤+布袋除尘器</w:t>
                  </w:r>
                  <w:r>
                    <w:rPr>
                      <w:rFonts w:hint="eastAsia"/>
                      <w:color w:val="000000" w:themeColor="text1"/>
                      <w14:textFill>
                        <w14:solidFill>
                          <w14:schemeClr w14:val="tx1"/>
                        </w14:solidFill>
                      </w14:textFill>
                    </w:rPr>
                    <w:t>+二级活性炭</w:t>
                  </w:r>
                  <w:r>
                    <w:rPr>
                      <w:rFonts w:hint="eastAsia"/>
                      <w:color w:val="000000" w:themeColor="text1"/>
                      <w:szCs w:val="21"/>
                      <w14:textFill>
                        <w14:solidFill>
                          <w14:schemeClr w14:val="tx1"/>
                        </w14:solidFill>
                      </w14:textFill>
                    </w:rPr>
                    <w:t>处理后排放</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燃气炉应配套建设二氧化硫、氮氧化物等废气处理设施，确保二氧化硫浓度小于100毫克/立方米、氮氧化物浓度小于等于400毫克/立方米</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使用天然气加热熔化，二氧化硫、氮氧化物排放可满足要求</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使用带油、塑料等杂质的废铁、废钢等物料，在熔炼（化）时产生异味等有机废气应同步配套建设有机废气吸附装置等除异味设施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项目将执行严格的原料控制制度，不使用含油、塑料等杂质的废铁、废钢等物料</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定点浇注点上方应设置集气罩，配套有机废气吸附处理装置及除尘装置；人工地面浇注点应设置可移动集气罩、有机废气吸附处理装置和除尘装置。</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本项目定点浇注，设置集气罩收集浇注废气，采取袋式除尘措施和</w:t>
                  </w:r>
                  <w:r>
                    <w:rPr>
                      <w:rFonts w:hint="eastAsia"/>
                      <w:color w:val="000000" w:themeColor="text1"/>
                      <w:szCs w:val="21"/>
                      <w14:textFill>
                        <w14:solidFill>
                          <w14:schemeClr w14:val="tx1"/>
                        </w14:solidFill>
                      </w14:textFill>
                    </w:rPr>
                    <w:t>活性炭吸附</w:t>
                  </w:r>
                  <w:r>
                    <w:rPr>
                      <w:color w:val="000000" w:themeColor="text1"/>
                      <w:szCs w:val="21"/>
                      <w14:textFill>
                        <w14:solidFill>
                          <w14:schemeClr w14:val="tx1"/>
                        </w14:solidFill>
                      </w14:textFill>
                    </w:rPr>
                    <w:t>有机废气处理措施。</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采用消失模铸造工艺的企业应在浇注工段真空机后设有机废气处理装置(吸附法、焚烧法等)；发泡材料应符合国家相关规定，禁止使用含氢氟氯烃类发泡剂；预发机、烘干室产生的废气应设置有机废气处理装置。</w:t>
                  </w:r>
                </w:p>
              </w:tc>
              <w:tc>
                <w:tcPr>
                  <w:tcW w:w="272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本项目不涉及消失模铸造</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落砂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需配套建设集气罩和袋式除尘等粉尘污染治理设施进行一次除尘，车间需全密闭，对无组织粉尘进行二次收集处置。</w:t>
                  </w:r>
                </w:p>
              </w:tc>
              <w:tc>
                <w:tcPr>
                  <w:tcW w:w="272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本项目不涉及落砂工艺</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废砂再生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所有排气点配套相应处理能力的袋式除尘设施，除尘设施清灰口必须围挡封闭，及时清理灰尘；各落料点配套集气罩与袋式除尘设施连接，对落料点和排气点产生的有组织和无组织粉尘实施收集处理。</w:t>
                  </w:r>
                </w:p>
              </w:tc>
              <w:tc>
                <w:tcPr>
                  <w:tcW w:w="2720"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本项目不涉及废砂再生</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抛丸、清砂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抛丸清砂机配套旋风除尘或多管除尘与袋式除尘联合除尘机组，并对出灰口采取封闭措施。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抛丸废气密闭负压收集至袋式除尘器处理</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0" w:type="dxa"/>
                  <w:gridSpan w:val="3"/>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表面涂装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应使用低(无)VOCs涂料，调漆、喷漆(蘸漆)、烘干(晾干)、清洗等工序应设封闭操作间并安装集气罩，配套有机废气吸附装置。已全部使用低(无)VOCs原辅材料的除外。</w:t>
                  </w:r>
                </w:p>
              </w:tc>
              <w:tc>
                <w:tcPr>
                  <w:tcW w:w="2720"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不进行表面涂装</w:t>
                  </w:r>
                </w:p>
              </w:tc>
              <w:tc>
                <w:tcPr>
                  <w:tcW w:w="718" w:type="dxa"/>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全厂各车间不能有可见烟粉尘外逸。除尘器卸灰口应采取遮挡等抑尘措施，除尘灰不得直接卸落到地面，除尘灰采取袋装、罐装等密闭措施收集、存放和运输。</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除尘器卸灰口采取遮挡等抑尘措施，除尘灰采取袋装等密闭措施收集、存放和运输</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一般工业固废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企业应妥善处置生产过程中产生的废铁屑、边角料等一般工业固废，对委托运输、利用、处置的单位主体资格和技术能力进行核实，并签订书面合同，建立固废管理台账，如实记录信息。</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妥善处置生产过程中产生一般工业固废，对运输、利用、处置的单位主体资格和技术能力进行核实，并签订书面合同，建立固废管理台账，如实记录信息</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对暂时不利于或者不能利用的一般工业固废，应当按照规定建设贮存设施、场所，安全分类存放或者采取无害化处置措施，贮存一般工业固废应当采取符合国家环境保护标准的防护措施。</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按规范设置一般固废库暂存库，贮存暂时不利于或者不能利用的一般工业固废</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生的废机油、油漆桶、铝灰渣、乳化液、含油金属屑等危险废物应按照规定在系统中制定危险废物管理计划，与有资质单位签订合同，建立危险废物管理台账，如实记录转移信息并网上申报。转移危废需在全生命周期系统填写危险废物转移联单，跨省转移的，应当向省厅申请，未经批准不得转移。</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本项目投入运行时应按规定申报危险废物产生、贮存、转移、利用处置等信息，制定危险废物年度管理计划，并在“江苏省危险废物动态管理信息系统”中备案；</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本项目运行时企业应结合自身实际，建立危险废物台账，如实记载危险废物的种类、数量、性质、产生环节、流向、贮存、利用处置等信息，并在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江苏省危险废物动态管理信息系统</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中进行如实规范申报，申报数据应与台账、管理计划数据相一致</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所有的危险废物应按照危废特性进行分类收集、分区贮存，危险废物仓库建设应满足有关规定和环境保护标准，落实“三防”措施，禁止混合收集、贮存、运输、处置性质不相容而未经安全性处置的危险废物，禁止混入非危险废物中贮存。</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按要求设一座</w:t>
                  </w:r>
                  <w:r>
                    <w:rPr>
                      <w:rFonts w:hint="eastAsia"/>
                      <w:color w:val="000000" w:themeColor="text1"/>
                      <w:szCs w:val="21"/>
                      <w14:textFill>
                        <w14:solidFill>
                          <w14:schemeClr w14:val="tx1"/>
                        </w14:solidFill>
                      </w14:textFill>
                    </w:rPr>
                    <w:t>15</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的危废库，并按照危废特性进行分类收集、分区贮存，落实相关危废管理措施</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20"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排污许可证管理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82"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按照排污许可证要求设置排污口、开展自测、提交执行报告等。</w:t>
                  </w:r>
                </w:p>
              </w:tc>
              <w:tc>
                <w:tcPr>
                  <w:tcW w:w="272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已按照《排污许可证申请与核发技术规范金属铸造工业》（HJ1115-2020）以及《排污单位自行监测技术指南 总则》（HJ819-2017）制定监测计划，将按计划进行监测、提交执行报告</w:t>
                  </w:r>
                </w:p>
              </w:tc>
              <w:tc>
                <w:tcPr>
                  <w:tcW w:w="71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spacing w:line="360" w:lineRule="auto"/>
              <w:ind w:firstLine="482" w:firstLineChars="200"/>
              <w:rPr>
                <w:color w:val="000000" w:themeColor="text1"/>
                <w14:textFill>
                  <w14:solidFill>
                    <w14:schemeClr w14:val="tx1"/>
                  </w14:solidFill>
                </w14:textFill>
              </w:rPr>
            </w:pPr>
            <w:r>
              <w:rPr>
                <w:rFonts w:hint="eastAsia"/>
                <w:b/>
                <w:bCs/>
                <w:color w:val="000000" w:themeColor="text1"/>
                <w:kern w:val="0"/>
                <w:sz w:val="24"/>
                <w14:textFill>
                  <w14:solidFill>
                    <w14:schemeClr w14:val="tx1"/>
                  </w14:solidFill>
                </w14:textFill>
              </w:rPr>
              <w:t>9、</w:t>
            </w:r>
            <w:r>
              <w:rPr>
                <w:b/>
                <w:bCs/>
                <w:color w:val="000000" w:themeColor="text1"/>
                <w:kern w:val="0"/>
                <w:sz w:val="24"/>
                <w14:textFill>
                  <w14:solidFill>
                    <w14:schemeClr w14:val="tx1"/>
                  </w14:solidFill>
                </w14:textFill>
              </w:rPr>
              <w:t>与《自然资源部办公厅发文同意江苏省正式启用“三区三线”划定成果》（自然资办函[2022]2207号）相符性分析</w:t>
            </w:r>
          </w:p>
          <w:p>
            <w:pPr>
              <w:spacing w:line="360" w:lineRule="auto"/>
              <w:ind w:firstLine="480" w:firstLineChars="200"/>
              <w:rPr>
                <w:color w:val="000000" w:themeColor="text1"/>
                <w14:textFill>
                  <w14:solidFill>
                    <w14:schemeClr w14:val="tx1"/>
                  </w14:solidFill>
                </w14:textFill>
              </w:rPr>
            </w:pPr>
            <w:r>
              <w:rPr>
                <w:color w:val="000000" w:themeColor="text1"/>
                <w:sz w:val="24"/>
                <w:szCs w:val="20"/>
                <w14:textFill>
                  <w14:solidFill>
                    <w14:schemeClr w14:val="tx1"/>
                  </w14:solidFill>
                </w14:textFill>
              </w:rPr>
              <w:t>根据《自然资源部办公厅发文同意江苏省正式启用“三区三线”划定成果》（自然资办函[2022]2207号），“三区三线”指的是根据农业空间、生态空间、城镇空间三个区域，分别划定的永久基本农田保护红线、生态保护红线、城镇开发边界。本项目位于</w:t>
            </w:r>
            <w:r>
              <w:rPr>
                <w:color w:val="000000" w:themeColor="text1"/>
                <w:sz w:val="24"/>
                <w14:textFill>
                  <w14:solidFill>
                    <w14:schemeClr w14:val="tx1"/>
                  </w14:solidFill>
                </w14:textFill>
              </w:rPr>
              <w:t>江苏省泰州市海陵区海陵工业园兴陵路28号</w:t>
            </w:r>
            <w:r>
              <w:rPr>
                <w:color w:val="000000" w:themeColor="text1"/>
                <w:sz w:val="24"/>
                <w:szCs w:val="20"/>
                <w14:textFill>
                  <w14:solidFill>
                    <w14:schemeClr w14:val="tx1"/>
                  </w14:solidFill>
                </w14:textFill>
              </w:rPr>
              <w:t>，</w:t>
            </w:r>
            <w:r>
              <w:rPr>
                <w:rFonts w:hint="eastAsia"/>
                <w:color w:val="000000" w:themeColor="text1"/>
                <w:sz w:val="24"/>
                <w14:textFill>
                  <w14:solidFill>
                    <w14:schemeClr w14:val="tx1"/>
                  </w14:solidFill>
                </w14:textFill>
              </w:rPr>
              <w:t>位于城镇空间内，</w:t>
            </w:r>
            <w:r>
              <w:rPr>
                <w:color w:val="000000" w:themeColor="text1"/>
                <w:sz w:val="24"/>
                <w14:textFill>
                  <w14:solidFill>
                    <w14:schemeClr w14:val="tx1"/>
                  </w14:solidFill>
                </w14:textFill>
              </w:rPr>
              <w:t>不</w:t>
            </w:r>
            <w:r>
              <w:rPr>
                <w:rFonts w:hint="eastAsia"/>
                <w:color w:val="000000" w:themeColor="text1"/>
                <w:sz w:val="24"/>
                <w14:textFill>
                  <w14:solidFill>
                    <w14:schemeClr w14:val="tx1"/>
                  </w14:solidFill>
                </w14:textFill>
              </w:rPr>
              <w:t>占用</w:t>
            </w:r>
            <w:r>
              <w:rPr>
                <w:color w:val="000000" w:themeColor="text1"/>
                <w:sz w:val="24"/>
                <w14:textFill>
                  <w14:solidFill>
                    <w14:schemeClr w14:val="tx1"/>
                  </w14:solidFill>
                </w14:textFill>
              </w:rPr>
              <w:t>永久基本农田、生态保护红线，故项目建设与自然资办函[2022]2207号相符。</w:t>
            </w:r>
          </w:p>
          <w:p>
            <w:pPr>
              <w:widowControl/>
              <w:spacing w:line="360" w:lineRule="auto"/>
              <w:ind w:firstLine="482" w:firstLineChars="200"/>
              <w:jc w:val="left"/>
              <w:rPr>
                <w:b/>
                <w:bCs/>
                <w:color w:val="000000" w:themeColor="text1"/>
                <w:sz w:val="24"/>
                <w:szCs w:val="20"/>
                <w14:textFill>
                  <w14:solidFill>
                    <w14:schemeClr w14:val="tx1"/>
                  </w14:solidFill>
                </w14:textFill>
              </w:rPr>
            </w:pPr>
            <w:r>
              <w:rPr>
                <w:rFonts w:hint="eastAsia"/>
                <w:b/>
                <w:bCs/>
                <w:color w:val="000000" w:themeColor="text1"/>
                <w:kern w:val="0"/>
                <w:sz w:val="24"/>
                <w14:textFill>
                  <w14:solidFill>
                    <w14:schemeClr w14:val="tx1"/>
                  </w14:solidFill>
                </w14:textFill>
              </w:rPr>
              <w:t>10、</w:t>
            </w:r>
            <w:r>
              <w:rPr>
                <w:b/>
                <w:bCs/>
                <w:color w:val="000000" w:themeColor="text1"/>
                <w:sz w:val="24"/>
                <w:szCs w:val="20"/>
                <w14:textFill>
                  <w14:solidFill>
                    <w14:schemeClr w14:val="tx1"/>
                  </w14:solidFill>
                </w14:textFill>
              </w:rPr>
              <w:t>与《</w:t>
            </w:r>
            <w:r>
              <w:fldChar w:fldCharType="begin"/>
            </w:r>
            <w:r>
              <w:instrText xml:space="preserve"> HYPERLINK "http://www.baidu.com/link?url=ZU355lT4gnaUl4b4IVEGSyZJ30Ly5H4cV_wON8cmhy8EnMvX3wR09Cif0r4WVjqKXQwaYMvVggd0qAvpUi99_K" \t "https://www.baidu.com/_blank" </w:instrText>
            </w:r>
            <w:r>
              <w:fldChar w:fldCharType="separate"/>
            </w:r>
            <w:r>
              <w:rPr>
                <w:b/>
                <w:bCs/>
                <w:color w:val="000000" w:themeColor="text1"/>
                <w:sz w:val="24"/>
                <w:szCs w:val="20"/>
                <w14:textFill>
                  <w14:solidFill>
                    <w14:schemeClr w14:val="tx1"/>
                  </w14:solidFill>
                </w14:textFill>
              </w:rPr>
              <w:t>泰州市海陵区国土空间分区规划(2021-2035年)</w:t>
            </w:r>
            <w:r>
              <w:rPr>
                <w:b/>
                <w:bCs/>
                <w:color w:val="000000" w:themeColor="text1"/>
                <w:sz w:val="24"/>
                <w:szCs w:val="20"/>
                <w14:textFill>
                  <w14:solidFill>
                    <w14:schemeClr w14:val="tx1"/>
                  </w14:solidFill>
                </w14:textFill>
              </w:rPr>
              <w:fldChar w:fldCharType="end"/>
            </w:r>
            <w:r>
              <w:rPr>
                <w:b/>
                <w:bCs/>
                <w:color w:val="000000" w:themeColor="text1"/>
                <w:sz w:val="24"/>
                <w:szCs w:val="20"/>
                <w14:textFill>
                  <w14:solidFill>
                    <w14:schemeClr w14:val="tx1"/>
                  </w14:solidFill>
                </w14:textFill>
              </w:rPr>
              <w:t>》相符性分析</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表1-1</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b/>
                <w:bCs/>
                <w:color w:val="000000" w:themeColor="text1"/>
                <w:sz w:val="24"/>
                <w:szCs w:val="20"/>
                <w14:textFill>
                  <w14:solidFill>
                    <w14:schemeClr w14:val="tx1"/>
                  </w14:solidFill>
                </w14:textFill>
              </w:rPr>
              <w:t>《</w:t>
            </w:r>
            <w:r>
              <w:fldChar w:fldCharType="begin"/>
            </w:r>
            <w:r>
              <w:instrText xml:space="preserve"> HYPERLINK "http://www.baidu.com/link?url=ZU355lT4gnaUl4b4IVEGSyZJ30Ly5H4cV_wON8cmhy8EnMvX3wR09Cif0r4WVjqKXQwaYMvVggd0qAvpUi99_K" \t "https://www.baidu.com/_blank" </w:instrText>
            </w:r>
            <w:r>
              <w:fldChar w:fldCharType="separate"/>
            </w:r>
            <w:r>
              <w:rPr>
                <w:b/>
                <w:bCs/>
                <w:color w:val="000000" w:themeColor="text1"/>
                <w:sz w:val="24"/>
                <w:szCs w:val="20"/>
                <w14:textFill>
                  <w14:solidFill>
                    <w14:schemeClr w14:val="tx1"/>
                  </w14:solidFill>
                </w14:textFill>
              </w:rPr>
              <w:t>泰州市海陵区国土空间分区规划(2021-2035年)</w:t>
            </w:r>
            <w:r>
              <w:rPr>
                <w:b/>
                <w:bCs/>
                <w:color w:val="000000" w:themeColor="text1"/>
                <w:sz w:val="24"/>
                <w:szCs w:val="20"/>
                <w14:textFill>
                  <w14:solidFill>
                    <w14:schemeClr w14:val="tx1"/>
                  </w14:solidFill>
                </w14:textFill>
              </w:rPr>
              <w:fldChar w:fldCharType="end"/>
            </w:r>
            <w:r>
              <w:rPr>
                <w:b/>
                <w:bCs/>
                <w:color w:val="000000" w:themeColor="text1"/>
                <w:sz w:val="24"/>
                <w:szCs w:val="20"/>
                <w14:textFill>
                  <w14:solidFill>
                    <w14:schemeClr w14:val="tx1"/>
                  </w14:solidFill>
                </w14:textFill>
              </w:rPr>
              <w:t>》相符性分析</w:t>
            </w:r>
          </w:p>
          <w:tbl>
            <w:tblPr>
              <w:tblStyle w:val="20"/>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46"/>
              <w:gridCol w:w="2223"/>
              <w:gridCol w:w="10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w:t>
                  </w:r>
                </w:p>
              </w:tc>
              <w:tc>
                <w:tcPr>
                  <w:tcW w:w="1527" w:type="pct"/>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本项目</w:t>
                  </w:r>
                </w:p>
              </w:tc>
              <w:tc>
                <w:tcPr>
                  <w:tcW w:w="693" w:type="pct"/>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779" w:type="pct"/>
                  <w:tcBorders>
                    <w:tl2br w:val="nil"/>
                    <w:tr2bl w:val="nil"/>
                  </w:tcBorders>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统筹三线划定与管控：</w:t>
                  </w:r>
                </w:p>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优先划定永久基本农田：严格落实永久基本农田保护任务，保障国家粮食安全和重要 农产品供给，保持永久基本农田布局总体稳定。</w:t>
                  </w:r>
                </w:p>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严格落实生态保护红线：生态空间范围内具有特殊重要 生态功能、必须强制性严格保 护的区域，严格禁止生产性、开发性建设活动。</w:t>
                  </w:r>
                </w:p>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合理划定城镇开发边界：框定总量、限定容量，防止城 镇无序蔓延，划定集中进行城 镇开发建设、以城镇功能为主 的区域边界。</w:t>
                  </w:r>
                </w:p>
              </w:tc>
              <w:tc>
                <w:tcPr>
                  <w:tcW w:w="1527" w:type="pct"/>
                  <w:tcBorders>
                    <w:tl2br w:val="nil"/>
                    <w:tr2bl w:val="nil"/>
                  </w:tcBorders>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本项目用地属于工业用地，与本项目最近的生态空间管控区域</w:t>
                  </w:r>
                  <w:r>
                    <w:rPr>
                      <w:rFonts w:hint="eastAsia"/>
                      <w:color w:val="000000" w:themeColor="text1"/>
                      <w:szCs w:val="21"/>
                      <w14:textFill>
                        <w14:solidFill>
                          <w14:schemeClr w14:val="tx1"/>
                        </w14:solidFill>
                      </w14:textFill>
                    </w:rPr>
                    <w:t>为新通扬运河（海陵区）清水通道维护区</w:t>
                  </w:r>
                  <w:r>
                    <w:rPr>
                      <w:color w:val="000000" w:themeColor="text1"/>
                      <w:szCs w:val="21"/>
                      <w14:textFill>
                        <w14:solidFill>
                          <w14:schemeClr w14:val="tx1"/>
                        </w14:solidFill>
                      </w14:textFill>
                    </w:rPr>
                    <w:t>，距离约</w:t>
                  </w:r>
                  <w:r>
                    <w:rPr>
                      <w:rFonts w:hint="eastAsia"/>
                      <w:color w:val="000000" w:themeColor="text1"/>
                      <w:szCs w:val="21"/>
                      <w14:textFill>
                        <w14:solidFill>
                          <w14:schemeClr w14:val="tx1"/>
                        </w14:solidFill>
                      </w14:textFill>
                    </w:rPr>
                    <w:t>4.6</w:t>
                  </w:r>
                  <w:r>
                    <w:rPr>
                      <w:color w:val="000000" w:themeColor="text1"/>
                      <w:szCs w:val="21"/>
                      <w14:textFill>
                        <w14:solidFill>
                          <w14:schemeClr w14:val="tx1"/>
                        </w14:solidFill>
                      </w14:textFill>
                    </w:rPr>
                    <w:t>km，本项目位于海陵区海陵工业园，按规定办理总量平衡手续</w:t>
                  </w:r>
                </w:p>
              </w:tc>
              <w:tc>
                <w:tcPr>
                  <w:tcW w:w="693" w:type="pct"/>
                  <w:tcBorders>
                    <w:tl2br w:val="nil"/>
                    <w:tr2bl w:val="nil"/>
                  </w:tcBorders>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11、《重污染天气重点行业应急减排措施制定技术指南（2020年修订版）》（环办大气函[2020]340号）相符性分析</w:t>
            </w:r>
          </w:p>
          <w:p>
            <w:pPr>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表1-14  环办大气函[2020]340号相符性分析</w:t>
            </w:r>
          </w:p>
          <w:tbl>
            <w:tblPr>
              <w:tblStyle w:val="20"/>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84"/>
              <w:gridCol w:w="2278"/>
              <w:gridCol w:w="1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w:t>
                  </w:r>
                </w:p>
              </w:tc>
              <w:tc>
                <w:tcPr>
                  <w:tcW w:w="2278"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本项目</w:t>
                  </w:r>
                </w:p>
              </w:tc>
              <w:tc>
                <w:tcPr>
                  <w:tcW w:w="1016"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1、铸件企业</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(1)A级企业</w:t>
                  </w:r>
                  <w:r>
                    <w:rPr>
                      <w:rFonts w:hint="eastAsia"/>
                      <w:color w:val="000000" w:themeColor="text1"/>
                      <w:szCs w:val="21"/>
                      <w14:textFill>
                        <w14:solidFill>
                          <w14:schemeClr w14:val="tx1"/>
                        </w14:solidFill>
                      </w14:textFill>
                    </w:rPr>
                    <w:t>：</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鼓励结合实际，自主采取减排措施。</w:t>
                  </w:r>
                </w:p>
                <w:p>
                  <w:pPr>
                    <w:widowControl/>
                    <w:numPr>
                      <w:ilvl w:val="0"/>
                      <w:numId w:val="5"/>
                    </w:num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B级企业</w:t>
                  </w:r>
                  <w:r>
                    <w:rPr>
                      <w:rFonts w:hint="eastAsia"/>
                      <w:color w:val="000000" w:themeColor="text1"/>
                      <w:szCs w:val="21"/>
                      <w14:textFill>
                        <w14:solidFill>
                          <w14:schemeClr w14:val="tx1"/>
                        </w14:solidFill>
                      </w14:textFill>
                    </w:rPr>
                    <w:t>：</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黄色及橙色预警期间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停止使用国四及以下重型载货车辆(含燃气)进行运输。</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红色预警期间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所有涉气工序停产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停止使用国四及以下重型载货车辆(含燃气)进行运输。</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(3)C级企业</w:t>
                  </w:r>
                  <w:r>
                    <w:rPr>
                      <w:rFonts w:hint="eastAsia"/>
                      <w:color w:val="000000" w:themeColor="text1"/>
                      <w:szCs w:val="21"/>
                      <w14:textFill>
                        <w14:solidFill>
                          <w14:schemeClr w14:val="tx1"/>
                        </w14:solidFill>
                      </w14:textFill>
                    </w:rPr>
                    <w:t>：</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黄色预警期间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停止使用国四及以下重型载货车辆(含燃气)</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进行运输。</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橙色预警期间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熔炼工序停产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停止使用国四及以下重型载货车辆(含燃气)进行运输。</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红色预警期间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所有涉气工序停产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停止使用国四及以下重型载货车辆(含燃气)进行运输。</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(4)D级企业</w:t>
                  </w:r>
                  <w:r>
                    <w:rPr>
                      <w:rFonts w:hint="eastAsia"/>
                      <w:color w:val="000000" w:themeColor="text1"/>
                      <w:szCs w:val="21"/>
                      <w14:textFill>
                        <w14:solidFill>
                          <w14:schemeClr w14:val="tx1"/>
                        </w14:solidFill>
                      </w14:textFill>
                    </w:rPr>
                    <w:t>：</w:t>
                  </w:r>
                </w:p>
                <w:p>
                  <w:pPr>
                    <w:widowControl/>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黄色及以上预警期间</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所有涉气工序停产</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停止公路运输。</w:t>
                  </w:r>
                </w:p>
              </w:tc>
              <w:tc>
                <w:tcPr>
                  <w:tcW w:w="2278" w:type="dxa"/>
                  <w:tcBorders>
                    <w:tl2br w:val="nil"/>
                    <w:tr2bl w:val="nil"/>
                  </w:tcBorders>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w:t>
                  </w:r>
                  <w:r>
                    <w:rPr>
                      <w:rFonts w:hint="eastAsia"/>
                      <w:color w:val="000000" w:themeColor="text1"/>
                      <w:szCs w:val="21"/>
                      <w14:textFill>
                        <w14:solidFill>
                          <w14:schemeClr w14:val="tx1"/>
                        </w14:solidFill>
                      </w14:textFill>
                    </w:rPr>
                    <w:t>属于金属型铸造</w:t>
                  </w:r>
                  <w:r>
                    <w:rPr>
                      <w:color w:val="000000" w:themeColor="text1"/>
                      <w:szCs w:val="21"/>
                      <w14:textFill>
                        <w14:solidFill>
                          <w14:schemeClr w14:val="tx1"/>
                        </w14:solidFill>
                      </w14:textFill>
                    </w:rPr>
                    <w:t>，废气采用集气罩或密闭空间负压方式收集，原料贮存在半封闭储存库，铸造用砂均用袋装，含VOCs废气采取活性炭吸附或活性炭吸附处理工艺，属于B级企业，按B级企业要求执行重污染天气应急减排措施。</w:t>
                  </w:r>
                </w:p>
              </w:tc>
              <w:tc>
                <w:tcPr>
                  <w:tcW w:w="1016" w:type="dxa"/>
                  <w:tcBorders>
                    <w:tl2br w:val="nil"/>
                    <w:tr2bl w:val="nil"/>
                  </w:tcBorders>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12、省大气办关于印发《江苏省挥发性有机物清洁原料替代工作方案》的通知（苏大气办[2021]2号）</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根据《清洗剂挥发性有机化合物含量限值》（GB38508-2020）内表1要求，水基清洗剂VOC含量</w:t>
            </w:r>
            <w:r>
              <w:rPr>
                <w:rFonts w:hint="eastAsia" w:ascii="宋体" w:hAnsi="宋体" w:cs="宋体"/>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50g/L、半水基清洗剂VOC含量</w:t>
            </w:r>
            <w:r>
              <w:rPr>
                <w:rFonts w:hint="eastAsia" w:ascii="宋体" w:hAnsi="宋体" w:cs="宋体"/>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300g/L，本项目使用FLZ-404水性全能清洗剂、FTY-800P金属防锈清洗剂两种类型清洗剂，根据企业提供的清洗剂成分资料，VOC含量分别为108.00g/L、53.00g/L，即FLZ-404水性全能清洗剂、FTY-800P金属防锈清洗剂均为半水基清洗剂，符合工作方案中使用水基、半水基清洗剂的要求。</w:t>
            </w:r>
          </w:p>
          <w:p>
            <w:pPr>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13、《关于做好生态环境和应急管理部门联动工作的意见》（苏环办[2020]101号）相关要求</w:t>
            </w:r>
          </w:p>
          <w:p>
            <w:pPr>
              <w:adjustRightInd w:val="0"/>
              <w:snapToGrid w:val="0"/>
              <w:spacing w:line="324"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照《关于做好生态环境和应急管理部门联动工作的意见》（苏环办[2020]101号）“企业要对脱硫脱硝、煤改气、挥发性有机物回收、污水处理、粉尘治理、RTO焚烧炉等六类环境治理设施开展安全风险辨识管控，要健全内部污染防治设施稳定运行和管理责任制度，严格依据标准规范建设环境治理设施，确保环境治理设施安全、稳定、有效运行”要求，建设单位应主动与应急管理部门对接，针对本项目涉及的环境治理设施，尽快开展安全风险辨识管控工作。</w:t>
            </w:r>
          </w:p>
          <w:p>
            <w:pPr>
              <w:spacing w:line="360" w:lineRule="auto"/>
              <w:ind w:firstLine="480" w:firstLineChars="200"/>
              <w:rPr>
                <w:b/>
                <w:bCs/>
                <w:color w:val="000000" w:themeColor="text1"/>
                <w:kern w:val="0"/>
                <w:sz w:val="24"/>
                <w14:textFill>
                  <w14:solidFill>
                    <w14:schemeClr w14:val="tx1"/>
                  </w14:solidFill>
                </w14:textFill>
              </w:rPr>
            </w:pPr>
            <w:r>
              <w:rPr>
                <w:color w:val="000000" w:themeColor="text1"/>
                <w:sz w:val="24"/>
                <w14:textFill>
                  <w14:solidFill>
                    <w14:schemeClr w14:val="tx1"/>
                  </w14:solidFill>
                </w14:textFill>
              </w:rPr>
              <w:t>环评仅对项目涉及的环境治理设施基本情况及相关风险物质可能存在的安全风险进行初步分析，具体辨识工作应以建设单位开展的安全风险辨识管控工作为准。本项目环境治理设施基本情况见下表。</w:t>
            </w:r>
          </w:p>
          <w:p>
            <w:pPr>
              <w:widowControl/>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表1-1</w:t>
            </w:r>
            <w:r>
              <w:rPr>
                <w:rFonts w:hint="eastAsia"/>
                <w:b/>
                <w:bCs/>
                <w:color w:val="000000" w:themeColor="text1"/>
                <w:sz w:val="24"/>
                <w14:textFill>
                  <w14:solidFill>
                    <w14:schemeClr w14:val="tx1"/>
                  </w14:solidFill>
                </w14:textFill>
              </w:rPr>
              <w:t>5</w:t>
            </w:r>
            <w:r>
              <w:rPr>
                <w:b/>
                <w:bCs/>
                <w:color w:val="000000" w:themeColor="text1"/>
                <w:sz w:val="24"/>
                <w14:textFill>
                  <w14:solidFill>
                    <w14:schemeClr w14:val="tx1"/>
                  </w14:solidFill>
                </w14:textFill>
              </w:rPr>
              <w:t xml:space="preserve">  安全风险辨识表</w:t>
            </w:r>
          </w:p>
          <w:tbl>
            <w:tblPr>
              <w:tblStyle w:val="20"/>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7"/>
              <w:gridCol w:w="980"/>
              <w:gridCol w:w="1175"/>
              <w:gridCol w:w="1034"/>
              <w:gridCol w:w="902"/>
              <w:gridCol w:w="1388"/>
              <w:gridCol w:w="13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7" w:type="pct"/>
                  <w:tcMar>
                    <w:left w:w="28" w:type="dxa"/>
                    <w:right w:w="28" w:type="dxa"/>
                  </w:tcMar>
                  <w:vAlign w:val="center"/>
                </w:tcPr>
                <w:p>
                  <w:pPr>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673" w:type="pct"/>
                  <w:tcMar>
                    <w:left w:w="28" w:type="dxa"/>
                    <w:right w:w="28" w:type="dxa"/>
                  </w:tcMar>
                  <w:vAlign w:val="center"/>
                </w:tcPr>
                <w:p>
                  <w:pPr>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环境治理设施</w:t>
                  </w:r>
                </w:p>
              </w:tc>
              <w:tc>
                <w:tcPr>
                  <w:tcW w:w="807" w:type="pct"/>
                  <w:tcMar>
                    <w:left w:w="28" w:type="dxa"/>
                    <w:right w:w="28" w:type="dxa"/>
                  </w:tcMar>
                  <w:vAlign w:val="center"/>
                </w:tcPr>
                <w:p>
                  <w:pPr>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治理工艺</w:t>
                  </w:r>
                </w:p>
              </w:tc>
              <w:tc>
                <w:tcPr>
                  <w:tcW w:w="710" w:type="pct"/>
                  <w:tcMar>
                    <w:left w:w="28" w:type="dxa"/>
                    <w:right w:w="28" w:type="dxa"/>
                  </w:tcMar>
                  <w:vAlign w:val="center"/>
                </w:tcPr>
                <w:p>
                  <w:pPr>
                    <w:adjustRightIn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涉及物料</w:t>
                  </w:r>
                </w:p>
              </w:tc>
              <w:tc>
                <w:tcPr>
                  <w:tcW w:w="619" w:type="pct"/>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危险特性</w:t>
                  </w:r>
                </w:p>
              </w:tc>
              <w:tc>
                <w:tcPr>
                  <w:tcW w:w="953" w:type="pct"/>
                  <w:tcMar>
                    <w:left w:w="28" w:type="dxa"/>
                    <w:right w:w="28" w:type="dxa"/>
                  </w:tcMar>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可能发生的安全事故类型</w:t>
                  </w:r>
                </w:p>
              </w:tc>
              <w:tc>
                <w:tcPr>
                  <w:tcW w:w="928" w:type="pct"/>
                  <w:tcMar>
                    <w:left w:w="28" w:type="dxa"/>
                    <w:right w:w="28" w:type="dxa"/>
                  </w:tcMar>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7"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73"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粉尘治理设施</w:t>
                  </w:r>
                </w:p>
              </w:tc>
              <w:tc>
                <w:tcPr>
                  <w:tcW w:w="807"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袋式除尘</w:t>
                  </w:r>
                </w:p>
              </w:tc>
              <w:tc>
                <w:tcPr>
                  <w:tcW w:w="710"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粉尘</w:t>
                  </w:r>
                </w:p>
              </w:tc>
              <w:tc>
                <w:tcPr>
                  <w:tcW w:w="619"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tc>
              <w:tc>
                <w:tcPr>
                  <w:tcW w:w="953"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爆炸</w:t>
                  </w:r>
                </w:p>
              </w:tc>
              <w:tc>
                <w:tcPr>
                  <w:tcW w:w="928"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不属于可燃物，不存在燃爆的可能性。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7"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73"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挥发性有机物回收</w:t>
                  </w:r>
                </w:p>
              </w:tc>
              <w:tc>
                <w:tcPr>
                  <w:tcW w:w="807"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活性炭吸附</w:t>
                  </w:r>
                </w:p>
              </w:tc>
              <w:tc>
                <w:tcPr>
                  <w:tcW w:w="710"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619"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w:t>
                  </w:r>
                </w:p>
              </w:tc>
              <w:tc>
                <w:tcPr>
                  <w:tcW w:w="953"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火灾、爆炸</w:t>
                  </w:r>
                </w:p>
              </w:tc>
              <w:tc>
                <w:tcPr>
                  <w:tcW w:w="928" w:type="pct"/>
                  <w:tcMar>
                    <w:left w:w="28" w:type="dxa"/>
                    <w:right w:w="28" w:type="dxa"/>
                  </w:tcMar>
                  <w:vAlign w:val="center"/>
                </w:tcPr>
                <w:p>
                  <w:pPr>
                    <w:adjustRightIn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bl>
          <w:p>
            <w:pPr>
              <w:autoSpaceDE w:val="0"/>
              <w:autoSpaceDN w:val="0"/>
              <w:spacing w:line="360" w:lineRule="auto"/>
              <w:rPr>
                <w:rFonts w:hint="eastAsia"/>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13、《省生态环境厅关于深</w:t>
            </w:r>
            <w:r>
              <w:rPr>
                <w:rFonts w:hint="eastAsia"/>
                <w:b/>
                <w:bCs/>
                <w:color w:val="000000" w:themeColor="text1"/>
                <w:kern w:val="0"/>
                <w:sz w:val="24"/>
                <w:lang w:val="en-US" w:eastAsia="zh-CN"/>
                <w14:textFill>
                  <w14:solidFill>
                    <w14:schemeClr w14:val="tx1"/>
                  </w14:solidFill>
                </w14:textFill>
              </w:rPr>
              <w:t>入</w:t>
            </w:r>
            <w:r>
              <w:rPr>
                <w:rFonts w:hint="eastAsia"/>
                <w:b/>
                <w:bCs/>
                <w:color w:val="000000" w:themeColor="text1"/>
                <w:kern w:val="0"/>
                <w:sz w:val="24"/>
                <w14:textFill>
                  <w14:solidFill>
                    <w14:schemeClr w14:val="tx1"/>
                  </w14:solidFill>
                </w14:textFill>
              </w:rPr>
              <w:t>开展涉VOCs治理重点工作核查的通知》（苏环办</w:t>
            </w:r>
            <w:r>
              <w:rPr>
                <w:rFonts w:hint="eastAsia"/>
                <w:b/>
                <w:bCs/>
                <w:color w:val="000000" w:themeColor="text1"/>
                <w:kern w:val="0"/>
                <w:sz w:val="24"/>
                <w:lang w:val="en-US" w:eastAsia="zh-CN"/>
                <w14:textFill>
                  <w14:solidFill>
                    <w14:schemeClr w14:val="tx1"/>
                  </w14:solidFill>
                </w14:textFill>
              </w:rPr>
              <w:t>[</w:t>
            </w:r>
            <w:r>
              <w:rPr>
                <w:rFonts w:hint="eastAsia"/>
                <w:b/>
                <w:bCs/>
                <w:color w:val="000000" w:themeColor="text1"/>
                <w:kern w:val="0"/>
                <w:sz w:val="24"/>
                <w14:textFill>
                  <w14:solidFill>
                    <w14:schemeClr w14:val="tx1"/>
                  </w14:solidFill>
                </w14:textFill>
              </w:rPr>
              <w:t>2022</w:t>
            </w:r>
            <w:r>
              <w:rPr>
                <w:rFonts w:hint="eastAsia"/>
                <w:b/>
                <w:bCs/>
                <w:color w:val="000000" w:themeColor="text1"/>
                <w:kern w:val="0"/>
                <w:sz w:val="24"/>
                <w:lang w:val="en-US" w:eastAsia="zh-CN"/>
                <w14:textFill>
                  <w14:solidFill>
                    <w14:schemeClr w14:val="tx1"/>
                  </w14:solidFill>
                </w14:textFill>
              </w:rPr>
              <w:t>]</w:t>
            </w:r>
            <w:r>
              <w:rPr>
                <w:rFonts w:hint="eastAsia"/>
                <w:b/>
                <w:bCs/>
                <w:color w:val="000000" w:themeColor="text1"/>
                <w:kern w:val="0"/>
                <w:sz w:val="24"/>
                <w14:textFill>
                  <w14:solidFill>
                    <w14:schemeClr w14:val="tx1"/>
                  </w14:solidFill>
                </w14:textFill>
              </w:rPr>
              <w:t>218号）相关要求</w:t>
            </w:r>
          </w:p>
          <w:p>
            <w:pPr>
              <w:autoSpaceDE w:val="0"/>
              <w:autoSpaceDN w:val="0"/>
              <w:spacing w:line="360" w:lineRule="auto"/>
              <w:jc w:val="center"/>
              <w:rPr>
                <w:rFonts w:hint="eastAsia"/>
                <w:b/>
                <w:bCs/>
                <w:color w:val="000000" w:themeColor="text1"/>
                <w:kern w:val="0"/>
                <w:sz w:val="24"/>
                <w14:textFill>
                  <w14:solidFill>
                    <w14:schemeClr w14:val="tx1"/>
                  </w14:solidFill>
                </w14:textFill>
              </w:rPr>
            </w:pPr>
            <w:r>
              <w:rPr>
                <w:b/>
                <w:bCs/>
                <w:color w:val="000000" w:themeColor="text1"/>
                <w:sz w:val="24"/>
                <w14:textFill>
                  <w14:solidFill>
                    <w14:schemeClr w14:val="tx1"/>
                  </w14:solidFill>
                </w14:textFill>
              </w:rPr>
              <w:t>表1-1</w:t>
            </w:r>
            <w:r>
              <w:rPr>
                <w:rFonts w:hint="eastAsia"/>
                <w:b/>
                <w:bCs/>
                <w:color w:val="000000" w:themeColor="text1"/>
                <w:sz w:val="24"/>
                <w:lang w:val="en-US" w:eastAsia="zh-CN"/>
                <w14:textFill>
                  <w14:solidFill>
                    <w14:schemeClr w14:val="tx1"/>
                  </w14:solidFill>
                </w14:textFill>
              </w:rPr>
              <w:t>6</w:t>
            </w:r>
            <w:r>
              <w:rPr>
                <w:b/>
                <w:bCs/>
                <w:color w:val="000000" w:themeColor="text1"/>
                <w:sz w:val="24"/>
                <w14:textFill>
                  <w14:solidFill>
                    <w14:schemeClr w14:val="tx1"/>
                  </w14:solidFill>
                </w14:textFill>
              </w:rPr>
              <w:t xml:space="preserve">  </w:t>
            </w:r>
            <w:r>
              <w:rPr>
                <w:rFonts w:hint="eastAsia"/>
                <w:b/>
                <w:bCs/>
                <w:color w:val="000000" w:themeColor="text1"/>
                <w:kern w:val="0"/>
                <w:sz w:val="24"/>
                <w14:textFill>
                  <w14:solidFill>
                    <w14:schemeClr w14:val="tx1"/>
                  </w14:solidFill>
                </w14:textFill>
              </w:rPr>
              <w:t>苏环办</w:t>
            </w:r>
            <w:r>
              <w:rPr>
                <w:rFonts w:hint="eastAsia"/>
                <w:b/>
                <w:bCs/>
                <w:color w:val="000000" w:themeColor="text1"/>
                <w:kern w:val="0"/>
                <w:sz w:val="24"/>
                <w:lang w:val="en-US" w:eastAsia="zh-CN"/>
                <w14:textFill>
                  <w14:solidFill>
                    <w14:schemeClr w14:val="tx1"/>
                  </w14:solidFill>
                </w14:textFill>
              </w:rPr>
              <w:t>[</w:t>
            </w:r>
            <w:r>
              <w:rPr>
                <w:rFonts w:hint="eastAsia"/>
                <w:b/>
                <w:bCs/>
                <w:color w:val="000000" w:themeColor="text1"/>
                <w:kern w:val="0"/>
                <w:sz w:val="24"/>
                <w14:textFill>
                  <w14:solidFill>
                    <w14:schemeClr w14:val="tx1"/>
                  </w14:solidFill>
                </w14:textFill>
              </w:rPr>
              <w:t>2022</w:t>
            </w:r>
            <w:r>
              <w:rPr>
                <w:rFonts w:hint="eastAsia"/>
                <w:b/>
                <w:bCs/>
                <w:color w:val="000000" w:themeColor="text1"/>
                <w:kern w:val="0"/>
                <w:sz w:val="24"/>
                <w:lang w:val="en-US" w:eastAsia="zh-CN"/>
                <w14:textFill>
                  <w14:solidFill>
                    <w14:schemeClr w14:val="tx1"/>
                  </w14:solidFill>
                </w14:textFill>
              </w:rPr>
              <w:t>]</w:t>
            </w:r>
            <w:r>
              <w:rPr>
                <w:rFonts w:hint="eastAsia"/>
                <w:b/>
                <w:bCs/>
                <w:color w:val="000000" w:themeColor="text1"/>
                <w:kern w:val="0"/>
                <w:sz w:val="24"/>
                <w14:textFill>
                  <w14:solidFill>
                    <w14:schemeClr w14:val="tx1"/>
                  </w14:solidFill>
                </w14:textFill>
              </w:rPr>
              <w:t>218号相符性分析</w:t>
            </w:r>
          </w:p>
          <w:tbl>
            <w:tblPr>
              <w:tblStyle w:val="20"/>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84"/>
              <w:gridCol w:w="2278"/>
              <w:gridCol w:w="10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文件要求</w:t>
                  </w:r>
                </w:p>
              </w:tc>
              <w:tc>
                <w:tcPr>
                  <w:tcW w:w="2278"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本项目</w:t>
                  </w:r>
                </w:p>
              </w:tc>
              <w:tc>
                <w:tcPr>
                  <w:tcW w:w="1016" w:type="dxa"/>
                  <w:tcBorders>
                    <w:tl2br w:val="nil"/>
                    <w:tr2bl w:val="nil"/>
                  </w:tcBorders>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一、设计风量</w:t>
                  </w:r>
                </w:p>
                <w:p>
                  <w:pPr>
                    <w:widowControl/>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涉VOCs排放工序应在密闭空间中操作或采用全密闭集气罩收集，无法密闭采用局部集气罩的，应根据废气排放特点合理选择收集点位，按《排风罩的分类和技术条件》(GB/T16758)规定，设置能有效收集废气的集气罩，距集气罩开口面最远处的VOCs无组织排放位置，控制风速不低于0.3米/秒</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活性炭吸附装置风机应满足依据车间集气罩形状、大小数量及控制风速等测算的风量所需</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达不到要求的通过更换大功率风机、增设烟道风机、增加垂帘等方式进行改造。</w:t>
                  </w:r>
                </w:p>
              </w:tc>
              <w:tc>
                <w:tcPr>
                  <w:tcW w:w="2278" w:type="dxa"/>
                  <w:tcBorders>
                    <w:tl2br w:val="nil"/>
                    <w:tr2bl w:val="nil"/>
                  </w:tcBorders>
                  <w:vAlign w:val="center"/>
                </w:tcPr>
                <w:p>
                  <w:pPr>
                    <w:widowControl/>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本项目有机废气产生点均采用密闭/半密闭集气罩，项目建成后</w:t>
                  </w:r>
                  <w:r>
                    <w:rPr>
                      <w:rFonts w:hint="eastAsia"/>
                      <w:color w:val="000000" w:themeColor="text1"/>
                      <w:szCs w:val="21"/>
                      <w14:textFill>
                        <w14:solidFill>
                          <w14:schemeClr w14:val="tx1"/>
                        </w14:solidFill>
                      </w14:textFill>
                    </w:rPr>
                    <w:t>距集气罩开口面最远处的VOCs无组织排放位置，控制风速</w:t>
                  </w:r>
                  <w:r>
                    <w:rPr>
                      <w:rFonts w:hint="eastAsia"/>
                      <w:color w:val="000000" w:themeColor="text1"/>
                      <w:szCs w:val="21"/>
                      <w:lang w:val="en-US" w:eastAsia="zh-CN"/>
                      <w14:textFill>
                        <w14:solidFill>
                          <w14:schemeClr w14:val="tx1"/>
                        </w14:solidFill>
                      </w14:textFill>
                    </w:rPr>
                    <w:t>为0.37</w:t>
                  </w:r>
                  <w:r>
                    <w:rPr>
                      <w:rFonts w:hint="eastAsia"/>
                      <w:color w:val="000000" w:themeColor="text1"/>
                      <w:szCs w:val="21"/>
                      <w14:textFill>
                        <w14:solidFill>
                          <w14:schemeClr w14:val="tx1"/>
                        </w14:solidFill>
                      </w14:textFill>
                    </w:rPr>
                    <w:t>米/秒</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活性炭吸附风机选用符合相关规定要求。</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二、设备质量</w:t>
                  </w:r>
                </w:p>
                <w:p>
                  <w:pPr>
                    <w:widowControl/>
                    <w:adjustRightInd w:val="0"/>
                    <w:snapToGrid w:val="0"/>
                    <w:jc w:val="left"/>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无论是卧式活性炭罐还是箱式活性炭罐内部结构应设计合理，气体流通顺畅、无短路、无死角。活性炭吸附装置的门、焊缝、管道连接处等均应严密，不得漏气，所有螺栓、螺母均应经过表面处理，连接牢固。金属材质装置外壳应采用不锈钢或防腐处理，表面光洁不得有锈蚀、毛刺、凹凸不平等缺陷。</w:t>
                  </w:r>
                </w:p>
                <w:p>
                  <w:pPr>
                    <w:widowControl/>
                    <w:adjustRightInd w:val="0"/>
                    <w:snapToGrid w:val="0"/>
                    <w:jc w:val="left"/>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排放风机宜安装在吸附装置后端，使装置形成负压，尽量保证无污染气体泄漏到设备箱罐体体外。</w:t>
                  </w:r>
                </w:p>
                <w:p>
                  <w:pPr>
                    <w:widowControl/>
                    <w:adjustRightInd w:val="0"/>
                    <w:snapToGrid w:val="0"/>
                    <w:jc w:val="left"/>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应在活性炭吸附装置进气和出气管道上设置采样口，采样口设置应符合《环境保护产品技术要求工业废气吸附净化装置HJT3862007》的要求，便于日常监测活性炭吸附效率。根据活性炭更换周期及时更换活性炭，更换下来的活性炭按危险废物处理。采用活性炭吸附装置的企业应配备VOCs快速监测设备</w:t>
                  </w:r>
                  <w:r>
                    <w:rPr>
                      <w:rFonts w:hint="eastAsia"/>
                      <w:color w:val="000000" w:themeColor="text1"/>
                      <w:szCs w:val="21"/>
                      <w:lang w:val="en-US" w:eastAsia="zh-CN"/>
                      <w14:textFill>
                        <w14:solidFill>
                          <w14:schemeClr w14:val="tx1"/>
                        </w14:solidFill>
                      </w14:textFill>
                    </w:rPr>
                    <w:t>。</w:t>
                  </w:r>
                </w:p>
              </w:tc>
              <w:tc>
                <w:tcPr>
                  <w:tcW w:w="2278" w:type="dxa"/>
                  <w:tcBorders>
                    <w:tl2br w:val="nil"/>
                    <w:tr2bl w:val="nil"/>
                  </w:tcBorders>
                  <w:vAlign w:val="center"/>
                </w:tcPr>
                <w:p>
                  <w:pPr>
                    <w:widowControl/>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本项目选用不锈钢</w:t>
                  </w:r>
                  <w:r>
                    <w:rPr>
                      <w:rFonts w:hint="default"/>
                      <w:color w:val="000000" w:themeColor="text1"/>
                      <w:szCs w:val="21"/>
                      <w:lang w:val="en-US" w:eastAsia="zh-CN"/>
                      <w14:textFill>
                        <w14:solidFill>
                          <w14:schemeClr w14:val="tx1"/>
                        </w14:solidFill>
                      </w14:textFill>
                    </w:rPr>
                    <w:t>箱式活性炭</w:t>
                  </w:r>
                  <w:r>
                    <w:rPr>
                      <w:rFonts w:hint="eastAsia"/>
                      <w:color w:val="000000" w:themeColor="text1"/>
                      <w:szCs w:val="21"/>
                      <w:lang w:val="en-US" w:eastAsia="zh-CN"/>
                      <w14:textFill>
                        <w14:solidFill>
                          <w14:schemeClr w14:val="tx1"/>
                        </w14:solidFill>
                      </w14:textFill>
                    </w:rPr>
                    <w:t>，</w:t>
                  </w:r>
                  <w:r>
                    <w:rPr>
                      <w:rFonts w:hint="default"/>
                      <w:color w:val="000000" w:themeColor="text1"/>
                      <w:szCs w:val="21"/>
                      <w:lang w:val="en-US" w:eastAsia="zh-CN"/>
                      <w14:textFill>
                        <w14:solidFill>
                          <w14:schemeClr w14:val="tx1"/>
                        </w14:solidFill>
                      </w14:textFill>
                    </w:rPr>
                    <w:t>内部结构设计合理，气体流通顺畅、无短路、无死角</w:t>
                  </w:r>
                  <w:r>
                    <w:rPr>
                      <w:rFonts w:hint="eastAsia"/>
                      <w:color w:val="000000" w:themeColor="text1"/>
                      <w:szCs w:val="21"/>
                      <w:lang w:val="en-US" w:eastAsia="zh-CN"/>
                      <w14:textFill>
                        <w14:solidFill>
                          <w14:schemeClr w14:val="tx1"/>
                        </w14:solidFill>
                      </w14:textFill>
                    </w:rPr>
                    <w:t>，门、焊缝、管道连接处等均严密，无漏气，所有螺栓、螺母均经过表面处理，连接牢固；企业风机安排在吸附设备后端；</w:t>
                  </w:r>
                  <w:r>
                    <w:rPr>
                      <w:rFonts w:hint="default"/>
                      <w:color w:val="000000" w:themeColor="text1"/>
                      <w:szCs w:val="21"/>
                      <w:lang w:val="en-US" w:eastAsia="zh-CN"/>
                      <w14:textFill>
                        <w14:solidFill>
                          <w14:schemeClr w14:val="tx1"/>
                        </w14:solidFill>
                      </w14:textFill>
                    </w:rPr>
                    <w:t>活性炭吸附装置进气和出气管道上</w:t>
                  </w:r>
                  <w:r>
                    <w:rPr>
                      <w:rFonts w:hint="eastAsia"/>
                      <w:color w:val="000000" w:themeColor="text1"/>
                      <w:szCs w:val="21"/>
                      <w:lang w:val="en-US" w:eastAsia="zh-CN"/>
                      <w14:textFill>
                        <w14:solidFill>
                          <w14:schemeClr w14:val="tx1"/>
                        </w14:solidFill>
                      </w14:textFill>
                    </w:rPr>
                    <w:t>均设有规范化</w:t>
                  </w:r>
                  <w:r>
                    <w:rPr>
                      <w:rFonts w:hint="default"/>
                      <w:color w:val="000000" w:themeColor="text1"/>
                      <w:szCs w:val="21"/>
                      <w:lang w:val="en-US" w:eastAsia="zh-CN"/>
                      <w14:textFill>
                        <w14:solidFill>
                          <w14:schemeClr w14:val="tx1"/>
                        </w14:solidFill>
                      </w14:textFill>
                    </w:rPr>
                    <w:t>采样口</w:t>
                  </w:r>
                  <w:r>
                    <w:rPr>
                      <w:rFonts w:hint="eastAsia"/>
                      <w:color w:val="000000" w:themeColor="text1"/>
                      <w:szCs w:val="21"/>
                      <w:lang w:val="en-US" w:eastAsia="zh-CN"/>
                      <w14:textFill>
                        <w14:solidFill>
                          <w14:schemeClr w14:val="tx1"/>
                        </w14:solidFill>
                      </w14:textFill>
                    </w:rPr>
                    <w:t>，更换的废活性炭作危废，危废库暂存委托有资质单位处置。</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三、气体流速</w:t>
                  </w:r>
                </w:p>
                <w:p>
                  <w:pPr>
                    <w:widowControl/>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吸附装置吸附层的气体流速应根据吸附剂的形态确定。采用颗粒活性炭时，气体流速宜低于0.60m/s，装填厚度不得低于0.4m。活性炭应装填齐整，避免气流短路</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采用活性炭纤维时气体流速宜低于0.15m/s</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采用蜂窝活性炭时，气体流速宜低于1.20m/s。</w:t>
                  </w:r>
                </w:p>
              </w:tc>
              <w:tc>
                <w:tcPr>
                  <w:tcW w:w="2278" w:type="dxa"/>
                  <w:tcBorders>
                    <w:tl2br w:val="nil"/>
                    <w:tr2bl w:val="nil"/>
                  </w:tcBorders>
                  <w:vAlign w:val="center"/>
                </w:tcPr>
                <w:p>
                  <w:pPr>
                    <w:widowControl/>
                    <w:adjustRightInd w:val="0"/>
                    <w:snapToGrid w:val="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本项目采用颗粒活性炭，</w:t>
                  </w:r>
                  <w:r>
                    <w:rPr>
                      <w:rFonts w:hint="eastAsia"/>
                      <w:color w:val="000000" w:themeColor="text1"/>
                      <w:szCs w:val="21"/>
                      <w14:textFill>
                        <w14:solidFill>
                          <w14:schemeClr w14:val="tx1"/>
                        </w14:solidFill>
                      </w14:textFill>
                    </w:rPr>
                    <w:t>气体流速</w:t>
                  </w:r>
                  <w:r>
                    <w:rPr>
                      <w:rFonts w:hint="eastAsia"/>
                      <w:color w:val="000000" w:themeColor="text1"/>
                      <w:szCs w:val="21"/>
                      <w:lang w:val="en-US" w:eastAsia="zh-CN"/>
                      <w14:textFill>
                        <w14:solidFill>
                          <w14:schemeClr w14:val="tx1"/>
                        </w14:solidFill>
                      </w14:textFill>
                    </w:rPr>
                    <w:t>为0.57m/s。</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四、废气预处理</w:t>
                  </w:r>
                </w:p>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入吸附设备的废气颗粒物含量和温度应分别低于1mg/m和40℃，若颗粒物含量超过1mg/m'时，应先采用过滤或洗涤等方式进行预处理活性炭对酸性废气吸附效果较差，且酸性气体易对设备本体造成腐蚀，应先采用洗涤进行预处理。</w:t>
                  </w:r>
                </w:p>
                <w:p>
                  <w:pPr>
                    <w:widowControl/>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企业应制订定期更换过滤材料的设备运行维护规程，保障活性炭在低颗粒物、低含水率条件下使用。</w:t>
                  </w:r>
                </w:p>
              </w:tc>
              <w:tc>
                <w:tcPr>
                  <w:tcW w:w="2278"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本项目活性炭装置前设有喷淋塔+干式过滤，进入活性炭吸附装置的废气</w:t>
                  </w:r>
                  <w:r>
                    <w:rPr>
                      <w:rFonts w:hint="eastAsia"/>
                      <w:color w:val="000000" w:themeColor="text1"/>
                      <w:szCs w:val="21"/>
                      <w14:textFill>
                        <w14:solidFill>
                          <w14:schemeClr w14:val="tx1"/>
                        </w14:solidFill>
                      </w14:textFill>
                    </w:rPr>
                    <w:t>低颗粒物、低含水率</w:t>
                  </w:r>
                  <w:r>
                    <w:rPr>
                      <w:rFonts w:hint="eastAsia"/>
                      <w:color w:val="000000" w:themeColor="text1"/>
                      <w:szCs w:val="21"/>
                      <w:lang w:eastAsia="zh-CN"/>
                      <w14:textFill>
                        <w14:solidFill>
                          <w14:schemeClr w14:val="tx1"/>
                        </w14:solidFill>
                      </w14:textFill>
                    </w:rPr>
                    <w:t>。</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五、活性炭质量</w:t>
                  </w:r>
                </w:p>
                <w:p>
                  <w:pPr>
                    <w:widowControl/>
                    <w:adjustRightInd w:val="0"/>
                    <w:snapToGrid w:val="0"/>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颗粒活性炭碘吸附值&gt;800mg/g，比表面积&gt;850m/g</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蜂窝活性炭横向抗压强度应不低于0.9MPa，纵向强度应不低于0.4MPa，碘吸附值&gt;650mg/g，比表面积&gt;750m/g。工业有机废气治理用活性炭常规及推荐技术指标详见附件2</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企业应备好所购活性炭厂家关于活性炭碘值、比表面积等相关证明材料</w:t>
                  </w:r>
                  <w:r>
                    <w:rPr>
                      <w:rFonts w:hint="eastAsia"/>
                      <w:color w:val="000000" w:themeColor="text1"/>
                      <w:szCs w:val="21"/>
                      <w:lang w:eastAsia="zh-CN"/>
                      <w14:textFill>
                        <w14:solidFill>
                          <w14:schemeClr w14:val="tx1"/>
                        </w14:solidFill>
                      </w14:textFill>
                    </w:rPr>
                    <w:t>。</w:t>
                  </w:r>
                </w:p>
              </w:tc>
              <w:tc>
                <w:tcPr>
                  <w:tcW w:w="2278" w:type="dxa"/>
                  <w:tcBorders>
                    <w:tl2br w:val="nil"/>
                    <w:tr2bl w:val="nil"/>
                  </w:tcBorders>
                  <w:vAlign w:val="center"/>
                </w:tcPr>
                <w:p>
                  <w:pPr>
                    <w:widowControl/>
                    <w:adjustRightInd w:val="0"/>
                    <w:snapToGrid w:val="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本项目选用</w:t>
                  </w:r>
                  <w:r>
                    <w:rPr>
                      <w:rFonts w:hint="eastAsia"/>
                      <w:color w:val="000000" w:themeColor="text1"/>
                      <w:szCs w:val="21"/>
                      <w14:textFill>
                        <w14:solidFill>
                          <w14:schemeClr w14:val="tx1"/>
                        </w14:solidFill>
                      </w14:textFill>
                    </w:rPr>
                    <w:t>800mg/g</w:t>
                  </w:r>
                  <w:r>
                    <w:rPr>
                      <w:rFonts w:hint="eastAsia"/>
                      <w:color w:val="000000" w:themeColor="text1"/>
                      <w:szCs w:val="21"/>
                      <w:lang w:val="en-US" w:eastAsia="zh-CN"/>
                      <w14:textFill>
                        <w14:solidFill>
                          <w14:schemeClr w14:val="tx1"/>
                        </w14:solidFill>
                      </w14:textFill>
                    </w:rPr>
                    <w:t>颗粒活性炭，其余指标均满足文件要求。</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84" w:type="dxa"/>
                  <w:tcBorders>
                    <w:tl2br w:val="nil"/>
                    <w:tr2bl w:val="nil"/>
                  </w:tcBorders>
                  <w:vAlign w:val="center"/>
                </w:tcPr>
                <w:p>
                  <w:pPr>
                    <w:widowControl/>
                    <w:adjustRightInd w:val="0"/>
                    <w:snapToGrid w:val="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六、活性炭填充量</w:t>
                  </w:r>
                </w:p>
                <w:p>
                  <w:pPr>
                    <w:widowControl/>
                    <w:adjustRightInd w:val="0"/>
                    <w:snapToGrid w:val="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用一次性颗粒状活性炭处理VOCs废气，年活性炭使用量不应低于VOCs产生量的5倍，即1吨VOCs产生量，需5吨活性炭用于吸附。活性炭更换周期一般不应超过累计运行500小时或3个月，更换周期计算按《省生态环境厅关于将排污单位活性炭使用更换纳入排污许可管理的通知》有关要求执行。</w:t>
                  </w:r>
                </w:p>
              </w:tc>
              <w:tc>
                <w:tcPr>
                  <w:tcW w:w="2278"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本项目VOCs（非甲烷总烃+甲醛）产生量合计0.9095t/a，则至少需要4.5475t/a用于吸附，根据企业提供的相关方案，本项目使用活性炭合计4.64t/a，满足要求。</w:t>
                  </w:r>
                </w:p>
              </w:tc>
              <w:tc>
                <w:tcPr>
                  <w:tcW w:w="1016" w:type="dxa"/>
                  <w:tcBorders>
                    <w:tl2br w:val="nil"/>
                    <w:tr2bl w:val="nil"/>
                  </w:tcBorders>
                  <w:vAlign w:val="center"/>
                </w:tcPr>
                <w:p>
                  <w:pPr>
                    <w:widowControl/>
                    <w:adjustRightInd w:val="0"/>
                    <w:snapToGrid w:val="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相符</w:t>
                  </w:r>
                </w:p>
              </w:tc>
            </w:tr>
          </w:tbl>
          <w:p>
            <w:pPr>
              <w:autoSpaceDE w:val="0"/>
              <w:autoSpaceDN w:val="0"/>
              <w:spacing w:line="360" w:lineRule="auto"/>
              <w:jc w:val="center"/>
              <w:rPr>
                <w:rFonts w:hint="eastAsia"/>
                <w:b/>
                <w:bCs/>
                <w:color w:val="000000" w:themeColor="text1"/>
                <w:kern w:val="0"/>
                <w:sz w:val="24"/>
                <w14:textFill>
                  <w14:solidFill>
                    <w14:schemeClr w14:val="tx1"/>
                  </w14:solidFill>
                </w14:textFill>
              </w:rPr>
            </w:pPr>
          </w:p>
        </w:tc>
      </w:tr>
    </w:tbl>
    <w:p>
      <w:pPr>
        <w:rPr>
          <w:color w:val="000000" w:themeColor="text1"/>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spacing w:before="100" w:beforeAutospacing="1" w:after="100" w:afterAutospacing="1"/>
        <w:jc w:val="center"/>
        <w:outlineLvl w:val="0"/>
        <w:rPr>
          <w:snapToGrid w:val="0"/>
          <w:color w:val="000000" w:themeColor="text1"/>
          <w:kern w:val="0"/>
          <w:sz w:val="30"/>
          <w:szCs w:val="30"/>
          <w14:textFill>
            <w14:solidFill>
              <w14:schemeClr w14:val="tx1"/>
            </w14:solidFill>
          </w14:textFill>
        </w:rPr>
      </w:pPr>
      <w:bookmarkStart w:id="3" w:name="_Toc2905"/>
      <w:bookmarkStart w:id="4" w:name="_Toc6522"/>
      <w:bookmarkStart w:id="5" w:name="_Toc16371"/>
      <w:r>
        <w:rPr>
          <w:snapToGrid w:val="0"/>
          <w:color w:val="000000" w:themeColor="text1"/>
          <w:kern w:val="0"/>
          <w:sz w:val="30"/>
          <w:szCs w:val="30"/>
          <w14:textFill>
            <w14:solidFill>
              <w14:schemeClr w14:val="tx1"/>
            </w14:solidFill>
          </w14:textFill>
        </w:rPr>
        <w:t>二、建设项目工程分析</w:t>
      </w:r>
      <w:bookmarkEnd w:id="3"/>
      <w:bookmarkEnd w:id="4"/>
      <w:bookmarkEnd w:id="5"/>
    </w:p>
    <w:tbl>
      <w:tblPr>
        <w:tblStyle w:val="19"/>
        <w:tblW w:w="88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1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25" w:hRule="atLeast"/>
          <w:jc w:val="center"/>
        </w:trPr>
        <w:tc>
          <w:tcPr>
            <w:tcW w:w="708" w:type="dxa"/>
            <w:vAlign w:val="center"/>
          </w:tcPr>
          <w:p>
            <w:pPr>
              <w:pStyle w:val="17"/>
              <w:adjustRightIn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Cs w:val="24"/>
                <w14:textFill>
                  <w14:solidFill>
                    <w14:schemeClr w14:val="tx1"/>
                  </w14:solidFill>
                </w14:textFill>
              </w:rPr>
              <w:t>建设内容</w:t>
            </w:r>
          </w:p>
        </w:tc>
        <w:tc>
          <w:tcPr>
            <w:tcW w:w="8164" w:type="dxa"/>
          </w:tcPr>
          <w:p>
            <w:pPr>
              <w:adjustRightInd w:val="0"/>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1、项目由来</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泰州英格伟精密机械有限公司位于</w:t>
            </w:r>
            <w:r>
              <w:rPr>
                <w:color w:val="000000" w:themeColor="text1"/>
                <w:sz w:val="24"/>
                <w14:textFill>
                  <w14:solidFill>
                    <w14:schemeClr w14:val="tx1"/>
                  </w14:solidFill>
                </w14:textFill>
              </w:rPr>
              <w:t>江苏省泰州市海陵区海陵工业园兴陵路28号，</w:t>
            </w:r>
            <w:r>
              <w:rPr>
                <w:bCs/>
                <w:color w:val="000000" w:themeColor="text1"/>
                <w:sz w:val="24"/>
                <w14:textFill>
                  <w14:solidFill>
                    <w14:schemeClr w14:val="tx1"/>
                  </w14:solidFill>
                </w14:textFill>
              </w:rPr>
              <w:t>项目总投资10500万元，</w:t>
            </w:r>
            <w:r>
              <w:rPr>
                <w:rFonts w:hint="eastAsia"/>
                <w:color w:val="000000" w:themeColor="text1"/>
                <w:sz w:val="24"/>
                <w14:textFill>
                  <w14:solidFill>
                    <w14:schemeClr w14:val="tx1"/>
                  </w14:solidFill>
                </w14:textFill>
              </w:rPr>
              <w:t>整租</w:t>
            </w:r>
            <w:r>
              <w:rPr>
                <w:color w:val="000000" w:themeColor="text1"/>
                <w:sz w:val="24"/>
                <w14:textFill>
                  <w14:solidFill>
                    <w14:schemeClr w14:val="tx1"/>
                  </w14:solidFill>
                </w14:textFill>
              </w:rPr>
              <w:t>泰州豹变智控科技有限公司</w:t>
            </w:r>
            <w:r>
              <w:rPr>
                <w:rFonts w:hint="eastAsia"/>
                <w:color w:val="000000" w:themeColor="text1"/>
                <w:sz w:val="24"/>
                <w14:textFill>
                  <w14:solidFill>
                    <w14:schemeClr w14:val="tx1"/>
                  </w14:solidFill>
                </w14:textFill>
              </w:rPr>
              <w:t>全新</w:t>
            </w:r>
            <w:r>
              <w:rPr>
                <w:color w:val="000000" w:themeColor="text1"/>
                <w:sz w:val="24"/>
                <w14:textFill>
                  <w14:solidFill>
                    <w14:schemeClr w14:val="tx1"/>
                  </w14:solidFill>
                </w14:textFill>
              </w:rPr>
              <w:t>厂房</w:t>
            </w:r>
            <w:r>
              <w:rPr>
                <w:rFonts w:hint="eastAsia"/>
                <w:color w:val="000000" w:themeColor="text1"/>
                <w:sz w:val="24"/>
                <w14:textFill>
                  <w14:solidFill>
                    <w14:schemeClr w14:val="tx1"/>
                  </w14:solidFill>
                </w14:textFill>
              </w:rPr>
              <w:t>，用地</w:t>
            </w:r>
            <w:r>
              <w:rPr>
                <w:color w:val="000000" w:themeColor="text1"/>
                <w:sz w:val="24"/>
                <w14:textFill>
                  <w14:solidFill>
                    <w14:schemeClr w14:val="tx1"/>
                  </w14:solidFill>
                </w14:textFill>
              </w:rPr>
              <w:t>面积</w:t>
            </w:r>
            <w:r>
              <w:rPr>
                <w:rFonts w:hint="eastAsia"/>
                <w:color w:val="000000" w:themeColor="text1"/>
                <w:sz w:val="24"/>
                <w14:textFill>
                  <w14:solidFill>
                    <w14:schemeClr w14:val="tx1"/>
                  </w14:solidFill>
                </w14:textFill>
              </w:rPr>
              <w:t>14028m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建筑面积</w:t>
            </w:r>
            <w:r>
              <w:rPr>
                <w:rFonts w:hint="eastAsia"/>
                <w:color w:val="000000" w:themeColor="text1"/>
                <w:sz w:val="24"/>
                <w14:textFill>
                  <w14:solidFill>
                    <w14:schemeClr w14:val="tx1"/>
                  </w14:solidFill>
                </w14:textFill>
              </w:rPr>
              <w:t>10313.03m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，主要从事汽车零部件及高端装备国际配套零部件的生产制造销售。项目建成后，预计年产</w:t>
            </w:r>
            <w:r>
              <w:rPr>
                <w:rFonts w:hint="eastAsia"/>
                <w:color w:val="000000" w:themeColor="text1"/>
                <w:sz w:val="24"/>
                <w14:textFill>
                  <w14:solidFill>
                    <w14:schemeClr w14:val="tx1"/>
                  </w14:solidFill>
                </w14:textFill>
              </w:rPr>
              <w:t>150万件汽车轻量化配套铝合金零部件、3000吨高端装备国际配套零部件</w:t>
            </w:r>
            <w:r>
              <w:rPr>
                <w:color w:val="000000" w:themeColor="text1"/>
                <w:sz w:val="24"/>
                <w14:textFill>
                  <w14:solidFill>
                    <w14:schemeClr w14:val="tx1"/>
                  </w14:solidFill>
                </w14:textFill>
              </w:rPr>
              <w:t>。项目已取得江苏省投资项目备案证，备案证号：泰</w:t>
            </w:r>
            <w:r>
              <w:rPr>
                <w:rFonts w:hint="eastAsia"/>
                <w:color w:val="000000" w:themeColor="text1"/>
                <w:sz w:val="24"/>
                <w14:textFill>
                  <w14:solidFill>
                    <w14:schemeClr w14:val="tx1"/>
                  </w14:solidFill>
                </w14:textFill>
              </w:rPr>
              <w:t>海</w:t>
            </w:r>
            <w:r>
              <w:rPr>
                <w:color w:val="000000" w:themeColor="text1"/>
                <w:sz w:val="24"/>
                <w14:textFill>
                  <w14:solidFill>
                    <w14:schemeClr w14:val="tx1"/>
                  </w14:solidFill>
                </w14:textFill>
              </w:rPr>
              <w:t>行审备[2023]</w:t>
            </w:r>
            <w:r>
              <w:rPr>
                <w:rFonts w:hint="eastAsia"/>
                <w:color w:val="000000" w:themeColor="text1"/>
                <w:sz w:val="24"/>
                <w14:textFill>
                  <w14:solidFill>
                    <w14:schemeClr w14:val="tx1"/>
                  </w14:solidFill>
                </w14:textFill>
              </w:rPr>
              <w:t>648</w:t>
            </w:r>
            <w:r>
              <w:rPr>
                <w:color w:val="000000" w:themeColor="text1"/>
                <w:sz w:val="24"/>
                <w14:textFill>
                  <w14:solidFill>
                    <w14:schemeClr w14:val="tx1"/>
                  </w14:solidFill>
                </w14:textFill>
              </w:rPr>
              <w:t>号。</w:t>
            </w:r>
          </w:p>
          <w:p>
            <w:pPr>
              <w:adjustRightInd w:val="0"/>
              <w:spacing w:line="360" w:lineRule="auto"/>
              <w:ind w:firstLine="480" w:firstLineChars="200"/>
              <w:jc w:val="left"/>
              <w:rPr>
                <w:b/>
                <w:color w:val="000000" w:themeColor="text1"/>
                <w:sz w:val="24"/>
                <w14:textFill>
                  <w14:solidFill>
                    <w14:schemeClr w14:val="tx1"/>
                  </w14:solidFill>
                </w14:textFill>
              </w:rPr>
            </w:pPr>
            <w:r>
              <w:rPr>
                <w:bCs/>
                <w:color w:val="000000" w:themeColor="text1"/>
                <w:sz w:val="24"/>
                <w14:textFill>
                  <w14:solidFill>
                    <w14:schemeClr w14:val="tx1"/>
                  </w14:solidFill>
                </w14:textFill>
              </w:rPr>
              <w:t>根据《中华人民共和国环境保护法》、《中华人民共和国环境影响评价法》及《建设项目环境保护管理条例》等文件，本项目应进行环境影响评价。根据《建设项目环境影响评价分类管理名录》（2021版），本项目属于汽车零部件及高端装备国际配套零部件项目</w:t>
            </w:r>
            <w:r>
              <w:rPr>
                <w:rFonts w:hint="eastAsia"/>
                <w:bCs/>
                <w:color w:val="000000" w:themeColor="text1"/>
                <w:sz w:val="24"/>
                <w14:textFill>
                  <w14:solidFill>
                    <w14:schemeClr w14:val="tx1"/>
                  </w14:solidFill>
                </w14:textFill>
              </w:rPr>
              <w:t>，对照</w:t>
            </w:r>
            <w:r>
              <w:rPr>
                <w:bCs/>
                <w:color w:val="000000" w:themeColor="text1"/>
                <w:sz w:val="24"/>
                <w14:textFill>
                  <w14:solidFill>
                    <w14:schemeClr w14:val="tx1"/>
                  </w14:solidFill>
                </w14:textFill>
              </w:rPr>
              <w:t>目录中</w:t>
            </w:r>
            <w:r>
              <w:rPr>
                <w:rFonts w:hint="eastAsia"/>
                <w:bCs/>
                <w:color w:val="000000" w:themeColor="text1"/>
                <w:sz w:val="24"/>
                <w14:textFill>
                  <w14:solidFill>
                    <w14:schemeClr w14:val="tx1"/>
                  </w14:solidFill>
                </w14:textFill>
              </w:rPr>
              <w:t>“</w:t>
            </w:r>
            <w:r>
              <w:rPr>
                <w:color w:val="000000" w:themeColor="text1"/>
                <w:sz w:val="24"/>
                <w14:textFill>
                  <w14:solidFill>
                    <w14:schemeClr w14:val="tx1"/>
                  </w14:solidFill>
                </w14:textFill>
              </w:rPr>
              <w:t>三十一、通用设备制造业</w:t>
            </w:r>
            <w:r>
              <w:rPr>
                <w:rFonts w:hint="eastAsia"/>
                <w:color w:val="000000" w:themeColor="text1"/>
                <w:sz w:val="24"/>
                <w14:textFill>
                  <w14:solidFill>
                    <w14:schemeClr w14:val="tx1"/>
                  </w14:solidFill>
                </w14:textFill>
              </w:rPr>
              <w:t xml:space="preserve"> 34 通用零部件制造 348 其他</w:t>
            </w:r>
            <w:r>
              <w:rPr>
                <w:rFonts w:hint="eastAsia"/>
                <w:bCs/>
                <w:color w:val="000000" w:themeColor="text1"/>
                <w:sz w:val="24"/>
                <w14:textFill>
                  <w14:solidFill>
                    <w14:schemeClr w14:val="tx1"/>
                  </w14:solidFill>
                </w14:textFill>
              </w:rPr>
              <w:t>；</w:t>
            </w:r>
            <w:r>
              <w:rPr>
                <w:color w:val="000000" w:themeColor="text1"/>
                <w:sz w:val="24"/>
                <w14:textFill>
                  <w14:solidFill>
                    <w14:schemeClr w14:val="tx1"/>
                  </w14:solidFill>
                </w14:textFill>
              </w:rPr>
              <w:t>三十三、汽车制造业 36</w:t>
            </w:r>
            <w:r>
              <w:rPr>
                <w:rFonts w:hint="eastAsia"/>
                <w:color w:val="000000" w:themeColor="text1"/>
                <w:sz w:val="24"/>
                <w14:textFill>
                  <w14:solidFill>
                    <w14:schemeClr w14:val="tx1"/>
                  </w14:solidFill>
                </w14:textFill>
              </w:rPr>
              <w:t xml:space="preserve"> 汽车零部件及配件制造 367 其他</w:t>
            </w:r>
            <w:r>
              <w:rPr>
                <w:rFonts w:hint="eastAsia"/>
                <w:bCs/>
                <w:color w:val="000000" w:themeColor="text1"/>
                <w:sz w:val="24"/>
                <w14:textFill>
                  <w14:solidFill>
                    <w14:schemeClr w14:val="tx1"/>
                  </w14:solidFill>
                </w14:textFill>
              </w:rPr>
              <w:t>”，因主要生产工序为铸造、锻造工序，对照</w:t>
            </w:r>
            <w:r>
              <w:rPr>
                <w:bCs/>
                <w:color w:val="000000" w:themeColor="text1"/>
                <w:sz w:val="24"/>
                <w14:textFill>
                  <w14:solidFill>
                    <w14:schemeClr w14:val="tx1"/>
                  </w14:solidFill>
                </w14:textFill>
              </w:rPr>
              <w:t>目录中“三十、金属制品业 33 铸造及其他金属制品制造339 其他，</w:t>
            </w:r>
            <w:r>
              <w:rPr>
                <w:rFonts w:hint="eastAsia"/>
                <w:bCs/>
                <w:color w:val="000000" w:themeColor="text1"/>
                <w:sz w:val="24"/>
                <w14:textFill>
                  <w14:solidFill>
                    <w14:schemeClr w14:val="tx1"/>
                  </w14:solidFill>
                </w14:textFill>
              </w:rPr>
              <w:t>综上所述</w:t>
            </w:r>
            <w:r>
              <w:rPr>
                <w:bCs/>
                <w:color w:val="000000" w:themeColor="text1"/>
                <w:sz w:val="24"/>
                <w14:textFill>
                  <w14:solidFill>
                    <w14:schemeClr w14:val="tx1"/>
                  </w14:solidFill>
                </w14:textFill>
              </w:rPr>
              <w:t>需编制环境影响报告表。受建设单位委托，我单位承担了本项目环境影响报告表的编制工作，并组织技术人员进行了现场踏勘、资料收集等工作。我单位按照环境影响评价技术导则的相关要求编制完成本项目环境影响报告表。</w:t>
            </w:r>
          </w:p>
          <w:p>
            <w:pPr>
              <w:adjustRightIn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2、项目概况</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项目名称：汽车零部件及高端装备国际配套零部件项目；</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建设单位：泰州英格伟精密机械有限公司；</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建设地点：</w:t>
            </w:r>
            <w:r>
              <w:rPr>
                <w:color w:val="000000" w:themeColor="text1"/>
                <w:sz w:val="24"/>
                <w14:textFill>
                  <w14:solidFill>
                    <w14:schemeClr w14:val="tx1"/>
                  </w14:solidFill>
                </w14:textFill>
              </w:rPr>
              <w:t>江苏省泰州市海陵区海陵工业园兴陵路28号</w:t>
            </w:r>
            <w:r>
              <w:rPr>
                <w:bCs/>
                <w:color w:val="000000" w:themeColor="text1"/>
                <w:sz w:val="24"/>
                <w14:textFill>
                  <w14:solidFill>
                    <w14:schemeClr w14:val="tx1"/>
                  </w14:solidFill>
                </w14:textFill>
              </w:rPr>
              <w:t>；</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建设性质：新建；</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建设内容：租用兴陵路28号厂房，面积约10313.03平方米。拟采购天然气加热炉、浇铸机</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电动螺旋压力机、液压机、电液锤、热处理炉、数控加工机床等设备</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建设以铝合金锻造和金属型铸造、合金钢锻造为主的高端特种铸锻自动化生产线</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年产150万件高端铝合金零部件自动化生产线</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同时建设年产3000吨合金钢锻造和精密加工生产线</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为国际国内油气钻采设备及其他高端装备行业配套高品质零部件。</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建筑面积：</w:t>
            </w:r>
            <w:r>
              <w:rPr>
                <w:rFonts w:hint="eastAsia"/>
                <w:bCs/>
                <w:color w:val="000000" w:themeColor="text1"/>
                <w:sz w:val="24"/>
                <w14:textFill>
                  <w14:solidFill>
                    <w14:schemeClr w14:val="tx1"/>
                  </w14:solidFill>
                </w14:textFill>
              </w:rPr>
              <w:t>10313.03</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2</w:t>
            </w:r>
            <w:r>
              <w:rPr>
                <w:snapToGrid w:val="0"/>
                <w:color w:val="000000" w:themeColor="text1"/>
                <w:kern w:val="24"/>
                <w:sz w:val="24"/>
                <w14:textFill>
                  <w14:solidFill>
                    <w14:schemeClr w14:val="tx1"/>
                  </w14:solidFill>
                </w14:textFill>
              </w:rPr>
              <w:t>；</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投资总额：</w:t>
            </w:r>
            <w:r>
              <w:rPr>
                <w:rFonts w:hint="eastAsia"/>
                <w:color w:val="000000" w:themeColor="text1"/>
                <w:sz w:val="24"/>
                <w14:textFill>
                  <w14:solidFill>
                    <w14:schemeClr w14:val="tx1"/>
                  </w14:solidFill>
                </w14:textFill>
              </w:rPr>
              <w:t>10500</w:t>
            </w:r>
            <w:r>
              <w:rPr>
                <w:color w:val="000000" w:themeColor="text1"/>
                <w:sz w:val="24"/>
                <w14:textFill>
                  <w14:solidFill>
                    <w14:schemeClr w14:val="tx1"/>
                  </w14:solidFill>
                </w14:textFill>
              </w:rPr>
              <w:t>万元，其中环保投资</w:t>
            </w:r>
            <w:r>
              <w:rPr>
                <w:rFonts w:hint="eastAsia"/>
                <w:color w:val="000000" w:themeColor="text1"/>
                <w:sz w:val="24"/>
                <w14:textFill>
                  <w14:solidFill>
                    <w14:schemeClr w14:val="tx1"/>
                  </w14:solidFill>
                </w14:textFill>
              </w:rPr>
              <w:t>150</w:t>
            </w:r>
            <w:r>
              <w:rPr>
                <w:color w:val="000000" w:themeColor="text1"/>
                <w:sz w:val="24"/>
                <w14:textFill>
                  <w14:solidFill>
                    <w14:schemeClr w14:val="tx1"/>
                  </w14:solidFill>
                </w14:textFill>
              </w:rPr>
              <w:t>万元，占总投资的</w:t>
            </w:r>
            <w:r>
              <w:rPr>
                <w:rFonts w:hint="eastAsia"/>
                <w:color w:val="000000" w:themeColor="text1"/>
                <w:sz w:val="24"/>
                <w14:textFill>
                  <w14:solidFill>
                    <w14:schemeClr w14:val="tx1"/>
                  </w14:solidFill>
                </w14:textFill>
              </w:rPr>
              <w:t>1.4</w:t>
            </w:r>
            <w:r>
              <w:rPr>
                <w:color w:val="000000" w:themeColor="text1"/>
                <w:sz w:val="24"/>
                <w14:textFill>
                  <w14:solidFill>
                    <w14:schemeClr w14:val="tx1"/>
                  </w14:solidFill>
                </w14:textFill>
              </w:rPr>
              <w:t>%；</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职工情况：职工</w:t>
            </w:r>
            <w:r>
              <w:rPr>
                <w:rFonts w:hint="eastAsia"/>
                <w:color w:val="000000" w:themeColor="text1"/>
                <w:sz w:val="24"/>
                <w14:textFill>
                  <w14:solidFill>
                    <w14:schemeClr w14:val="tx1"/>
                  </w14:solidFill>
                </w14:textFill>
              </w:rPr>
              <w:t>150</w:t>
            </w:r>
            <w:r>
              <w:rPr>
                <w:color w:val="000000" w:themeColor="text1"/>
                <w:sz w:val="24"/>
                <w14:textFill>
                  <w14:solidFill>
                    <w14:schemeClr w14:val="tx1"/>
                  </w14:solidFill>
                </w14:textFill>
              </w:rPr>
              <w:t>人；</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生产班制：实行</w:t>
            </w:r>
            <w:r>
              <w:rPr>
                <w:rFonts w:hint="eastAsia"/>
                <w:color w:val="000000" w:themeColor="text1"/>
                <w:sz w:val="24"/>
                <w14:textFill>
                  <w14:solidFill>
                    <w14:schemeClr w14:val="tx1"/>
                  </w14:solidFill>
                </w14:textFill>
              </w:rPr>
              <w:t>两</w:t>
            </w:r>
            <w:r>
              <w:rPr>
                <w:color w:val="000000" w:themeColor="text1"/>
                <w:sz w:val="24"/>
                <w14:textFill>
                  <w14:solidFill>
                    <w14:schemeClr w14:val="tx1"/>
                  </w14:solidFill>
                </w14:textFill>
              </w:rPr>
              <w:t>班制，每班</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h，预计年生产3</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0天，全年工作时数约为</w:t>
            </w:r>
            <w:r>
              <w:rPr>
                <w:rFonts w:hint="eastAsia"/>
                <w:color w:val="000000" w:themeColor="text1"/>
                <w:sz w:val="24"/>
                <w14:textFill>
                  <w14:solidFill>
                    <w14:schemeClr w14:val="tx1"/>
                  </w14:solidFill>
                </w14:textFill>
              </w:rPr>
              <w:t>4800</w:t>
            </w:r>
            <w:r>
              <w:rPr>
                <w:color w:val="000000" w:themeColor="text1"/>
                <w:sz w:val="24"/>
                <w14:textFill>
                  <w14:solidFill>
                    <w14:schemeClr w14:val="tx1"/>
                  </w14:solidFill>
                </w14:textFill>
              </w:rPr>
              <w:t>h。</w:t>
            </w:r>
          </w:p>
          <w:p>
            <w:pPr>
              <w:adjustRightInd w:val="0"/>
              <w:spacing w:line="360" w:lineRule="auto"/>
              <w:ind w:firstLine="482" w:firstLineChars="200"/>
              <w:jc w:val="left"/>
              <w:rPr>
                <w:bCs/>
                <w:color w:val="000000" w:themeColor="text1"/>
                <w:sz w:val="24"/>
                <w14:textFill>
                  <w14:solidFill>
                    <w14:schemeClr w14:val="tx1"/>
                  </w14:solidFill>
                </w14:textFill>
              </w:rPr>
            </w:pPr>
            <w:r>
              <w:rPr>
                <w:b/>
                <w:color w:val="000000" w:themeColor="text1"/>
                <w:sz w:val="24"/>
                <w14:textFill>
                  <w14:solidFill>
                    <w14:schemeClr w14:val="tx1"/>
                  </w14:solidFill>
                </w14:textFill>
              </w:rPr>
              <w:t>3、项目建设内容</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（1）主体工程</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本项目产品方案详见下表。</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表2-1  项目产品方案一览表</w:t>
            </w:r>
          </w:p>
          <w:tbl>
            <w:tblPr>
              <w:tblStyle w:val="19"/>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66"/>
              <w:gridCol w:w="1823"/>
              <w:gridCol w:w="1645"/>
              <w:gridCol w:w="1199"/>
              <w:gridCol w:w="140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174" w:type="pct"/>
                  <w:tcMar>
                    <w:left w:w="28" w:type="dxa"/>
                    <w:right w:w="28" w:type="dxa"/>
                  </w:tcMar>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生产线名称</w:t>
                  </w:r>
                </w:p>
              </w:tc>
              <w:tc>
                <w:tcPr>
                  <w:tcW w:w="1147" w:type="pct"/>
                  <w:tcMar>
                    <w:left w:w="28" w:type="dxa"/>
                    <w:right w:w="28" w:type="dxa"/>
                  </w:tcMar>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产品名称</w:t>
                  </w:r>
                </w:p>
              </w:tc>
              <w:tc>
                <w:tcPr>
                  <w:tcW w:w="1035" w:type="pct"/>
                  <w:tcMar>
                    <w:left w:w="28" w:type="dxa"/>
                    <w:right w:w="28" w:type="dxa"/>
                  </w:tcMar>
                  <w:vAlign w:val="center"/>
                </w:tcPr>
                <w:p>
                  <w:pPr>
                    <w:wordWrap w:val="0"/>
                    <w:topLinePun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生产能力</w:t>
                  </w:r>
                </w:p>
              </w:tc>
              <w:tc>
                <w:tcPr>
                  <w:tcW w:w="755" w:type="pct"/>
                  <w:tcMar>
                    <w:left w:w="28" w:type="dxa"/>
                    <w:right w:w="28" w:type="dxa"/>
                  </w:tcMar>
                  <w:vAlign w:val="center"/>
                </w:tcPr>
                <w:p>
                  <w:pPr>
                    <w:wordWrap w:val="0"/>
                    <w:topLinePun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主要规格</w:t>
                  </w:r>
                </w:p>
              </w:tc>
              <w:tc>
                <w:tcPr>
                  <w:tcW w:w="887" w:type="pct"/>
                  <w:tcMar>
                    <w:left w:w="28" w:type="dxa"/>
                    <w:right w:w="28" w:type="dxa"/>
                  </w:tcMar>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年运行时数</w:t>
                  </w:r>
                  <w:r>
                    <w:rPr>
                      <w:rFonts w:hint="eastAsia"/>
                      <w:b/>
                      <w:color w:val="000000" w:themeColor="text1"/>
                      <w:szCs w:val="21"/>
                      <w14:textFill>
                        <w14:solidFill>
                          <w14:schemeClr w14:val="tx1"/>
                        </w14:solidFill>
                      </w14:textFill>
                    </w:rPr>
                    <w:t>（h）</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174" w:type="pct"/>
                  <w:tcBorders>
                    <w:bottom w:val="single" w:color="auto" w:sz="4" w:space="0"/>
                  </w:tcBorders>
                  <w:tcMar>
                    <w:left w:w="28" w:type="dxa"/>
                    <w:right w:w="28" w:type="dxa"/>
                  </w:tcMar>
                  <w:vAlign w:val="center"/>
                </w:tcPr>
                <w:p>
                  <w:pPr>
                    <w:pStyle w:val="31"/>
                    <w:wordWrap w:val="0"/>
                    <w:topLinePunct/>
                    <w:rPr>
                      <w:rFonts w:hAnsi="Times New Roman"/>
                      <w:color w:val="000000" w:themeColor="text1"/>
                      <w:szCs w:val="21"/>
                      <w14:textFill>
                        <w14:solidFill>
                          <w14:schemeClr w14:val="tx1"/>
                        </w14:solidFill>
                      </w14:textFill>
                    </w:rPr>
                  </w:pPr>
                  <w:r>
                    <w:rPr>
                      <w:rFonts w:hint="eastAsia" w:hAnsi="Times New Roman"/>
                      <w:color w:val="000000" w:themeColor="text1"/>
                      <w:szCs w:val="21"/>
                      <w14:textFill>
                        <w14:solidFill>
                          <w14:schemeClr w14:val="tx1"/>
                        </w14:solidFill>
                      </w14:textFill>
                    </w:rPr>
                    <w:t>汽车轻量化配套铝合金零部件生产线</w:t>
                  </w:r>
                </w:p>
              </w:tc>
              <w:tc>
                <w:tcPr>
                  <w:tcW w:w="1147" w:type="pct"/>
                  <w:tcBorders>
                    <w:bottom w:val="single" w:color="auto" w:sz="4" w:space="0"/>
                  </w:tcBorders>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hAnsi="Times New Roman"/>
                      <w:color w:val="000000" w:themeColor="text1"/>
                      <w:szCs w:val="21"/>
                      <w14:textFill>
                        <w14:solidFill>
                          <w14:schemeClr w14:val="tx1"/>
                        </w14:solidFill>
                      </w14:textFill>
                    </w:rPr>
                    <w:t>汽车轻量化配套铝合金零部件</w:t>
                  </w:r>
                </w:p>
              </w:tc>
              <w:tc>
                <w:tcPr>
                  <w:tcW w:w="1035" w:type="pct"/>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150万件/年</w:t>
                  </w:r>
                </w:p>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（2000t/年）</w:t>
                  </w:r>
                </w:p>
              </w:tc>
              <w:tc>
                <w:tcPr>
                  <w:tcW w:w="755" w:type="pct"/>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平均约1.3kg/件</w:t>
                  </w:r>
                </w:p>
              </w:tc>
              <w:tc>
                <w:tcPr>
                  <w:tcW w:w="887" w:type="pct"/>
                  <w:tcMar>
                    <w:left w:w="28" w:type="dxa"/>
                    <w:right w:w="28" w:type="dxa"/>
                  </w:tcMar>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4800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174" w:type="pct"/>
                  <w:tcBorders>
                    <w:top w:val="single" w:color="auto" w:sz="4" w:space="0"/>
                    <w:bottom w:val="single" w:color="auto" w:sz="12" w:space="0"/>
                  </w:tcBorders>
                  <w:tcMar>
                    <w:left w:w="28" w:type="dxa"/>
                    <w:right w:w="28" w:type="dxa"/>
                  </w:tcMar>
                  <w:vAlign w:val="center"/>
                </w:tcPr>
                <w:p>
                  <w:pPr>
                    <w:pStyle w:val="31"/>
                    <w:wordWrap w:val="0"/>
                    <w:topLinePunct/>
                    <w:rPr>
                      <w:rFonts w:hAnsi="Times New Roman"/>
                      <w:color w:val="000000" w:themeColor="text1"/>
                      <w:szCs w:val="21"/>
                      <w14:textFill>
                        <w14:solidFill>
                          <w14:schemeClr w14:val="tx1"/>
                        </w14:solidFill>
                      </w14:textFill>
                    </w:rPr>
                  </w:pPr>
                  <w:r>
                    <w:rPr>
                      <w:rFonts w:hint="eastAsia" w:hAnsi="Times New Roman"/>
                      <w:color w:val="000000" w:themeColor="text1"/>
                      <w:szCs w:val="21"/>
                      <w14:textFill>
                        <w14:solidFill>
                          <w14:schemeClr w14:val="tx1"/>
                        </w14:solidFill>
                      </w14:textFill>
                    </w:rPr>
                    <w:t>高端装备国际配套零部件生产线</w:t>
                  </w:r>
                </w:p>
              </w:tc>
              <w:tc>
                <w:tcPr>
                  <w:tcW w:w="1147" w:type="pct"/>
                  <w:tcBorders>
                    <w:top w:val="single" w:color="auto" w:sz="4" w:space="0"/>
                    <w:bottom w:val="single" w:color="auto" w:sz="12" w:space="0"/>
                  </w:tcBorders>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hAnsi="Times New Roman"/>
                      <w:color w:val="000000" w:themeColor="text1"/>
                      <w:szCs w:val="21"/>
                      <w14:textFill>
                        <w14:solidFill>
                          <w14:schemeClr w14:val="tx1"/>
                        </w14:solidFill>
                      </w14:textFill>
                    </w:rPr>
                    <w:t>高端装备国际配套零部件</w:t>
                  </w:r>
                </w:p>
              </w:tc>
              <w:tc>
                <w:tcPr>
                  <w:tcW w:w="1035" w:type="pct"/>
                  <w:tcBorders>
                    <w:bottom w:val="single" w:color="auto" w:sz="12" w:space="0"/>
                  </w:tcBorders>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3000吨/年</w:t>
                  </w:r>
                </w:p>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（20万件/年）</w:t>
                  </w:r>
                </w:p>
              </w:tc>
              <w:tc>
                <w:tcPr>
                  <w:tcW w:w="755" w:type="pct"/>
                  <w:tcMar>
                    <w:left w:w="28" w:type="dxa"/>
                    <w:right w:w="28" w:type="dxa"/>
                  </w:tcMar>
                  <w:vAlign w:val="center"/>
                </w:tcPr>
                <w:p>
                  <w:pPr>
                    <w:pStyle w:val="31"/>
                    <w:wordWrap w:val="0"/>
                    <w:topLinePun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平均约15kg/件</w:t>
                  </w:r>
                </w:p>
              </w:tc>
              <w:tc>
                <w:tcPr>
                  <w:tcW w:w="887" w:type="pct"/>
                  <w:tcMar>
                    <w:left w:w="28" w:type="dxa"/>
                    <w:right w:w="28" w:type="dxa"/>
                  </w:tcMar>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4800</w:t>
                  </w:r>
                </w:p>
              </w:tc>
            </w:tr>
          </w:tbl>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（2）主体、公用及辅助工程</w:t>
            </w:r>
          </w:p>
          <w:p>
            <w:pPr>
              <w:adjustRightInd w:val="0"/>
              <w:spacing w:line="360" w:lineRule="auto"/>
              <w:ind w:firstLine="480" w:firstLineChars="200"/>
              <w:jc w:val="left"/>
              <w:rPr>
                <w:b/>
                <w:color w:val="000000" w:themeColor="text1"/>
                <w:sz w:val="24"/>
                <w14:textFill>
                  <w14:solidFill>
                    <w14:schemeClr w14:val="tx1"/>
                  </w14:solidFill>
                </w14:textFill>
              </w:rPr>
            </w:pPr>
            <w:r>
              <w:rPr>
                <w:snapToGrid w:val="0"/>
                <w:color w:val="000000" w:themeColor="text1"/>
                <w:kern w:val="0"/>
                <w:sz w:val="24"/>
                <w14:textFill>
                  <w14:solidFill>
                    <w14:schemeClr w14:val="tx1"/>
                  </w14:solidFill>
                </w14:textFill>
              </w:rPr>
              <w:t>项目主体工程、公用工程及辅助工程见下表。</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表2-2  项目主体工程、公用工程及辅助工程一览表</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4"/>
              <w:gridCol w:w="828"/>
              <w:gridCol w:w="2045"/>
              <w:gridCol w:w="43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类别</w:t>
                  </w:r>
                </w:p>
              </w:tc>
              <w:tc>
                <w:tcPr>
                  <w:tcW w:w="1807" w:type="pct"/>
                  <w:gridSpan w:val="2"/>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工程名称</w:t>
                  </w:r>
                </w:p>
              </w:tc>
              <w:tc>
                <w:tcPr>
                  <w:tcW w:w="2723" w:type="pct"/>
                  <w:vAlign w:val="center"/>
                </w:tcPr>
                <w:p>
                  <w:pPr>
                    <w:wordWrap w:val="0"/>
                    <w:topLinePun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建设内容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ordWrap w:val="0"/>
                    <w:topLinePunct/>
                    <w:jc w:val="center"/>
                    <w:rPr>
                      <w:b/>
                      <w:color w:val="000000" w:themeColor="text1"/>
                      <w:szCs w:val="21"/>
                      <w14:textFill>
                        <w14:solidFill>
                          <w14:schemeClr w14:val="tx1"/>
                        </w14:solidFill>
                      </w14:textFill>
                    </w:rPr>
                  </w:pPr>
                  <w:r>
                    <w:rPr>
                      <w:bCs/>
                      <w:color w:val="000000" w:themeColor="text1"/>
                      <w:szCs w:val="21"/>
                      <w14:textFill>
                        <w14:solidFill>
                          <w14:schemeClr w14:val="tx1"/>
                        </w14:solidFill>
                      </w14:textFill>
                    </w:rPr>
                    <w:t>主体工程</w:t>
                  </w:r>
                </w:p>
              </w:tc>
              <w:tc>
                <w:tcPr>
                  <w:tcW w:w="1807" w:type="pct"/>
                  <w:gridSpan w:val="2"/>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汽车轻量化配套铝合金零部件生产线</w:t>
                  </w:r>
                </w:p>
              </w:tc>
              <w:tc>
                <w:tcPr>
                  <w:tcW w:w="2723"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铸造车间：</w:t>
                  </w:r>
                  <w:r>
                    <w:rPr>
                      <w:color w:val="000000" w:themeColor="text1"/>
                      <w:szCs w:val="21"/>
                      <w14:textFill>
                        <w14:solidFill>
                          <w14:schemeClr w14:val="tx1"/>
                        </w14:solidFill>
                      </w14:textFill>
                    </w:rPr>
                    <w:t>长</w:t>
                  </w:r>
                  <w:r>
                    <w:rPr>
                      <w:rFonts w:hint="eastAsia"/>
                      <w:color w:val="000000" w:themeColor="text1"/>
                      <w:szCs w:val="21"/>
                      <w14:textFill>
                        <w14:solidFill>
                          <w14:schemeClr w14:val="tx1"/>
                        </w14:solidFill>
                      </w14:textFill>
                    </w:rPr>
                    <w:t>96m、</w:t>
                  </w:r>
                  <w:r>
                    <w:rPr>
                      <w:color w:val="000000" w:themeColor="text1"/>
                      <w:szCs w:val="21"/>
                      <w14:textFill>
                        <w14:solidFill>
                          <w14:schemeClr w14:val="tx1"/>
                        </w14:solidFill>
                      </w14:textFill>
                    </w:rPr>
                    <w:t>宽</w:t>
                  </w:r>
                  <w:r>
                    <w:rPr>
                      <w:rFonts w:hint="eastAsia"/>
                      <w:color w:val="000000" w:themeColor="text1"/>
                      <w:szCs w:val="21"/>
                      <w14:textFill>
                        <w14:solidFill>
                          <w14:schemeClr w14:val="tx1"/>
                        </w14:solidFill>
                      </w14:textFill>
                    </w:rPr>
                    <w:t>21m、</w:t>
                  </w:r>
                  <w:r>
                    <w:rPr>
                      <w:color w:val="000000" w:themeColor="text1"/>
                      <w:szCs w:val="21"/>
                      <w14:textFill>
                        <w14:solidFill>
                          <w14:schemeClr w14:val="tx1"/>
                        </w14:solidFill>
                      </w14:textFill>
                    </w:rPr>
                    <w:t>高</w:t>
                  </w:r>
                  <w:r>
                    <w:rPr>
                      <w:rFonts w:hint="eastAsia"/>
                      <w:color w:val="000000" w:themeColor="text1"/>
                      <w:szCs w:val="21"/>
                      <w14:textFill>
                        <w14:solidFill>
                          <w14:schemeClr w14:val="tx1"/>
                        </w14:solidFill>
                      </w14:textFill>
                    </w:rPr>
                    <w:t>9.5m</w:t>
                  </w:r>
                  <w:r>
                    <w:rPr>
                      <w:color w:val="000000" w:themeColor="text1"/>
                      <w:szCs w:val="21"/>
                      <w14:textFill>
                        <w14:solidFill>
                          <w14:schemeClr w14:val="tx1"/>
                        </w14:solidFill>
                      </w14:textFill>
                    </w:rPr>
                    <w:t>，占地面积</w:t>
                  </w:r>
                  <w:r>
                    <w:rPr>
                      <w:rFonts w:hint="eastAsia"/>
                      <w:color w:val="000000" w:themeColor="text1"/>
                      <w:szCs w:val="21"/>
                      <w14:textFill>
                        <w14:solidFill>
                          <w14:schemeClr w14:val="tx1"/>
                        </w14:solidFill>
                      </w14:textFill>
                    </w:rPr>
                    <w:t>2016m</w:t>
                  </w:r>
                  <w:r>
                    <w:rPr>
                      <w:rFonts w:hint="eastAsia"/>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Merge w:val="restart"/>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高端装备国际配套零部件生产线</w:t>
                  </w:r>
                </w:p>
              </w:tc>
              <w:tc>
                <w:tcPr>
                  <w:tcW w:w="2723"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锻造车间（包括热处理区域）：</w:t>
                  </w:r>
                  <w:r>
                    <w:rPr>
                      <w:color w:val="000000" w:themeColor="text1"/>
                      <w:szCs w:val="21"/>
                      <w14:textFill>
                        <w14:solidFill>
                          <w14:schemeClr w14:val="tx1"/>
                        </w14:solidFill>
                      </w14:textFill>
                    </w:rPr>
                    <w:t>长</w:t>
                  </w:r>
                  <w:r>
                    <w:rPr>
                      <w:rFonts w:hint="eastAsia"/>
                      <w:color w:val="000000" w:themeColor="text1"/>
                      <w:szCs w:val="21"/>
                      <w14:textFill>
                        <w14:solidFill>
                          <w14:schemeClr w14:val="tx1"/>
                        </w14:solidFill>
                      </w14:textFill>
                    </w:rPr>
                    <w:t>96m、</w:t>
                  </w:r>
                  <w:r>
                    <w:rPr>
                      <w:color w:val="000000" w:themeColor="text1"/>
                      <w:szCs w:val="21"/>
                      <w14:textFill>
                        <w14:solidFill>
                          <w14:schemeClr w14:val="tx1"/>
                        </w14:solidFill>
                      </w14:textFill>
                    </w:rPr>
                    <w:t>宽</w:t>
                  </w:r>
                  <w:r>
                    <w:rPr>
                      <w:rFonts w:hint="eastAsia"/>
                      <w:color w:val="000000" w:themeColor="text1"/>
                      <w:szCs w:val="21"/>
                      <w14:textFill>
                        <w14:solidFill>
                          <w14:schemeClr w14:val="tx1"/>
                        </w14:solidFill>
                      </w14:textFill>
                    </w:rPr>
                    <w:t>21m、</w:t>
                  </w:r>
                  <w:r>
                    <w:rPr>
                      <w:color w:val="000000" w:themeColor="text1"/>
                      <w:szCs w:val="21"/>
                      <w14:textFill>
                        <w14:solidFill>
                          <w14:schemeClr w14:val="tx1"/>
                        </w14:solidFill>
                      </w14:textFill>
                    </w:rPr>
                    <w:t>高</w:t>
                  </w:r>
                  <w:r>
                    <w:rPr>
                      <w:rFonts w:hint="eastAsia"/>
                      <w:color w:val="000000" w:themeColor="text1"/>
                      <w:szCs w:val="21"/>
                      <w14:textFill>
                        <w14:solidFill>
                          <w14:schemeClr w14:val="tx1"/>
                        </w14:solidFill>
                      </w14:textFill>
                    </w:rPr>
                    <w:t>9.5m</w:t>
                  </w:r>
                  <w:r>
                    <w:rPr>
                      <w:color w:val="000000" w:themeColor="text1"/>
                      <w:szCs w:val="21"/>
                      <w14:textFill>
                        <w14:solidFill>
                          <w14:schemeClr w14:val="tx1"/>
                        </w14:solidFill>
                      </w14:textFill>
                    </w:rPr>
                    <w:t>，占地面积</w:t>
                  </w:r>
                  <w:r>
                    <w:rPr>
                      <w:rFonts w:hint="eastAsia"/>
                      <w:color w:val="000000" w:themeColor="text1"/>
                      <w:szCs w:val="21"/>
                      <w14:textFill>
                        <w14:solidFill>
                          <w14:schemeClr w14:val="tx1"/>
                        </w14:solidFill>
                      </w14:textFill>
                    </w:rPr>
                    <w:t>2016m</w:t>
                  </w:r>
                  <w:r>
                    <w:rPr>
                      <w:rFonts w:hint="eastAsia"/>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
                      <w:color w:val="000000" w:themeColor="text1"/>
                      <w:szCs w:val="21"/>
                      <w14:textFill>
                        <w14:solidFill>
                          <w14:schemeClr w14:val="tx1"/>
                        </w14:solidFill>
                      </w14:textFill>
                    </w:rPr>
                  </w:pPr>
                </w:p>
              </w:tc>
              <w:tc>
                <w:tcPr>
                  <w:tcW w:w="1807" w:type="pct"/>
                  <w:gridSpan w:val="2"/>
                  <w:vMerge w:val="continue"/>
                  <w:vAlign w:val="center"/>
                </w:tcPr>
                <w:p>
                  <w:pPr>
                    <w:jc w:val="center"/>
                    <w:rPr>
                      <w:bCs/>
                      <w:color w:val="000000" w:themeColor="text1"/>
                      <w:szCs w:val="21"/>
                      <w14:textFill>
                        <w14:solidFill>
                          <w14:schemeClr w14:val="tx1"/>
                        </w14:solidFill>
                      </w14:textFill>
                    </w:rPr>
                  </w:pPr>
                </w:p>
              </w:tc>
              <w:tc>
                <w:tcPr>
                  <w:tcW w:w="2723" w:type="pct"/>
                  <w:vAlign w:val="center"/>
                </w:tcPr>
                <w:p>
                  <w:pPr>
                    <w:jc w:val="center"/>
                    <w:rPr>
                      <w:color w:val="000000" w:themeColor="text1"/>
                      <w:szCs w:val="21"/>
                      <w:vertAlign w:val="superscript"/>
                      <w14:textFill>
                        <w14:solidFill>
                          <w14:schemeClr w14:val="tx1"/>
                        </w14:solidFill>
                      </w14:textFill>
                    </w:rPr>
                  </w:pPr>
                  <w:r>
                    <w:rPr>
                      <w:rFonts w:hint="eastAsia"/>
                      <w:color w:val="000000" w:themeColor="text1"/>
                      <w:szCs w:val="21"/>
                      <w14:textFill>
                        <w14:solidFill>
                          <w14:schemeClr w14:val="tx1"/>
                        </w14:solidFill>
                      </w14:textFill>
                    </w:rPr>
                    <w:t>机加工及后处理车间：一层：</w:t>
                  </w:r>
                  <w:r>
                    <w:rPr>
                      <w:color w:val="000000" w:themeColor="text1"/>
                      <w:szCs w:val="21"/>
                      <w14:textFill>
                        <w14:solidFill>
                          <w14:schemeClr w14:val="tx1"/>
                        </w14:solidFill>
                      </w14:textFill>
                    </w:rPr>
                    <w:t>长</w:t>
                  </w:r>
                  <w:r>
                    <w:rPr>
                      <w:rFonts w:hint="eastAsia"/>
                      <w:color w:val="000000" w:themeColor="text1"/>
                      <w:szCs w:val="21"/>
                      <w14:textFill>
                        <w14:solidFill>
                          <w14:schemeClr w14:val="tx1"/>
                        </w14:solidFill>
                      </w14:textFill>
                    </w:rPr>
                    <w:t>66m、</w:t>
                  </w:r>
                  <w:r>
                    <w:rPr>
                      <w:color w:val="000000" w:themeColor="text1"/>
                      <w:szCs w:val="21"/>
                      <w14:textFill>
                        <w14:solidFill>
                          <w14:schemeClr w14:val="tx1"/>
                        </w14:solidFill>
                      </w14:textFill>
                    </w:rPr>
                    <w:t>宽</w:t>
                  </w:r>
                  <w:r>
                    <w:rPr>
                      <w:rFonts w:hint="eastAsia"/>
                      <w:color w:val="000000" w:themeColor="text1"/>
                      <w:szCs w:val="21"/>
                      <w14:textFill>
                        <w14:solidFill>
                          <w14:schemeClr w14:val="tx1"/>
                        </w14:solidFill>
                      </w14:textFill>
                    </w:rPr>
                    <w:t>45m、</w:t>
                  </w:r>
                  <w:r>
                    <w:rPr>
                      <w:color w:val="000000" w:themeColor="text1"/>
                      <w:szCs w:val="21"/>
                      <w14:textFill>
                        <w14:solidFill>
                          <w14:schemeClr w14:val="tx1"/>
                        </w14:solidFill>
                      </w14:textFill>
                    </w:rPr>
                    <w:t>高</w:t>
                  </w:r>
                  <w:r>
                    <w:rPr>
                      <w:rFonts w:hint="eastAsia"/>
                      <w:color w:val="000000" w:themeColor="text1"/>
                      <w:szCs w:val="21"/>
                      <w14:textFill>
                        <w14:solidFill>
                          <w14:schemeClr w14:val="tx1"/>
                        </w14:solidFill>
                      </w14:textFill>
                    </w:rPr>
                    <w:t>9.0m</w:t>
                  </w:r>
                  <w:r>
                    <w:rPr>
                      <w:color w:val="000000" w:themeColor="text1"/>
                      <w:szCs w:val="21"/>
                      <w14:textFill>
                        <w14:solidFill>
                          <w14:schemeClr w14:val="tx1"/>
                        </w14:solidFill>
                      </w14:textFill>
                    </w:rPr>
                    <w:t>，占地面积</w:t>
                  </w:r>
                  <w:r>
                    <w:rPr>
                      <w:rFonts w:hint="eastAsia"/>
                      <w:color w:val="000000" w:themeColor="text1"/>
                      <w:szCs w:val="21"/>
                      <w14:textFill>
                        <w14:solidFill>
                          <w14:schemeClr w14:val="tx1"/>
                        </w14:solidFill>
                      </w14:textFill>
                    </w:rPr>
                    <w:t>2970m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；二层：</w:t>
                  </w:r>
                  <w:r>
                    <w:rPr>
                      <w:color w:val="000000" w:themeColor="text1"/>
                      <w:szCs w:val="21"/>
                      <w14:textFill>
                        <w14:solidFill>
                          <w14:schemeClr w14:val="tx1"/>
                        </w14:solidFill>
                      </w14:textFill>
                    </w:rPr>
                    <w:t>长</w:t>
                  </w:r>
                  <w:r>
                    <w:rPr>
                      <w:rFonts w:hint="eastAsia"/>
                      <w:color w:val="000000" w:themeColor="text1"/>
                      <w:szCs w:val="21"/>
                      <w14:textFill>
                        <w14:solidFill>
                          <w14:schemeClr w14:val="tx1"/>
                        </w14:solidFill>
                      </w14:textFill>
                    </w:rPr>
                    <w:t>66m、</w:t>
                  </w:r>
                  <w:r>
                    <w:rPr>
                      <w:color w:val="000000" w:themeColor="text1"/>
                      <w:szCs w:val="21"/>
                      <w14:textFill>
                        <w14:solidFill>
                          <w14:schemeClr w14:val="tx1"/>
                        </w14:solidFill>
                      </w14:textFill>
                    </w:rPr>
                    <w:t>宽</w:t>
                  </w:r>
                  <w:r>
                    <w:rPr>
                      <w:rFonts w:hint="eastAsia"/>
                      <w:color w:val="000000" w:themeColor="text1"/>
                      <w:szCs w:val="21"/>
                      <w14:textFill>
                        <w14:solidFill>
                          <w14:schemeClr w14:val="tx1"/>
                        </w14:solidFill>
                      </w14:textFill>
                    </w:rPr>
                    <w:t>21m、</w:t>
                  </w:r>
                  <w:r>
                    <w:rPr>
                      <w:color w:val="000000" w:themeColor="text1"/>
                      <w:szCs w:val="21"/>
                      <w14:textFill>
                        <w14:solidFill>
                          <w14:schemeClr w14:val="tx1"/>
                        </w14:solidFill>
                      </w14:textFill>
                    </w:rPr>
                    <w:t>高</w:t>
                  </w:r>
                  <w:r>
                    <w:rPr>
                      <w:rFonts w:hint="eastAsia"/>
                      <w:color w:val="000000" w:themeColor="text1"/>
                      <w:szCs w:val="21"/>
                      <w14:textFill>
                        <w14:solidFill>
                          <w14:schemeClr w14:val="tx1"/>
                        </w14:solidFill>
                      </w14:textFill>
                    </w:rPr>
                    <w:t>8.0m</w:t>
                  </w:r>
                  <w:r>
                    <w:rPr>
                      <w:color w:val="000000" w:themeColor="text1"/>
                      <w:szCs w:val="21"/>
                      <w14:textFill>
                        <w14:solidFill>
                          <w14:schemeClr w14:val="tx1"/>
                        </w14:solidFill>
                      </w14:textFill>
                    </w:rPr>
                    <w:t>，占地面积</w:t>
                  </w:r>
                  <w:r>
                    <w:rPr>
                      <w:rFonts w:hint="eastAsia"/>
                      <w:color w:val="000000" w:themeColor="text1"/>
                      <w:szCs w:val="21"/>
                      <w14:textFill>
                        <w14:solidFill>
                          <w14:schemeClr w14:val="tx1"/>
                        </w14:solidFill>
                      </w14:textFill>
                    </w:rPr>
                    <w:t>1386m</w:t>
                  </w:r>
                  <w:r>
                    <w:rPr>
                      <w:rFonts w:hint="eastAsia"/>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辅助工程</w:t>
                  </w:r>
                </w:p>
              </w:tc>
              <w:tc>
                <w:tcPr>
                  <w:tcW w:w="1807" w:type="pct"/>
                  <w:gridSpan w:val="2"/>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门卫</w:t>
                  </w:r>
                </w:p>
              </w:tc>
              <w:tc>
                <w:tcPr>
                  <w:tcW w:w="2723"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1F，H=9.15</w:t>
                  </w:r>
                  <w:r>
                    <w:rPr>
                      <w:rStyle w:val="25"/>
                      <w:color w:val="000000" w:themeColor="text1"/>
                      <w:kern w:val="0"/>
                      <w:szCs w:val="20"/>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办公区</w:t>
                  </w:r>
                </w:p>
              </w:tc>
              <w:tc>
                <w:tcPr>
                  <w:tcW w:w="2723" w:type="pct"/>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长</w:t>
                  </w:r>
                  <w:r>
                    <w:rPr>
                      <w:rFonts w:hint="eastAsia"/>
                      <w:color w:val="000000" w:themeColor="text1"/>
                      <w:szCs w:val="21"/>
                      <w14:textFill>
                        <w14:solidFill>
                          <w14:schemeClr w14:val="tx1"/>
                        </w14:solidFill>
                      </w14:textFill>
                    </w:rPr>
                    <w:t>15m、</w:t>
                  </w:r>
                  <w:r>
                    <w:rPr>
                      <w:color w:val="000000" w:themeColor="text1"/>
                      <w:szCs w:val="21"/>
                      <w14:textFill>
                        <w14:solidFill>
                          <w14:schemeClr w14:val="tx1"/>
                        </w14:solidFill>
                      </w14:textFill>
                    </w:rPr>
                    <w:t>宽</w:t>
                  </w:r>
                  <w:r>
                    <w:rPr>
                      <w:rFonts w:hint="eastAsia"/>
                      <w:color w:val="000000" w:themeColor="text1"/>
                      <w:szCs w:val="21"/>
                      <w14:textFill>
                        <w14:solidFill>
                          <w14:schemeClr w14:val="tx1"/>
                        </w14:solidFill>
                      </w14:textFill>
                    </w:rPr>
                    <w:t>40m、</w:t>
                  </w:r>
                  <w:r>
                    <w:rPr>
                      <w:color w:val="000000" w:themeColor="text1"/>
                      <w:szCs w:val="21"/>
                      <w14:textFill>
                        <w14:solidFill>
                          <w14:schemeClr w14:val="tx1"/>
                        </w14:solidFill>
                      </w14:textFill>
                    </w:rPr>
                    <w:t>高</w:t>
                  </w:r>
                  <w:r>
                    <w:rPr>
                      <w:rFonts w:hint="eastAsia"/>
                      <w:color w:val="000000" w:themeColor="text1"/>
                      <w:szCs w:val="21"/>
                      <w14:textFill>
                        <w14:solidFill>
                          <w14:schemeClr w14:val="tx1"/>
                        </w14:solidFill>
                      </w14:textFill>
                    </w:rPr>
                    <w:t>9.0m，占地面积600m</w:t>
                  </w:r>
                  <w:r>
                    <w:rPr>
                      <w:rFonts w:hint="eastAsia"/>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贮运工程</w:t>
                  </w: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lang w:val="zh-CN"/>
                      <w14:textFill>
                        <w14:solidFill>
                          <w14:schemeClr w14:val="tx1"/>
                        </w14:solidFill>
                      </w14:textFill>
                    </w:rPr>
                    <w:t>运输</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原料暂存区</w:t>
                  </w:r>
                </w:p>
              </w:tc>
              <w:tc>
                <w:tcPr>
                  <w:tcW w:w="2723" w:type="pct"/>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铸造车间西北侧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成品暂存区</w:t>
                  </w:r>
                </w:p>
              </w:tc>
              <w:tc>
                <w:tcPr>
                  <w:tcW w:w="2723" w:type="pct"/>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机加工车间西南侧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公用工程</w:t>
                  </w: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给水</w:t>
                  </w:r>
                </w:p>
              </w:tc>
              <w:tc>
                <w:tcPr>
                  <w:tcW w:w="2723" w:type="pct"/>
                  <w:vAlign w:val="center"/>
                </w:tcPr>
                <w:p>
                  <w:pPr>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项目供水由市政供水管网提供，用水量为</w:t>
                  </w:r>
                  <w:r>
                    <w:rPr>
                      <w:rFonts w:hint="eastAsia"/>
                      <w:bCs/>
                      <w:color w:val="000000" w:themeColor="text1"/>
                      <w:szCs w:val="21"/>
                      <w14:textFill>
                        <w14:solidFill>
                          <w14:schemeClr w14:val="tx1"/>
                        </w14:solidFill>
                      </w14:textFill>
                    </w:rPr>
                    <w:t>7184</w:t>
                  </w:r>
                  <w:r>
                    <w:rPr>
                      <w:bCs/>
                      <w:color w:val="000000" w:themeColor="text1"/>
                      <w:szCs w:val="21"/>
                      <w14:textFill>
                        <w14:solidFill>
                          <w14:schemeClr w14:val="tx1"/>
                        </w14:solidFill>
                      </w14:textFill>
                    </w:rPr>
                    <w:t>m</w:t>
                  </w:r>
                  <w:r>
                    <w:rPr>
                      <w:rFonts w:hint="eastAsia"/>
                      <w:bCs/>
                      <w:color w:val="000000" w:themeColor="text1"/>
                      <w:szCs w:val="21"/>
                      <w:vertAlign w:val="superscript"/>
                      <w14:textFill>
                        <w14:solidFill>
                          <w14:schemeClr w14:val="tx1"/>
                        </w14:solidFill>
                      </w14:textFill>
                    </w:rPr>
                    <w:t>3</w:t>
                  </w:r>
                  <w:r>
                    <w:rPr>
                      <w:bCs/>
                      <w:color w:val="000000" w:themeColor="text1"/>
                      <w:szCs w:val="21"/>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排水</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供电</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市政供电管网，</w:t>
                  </w:r>
                  <w:r>
                    <w:rPr>
                      <w:rFonts w:hint="eastAsia"/>
                      <w:bCs/>
                      <w:color w:val="000000" w:themeColor="text1"/>
                      <w:szCs w:val="21"/>
                      <w14:textFill>
                        <w14:solidFill>
                          <w14:schemeClr w14:val="tx1"/>
                        </w14:solidFill>
                      </w14:textFill>
                    </w:rPr>
                    <w:t>200</w:t>
                  </w:r>
                  <w:r>
                    <w:rPr>
                      <w:bCs/>
                      <w:color w:val="000000" w:themeColor="text1"/>
                      <w:szCs w:val="21"/>
                      <w14:textFill>
                        <w14:solidFill>
                          <w14:schemeClr w14:val="tx1"/>
                        </w14:solidFill>
                      </w14:textFill>
                    </w:rPr>
                    <w:t>万KWh/a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天然气</w:t>
                  </w:r>
                </w:p>
              </w:tc>
              <w:tc>
                <w:tcPr>
                  <w:tcW w:w="2723" w:type="pct"/>
                  <w:vAlign w:val="center"/>
                </w:tcPr>
                <w:p>
                  <w:pPr>
                    <w:wordWrap w:val="0"/>
                    <w:topLinePun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年用量51万m</w:t>
                  </w:r>
                  <w:r>
                    <w:rPr>
                      <w:rFonts w:hint="eastAsia"/>
                      <w:bCs/>
                      <w:color w:val="000000" w:themeColor="text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环保工程</w:t>
                  </w:r>
                </w:p>
              </w:tc>
              <w:tc>
                <w:tcPr>
                  <w:tcW w:w="521"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废气处理</w:t>
                  </w:r>
                </w:p>
              </w:tc>
              <w:tc>
                <w:tcPr>
                  <w:tcW w:w="128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熔化</w:t>
                  </w:r>
                  <w:r>
                    <w:rPr>
                      <w:rFonts w:hint="eastAsia"/>
                      <w:bCs/>
                      <w:color w:val="000000" w:themeColor="text1"/>
                      <w:kern w:val="0"/>
                      <w:szCs w:val="21"/>
                      <w14:textFill>
                        <w14:solidFill>
                          <w14:schemeClr w14:val="tx1"/>
                        </w14:solidFill>
                      </w14:textFill>
                    </w:rPr>
                    <w:t>、保温、除渣、</w:t>
                  </w:r>
                  <w:r>
                    <w:rPr>
                      <w:rFonts w:hint="eastAsia"/>
                      <w:color w:val="000000" w:themeColor="text1"/>
                      <w:kern w:val="0"/>
                      <w:szCs w:val="21"/>
                      <w:lang w:bidi="ar"/>
                      <w14:textFill>
                        <w14:solidFill>
                          <w14:schemeClr w14:val="tx1"/>
                        </w14:solidFill>
                      </w14:textFill>
                    </w:rPr>
                    <w:t>浇铸</w:t>
                  </w:r>
                </w:p>
              </w:tc>
              <w:tc>
                <w:tcPr>
                  <w:tcW w:w="2723" w:type="pct"/>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碱性喷淋塔+干式过滤+布袋除尘器+二级活性炭</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15m</w:t>
                  </w:r>
                  <w:r>
                    <w:rPr>
                      <w:color w:val="000000" w:themeColor="text1"/>
                      <w:szCs w:val="21"/>
                      <w14:textFill>
                        <w14:solidFill>
                          <w14:schemeClr w14:val="tx1"/>
                        </w14:solidFill>
                      </w14:textFill>
                    </w:rPr>
                    <w:t>排气筒（DA001）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continue"/>
                  <w:vAlign w:val="center"/>
                </w:tcPr>
                <w:p>
                  <w:pPr>
                    <w:wordWrap w:val="0"/>
                    <w:topLinePunct/>
                    <w:jc w:val="center"/>
                    <w:rPr>
                      <w:bCs/>
                      <w:color w:val="000000" w:themeColor="text1"/>
                      <w:szCs w:val="21"/>
                      <w14:textFill>
                        <w14:solidFill>
                          <w14:schemeClr w14:val="tx1"/>
                        </w14:solidFill>
                      </w14:textFill>
                    </w:rPr>
                  </w:pPr>
                </w:p>
              </w:tc>
              <w:tc>
                <w:tcPr>
                  <w:tcW w:w="1286"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制芯、锻造件加热、锻造件热处理有机废气</w:t>
                  </w:r>
                </w:p>
              </w:tc>
              <w:tc>
                <w:tcPr>
                  <w:tcW w:w="2723" w:type="pct"/>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喷淋洗涤塔+干式过滤+布袋除尘器+二级活性炭</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15m</w:t>
                  </w:r>
                  <w:r>
                    <w:rPr>
                      <w:color w:val="000000" w:themeColor="text1"/>
                      <w:szCs w:val="21"/>
                      <w14:textFill>
                        <w14:solidFill>
                          <w14:schemeClr w14:val="tx1"/>
                        </w14:solidFill>
                      </w14:textFill>
                    </w:rPr>
                    <w:t>排气筒（DA002）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continue"/>
                  <w:vAlign w:val="center"/>
                </w:tcPr>
                <w:p>
                  <w:pPr>
                    <w:wordWrap w:val="0"/>
                    <w:topLinePunct/>
                    <w:jc w:val="center"/>
                    <w:rPr>
                      <w:bCs/>
                      <w:color w:val="000000" w:themeColor="text1"/>
                      <w:szCs w:val="21"/>
                      <w14:textFill>
                        <w14:solidFill>
                          <w14:schemeClr w14:val="tx1"/>
                        </w14:solidFill>
                      </w14:textFill>
                    </w:rPr>
                  </w:pPr>
                </w:p>
              </w:tc>
              <w:tc>
                <w:tcPr>
                  <w:tcW w:w="1286"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bCs/>
                      <w:color w:val="000000" w:themeColor="text1"/>
                      <w:kern w:val="0"/>
                      <w:szCs w:val="21"/>
                      <w14:textFill>
                        <w14:solidFill>
                          <w14:schemeClr w14:val="tx1"/>
                        </w14:solidFill>
                      </w14:textFill>
                    </w:rPr>
                    <w:t>铸造件打磨、铸造件抛丸、锻压件抛丸</w:t>
                  </w:r>
                </w:p>
              </w:tc>
              <w:tc>
                <w:tcPr>
                  <w:tcW w:w="2723" w:type="pct"/>
                  <w:vAlign w:val="center"/>
                </w:tcPr>
                <w:p>
                  <w:pPr>
                    <w:widowControl/>
                    <w:jc w:val="center"/>
                    <w:textAlignment w:val="center"/>
                    <w:rPr>
                      <w:color w:val="000000" w:themeColor="text1"/>
                      <w:kern w:val="0"/>
                      <w:szCs w:val="21"/>
                      <w:lang w:bidi="ar"/>
                      <w14:textFill>
                        <w14:solidFill>
                          <w14:schemeClr w14:val="tx1"/>
                        </w14:solidFill>
                      </w14:textFill>
                    </w:rPr>
                  </w:pPr>
                  <w:r>
                    <w:rPr>
                      <w:bCs/>
                      <w:color w:val="000000" w:themeColor="text1"/>
                      <w:szCs w:val="21"/>
                      <w14:textFill>
                        <w14:solidFill>
                          <w14:schemeClr w14:val="tx1"/>
                        </w14:solidFill>
                      </w14:textFill>
                    </w:rPr>
                    <w:t>布袋除尘器</w:t>
                  </w:r>
                  <w:r>
                    <w:rPr>
                      <w:rFonts w:hint="eastAsia"/>
                      <w:bCs/>
                      <w:color w:val="000000" w:themeColor="text1"/>
                      <w:szCs w:val="21"/>
                      <w14:textFill>
                        <w14:solidFill>
                          <w14:schemeClr w14:val="tx1"/>
                        </w14:solidFill>
                      </w14:textFill>
                    </w:rPr>
                    <w:t>+15m排气筒（DA003）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continue"/>
                  <w:vAlign w:val="center"/>
                </w:tcPr>
                <w:p>
                  <w:pPr>
                    <w:wordWrap w:val="0"/>
                    <w:topLinePunct/>
                    <w:jc w:val="center"/>
                    <w:rPr>
                      <w:bCs/>
                      <w:color w:val="000000" w:themeColor="text1"/>
                      <w:szCs w:val="21"/>
                      <w14:textFill>
                        <w14:solidFill>
                          <w14:schemeClr w14:val="tx1"/>
                        </w14:solidFill>
                      </w14:textFill>
                    </w:rPr>
                  </w:pPr>
                </w:p>
              </w:tc>
              <w:tc>
                <w:tcPr>
                  <w:tcW w:w="1286"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szCs w:val="21"/>
                      <w14:textFill>
                        <w14:solidFill>
                          <w14:schemeClr w14:val="tx1"/>
                        </w14:solidFill>
                      </w14:textFill>
                    </w:rPr>
                    <w:t>清洗</w:t>
                  </w:r>
                </w:p>
              </w:tc>
              <w:tc>
                <w:tcPr>
                  <w:tcW w:w="2723"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bCs/>
                      <w:color w:val="000000" w:themeColor="text1"/>
                      <w:szCs w:val="21"/>
                      <w14:textFill>
                        <w14:solidFill>
                          <w14:schemeClr w14:val="tx1"/>
                        </w14:solidFill>
                      </w14:textFill>
                    </w:rPr>
                    <w:t>二级活性炭+15m排气筒（DA004）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continue"/>
                  <w:vAlign w:val="center"/>
                </w:tcPr>
                <w:p>
                  <w:pPr>
                    <w:wordWrap w:val="0"/>
                    <w:topLinePunct/>
                    <w:jc w:val="center"/>
                    <w:rPr>
                      <w:bCs/>
                      <w:color w:val="000000" w:themeColor="text1"/>
                      <w:szCs w:val="21"/>
                      <w14:textFill>
                        <w14:solidFill>
                          <w14:schemeClr w14:val="tx1"/>
                        </w14:solidFill>
                      </w14:textFill>
                    </w:rPr>
                  </w:pPr>
                </w:p>
              </w:tc>
              <w:tc>
                <w:tcPr>
                  <w:tcW w:w="1286"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危废库</w:t>
                  </w:r>
                </w:p>
              </w:tc>
              <w:tc>
                <w:tcPr>
                  <w:tcW w:w="272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二级活性炭</w:t>
                  </w:r>
                  <w:r>
                    <w:rPr>
                      <w:rFonts w:hint="eastAsia"/>
                      <w:color w:val="000000" w:themeColor="text1"/>
                      <w:kern w:val="0"/>
                      <w:szCs w:val="21"/>
                      <w:lang w:bidi="ar"/>
                      <w14:textFill>
                        <w14:solidFill>
                          <w14:schemeClr w14:val="tx1"/>
                        </w14:solidFill>
                      </w14:textFill>
                    </w:rPr>
                    <w:t>+15m</w:t>
                  </w:r>
                  <w:r>
                    <w:rPr>
                      <w:color w:val="000000" w:themeColor="text1"/>
                      <w:kern w:val="0"/>
                      <w:szCs w:val="21"/>
                      <w:lang w:bidi="ar"/>
                      <w14:textFill>
                        <w14:solidFill>
                          <w14:schemeClr w14:val="tx1"/>
                        </w14:solidFill>
                      </w14:textFill>
                    </w:rPr>
                    <w:t>排气筒（DA001）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废水处理</w:t>
                  </w:r>
                </w:p>
              </w:tc>
              <w:tc>
                <w:tcPr>
                  <w:tcW w:w="1286"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生活污水</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化粪池</w:t>
                  </w:r>
                  <w:r>
                    <w:rPr>
                      <w:rFonts w:hint="eastAsia"/>
                      <w:bCs/>
                      <w:color w:val="000000" w:themeColor="text1"/>
                      <w:szCs w:val="21"/>
                      <w14:textFill>
                        <w14:solidFill>
                          <w14:schemeClr w14:val="tx1"/>
                        </w14:solidFill>
                      </w14:textFill>
                    </w:rPr>
                    <w:t>1座</w:t>
                  </w:r>
                  <w:r>
                    <w:rPr>
                      <w:rFonts w:hint="eastAsia"/>
                      <w:color w:val="000000" w:themeColor="text1"/>
                      <w14:textFill>
                        <w14:solidFill>
                          <w14:schemeClr w14:val="tx1"/>
                        </w14:solidFill>
                      </w14:textFill>
                    </w:rPr>
                    <w:t>，依托租赁厂房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restar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固废处置</w:t>
                  </w:r>
                </w:p>
              </w:tc>
              <w:tc>
                <w:tcPr>
                  <w:tcW w:w="1286"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危险废物</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危废暂存间位于</w:t>
                  </w:r>
                  <w:r>
                    <w:rPr>
                      <w:rFonts w:hint="eastAsia"/>
                      <w:bCs/>
                      <w:color w:val="000000" w:themeColor="text1"/>
                      <w:szCs w:val="21"/>
                      <w14:textFill>
                        <w14:solidFill>
                          <w14:schemeClr w14:val="tx1"/>
                        </w14:solidFill>
                      </w14:textFill>
                    </w:rPr>
                    <w:t>厂区西北侧</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1座，</w:t>
                  </w:r>
                  <w:r>
                    <w:rPr>
                      <w:bCs/>
                      <w:color w:val="000000" w:themeColor="text1"/>
                      <w:szCs w:val="21"/>
                      <w14:textFill>
                        <w14:solidFill>
                          <w14:schemeClr w14:val="tx1"/>
                        </w14:solidFill>
                      </w14:textFill>
                    </w:rPr>
                    <w:t>占地面积为</w:t>
                  </w:r>
                  <w:r>
                    <w:rPr>
                      <w:rFonts w:hint="eastAsia"/>
                      <w:bCs/>
                      <w:color w:val="000000" w:themeColor="text1"/>
                      <w:szCs w:val="21"/>
                      <w14:textFill>
                        <w14:solidFill>
                          <w14:schemeClr w14:val="tx1"/>
                        </w14:solidFill>
                      </w14:textFill>
                    </w:rPr>
                    <w:t>15</w:t>
                  </w:r>
                  <w:r>
                    <w:rPr>
                      <w:bCs/>
                      <w:color w:val="000000" w:themeColor="text1"/>
                      <w:szCs w:val="21"/>
                      <w14:textFill>
                        <w14:solidFill>
                          <w14:schemeClr w14:val="tx1"/>
                        </w14:solidFill>
                      </w14:textFill>
                    </w:rPr>
                    <w:t>m</w:t>
                  </w:r>
                  <w:r>
                    <w:rPr>
                      <w:bCs/>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521" w:type="pct"/>
                  <w:vMerge w:val="continue"/>
                  <w:vAlign w:val="center"/>
                </w:tcPr>
                <w:p>
                  <w:pPr>
                    <w:wordWrap w:val="0"/>
                    <w:topLinePunct/>
                    <w:jc w:val="center"/>
                    <w:rPr>
                      <w:bCs/>
                      <w:color w:val="000000" w:themeColor="text1"/>
                      <w:szCs w:val="21"/>
                      <w14:textFill>
                        <w14:solidFill>
                          <w14:schemeClr w14:val="tx1"/>
                        </w14:solidFill>
                      </w14:textFill>
                    </w:rPr>
                  </w:pPr>
                </w:p>
              </w:tc>
              <w:tc>
                <w:tcPr>
                  <w:tcW w:w="1286"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一般固废</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一般工业固废暂存区位于</w:t>
                  </w:r>
                  <w:r>
                    <w:rPr>
                      <w:rFonts w:hint="eastAsia"/>
                      <w:bCs/>
                      <w:color w:val="000000" w:themeColor="text1"/>
                      <w:szCs w:val="21"/>
                      <w14:textFill>
                        <w14:solidFill>
                          <w14:schemeClr w14:val="tx1"/>
                        </w14:solidFill>
                      </w14:textFill>
                    </w:rPr>
                    <w:t>厂区西北侧</w:t>
                  </w:r>
                  <w:r>
                    <w:rPr>
                      <w:bCs/>
                      <w:color w:val="000000" w:themeColor="text1"/>
                      <w:szCs w:val="21"/>
                      <w14:textFill>
                        <w14:solidFill>
                          <w14:schemeClr w14:val="tx1"/>
                        </w14:solidFill>
                      </w14:textFill>
                    </w:rPr>
                    <w:t>，1座，占地面积为</w:t>
                  </w:r>
                  <w:r>
                    <w:rPr>
                      <w:rFonts w:hint="eastAsia"/>
                      <w:bCs/>
                      <w:color w:val="000000" w:themeColor="text1"/>
                      <w:szCs w:val="21"/>
                      <w14:textFill>
                        <w14:solidFill>
                          <w14:schemeClr w14:val="tx1"/>
                        </w14:solidFill>
                      </w14:textFill>
                    </w:rPr>
                    <w:t>40</w:t>
                  </w:r>
                  <w:r>
                    <w:rPr>
                      <w:bCs/>
                      <w:color w:val="000000" w:themeColor="text1"/>
                      <w:szCs w:val="21"/>
                      <w14:textFill>
                        <w14:solidFill>
                          <w14:schemeClr w14:val="tx1"/>
                        </w14:solidFill>
                      </w14:textFill>
                    </w:rPr>
                    <w:t>m</w:t>
                  </w:r>
                  <w:r>
                    <w:rPr>
                      <w:bCs/>
                      <w:color w:val="000000" w:themeColor="text1"/>
                      <w:szCs w:val="21"/>
                      <w:vertAlign w:val="superscript"/>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ordWrap w:val="0"/>
                    <w:topLinePunct/>
                    <w:jc w:val="center"/>
                    <w:rPr>
                      <w:bCs/>
                      <w:color w:val="000000" w:themeColor="text1"/>
                      <w:szCs w:val="21"/>
                      <w14:textFill>
                        <w14:solidFill>
                          <w14:schemeClr w14:val="tx1"/>
                        </w14:solidFill>
                      </w14:textFill>
                    </w:rPr>
                  </w:pPr>
                </w:p>
              </w:tc>
              <w:tc>
                <w:tcPr>
                  <w:tcW w:w="1807" w:type="pct"/>
                  <w:gridSpan w:val="2"/>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噪声</w:t>
                  </w:r>
                </w:p>
              </w:tc>
              <w:tc>
                <w:tcPr>
                  <w:tcW w:w="2723" w:type="pct"/>
                  <w:vAlign w:val="center"/>
                </w:tcPr>
                <w:p>
                  <w:pPr>
                    <w:wordWrap w:val="0"/>
                    <w:topLinePun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合理布局高噪声设备，对高噪声设备采取基础减振、厂房隔声等措施。</w:t>
                  </w:r>
                </w:p>
              </w:tc>
            </w:tr>
          </w:tbl>
          <w:p>
            <w:pPr>
              <w:adjustRightInd w:val="0"/>
              <w:spacing w:line="360" w:lineRule="auto"/>
              <w:ind w:firstLine="482" w:firstLineChars="200"/>
              <w:jc w:val="left"/>
              <w:rPr>
                <w:bCs/>
                <w:color w:val="000000" w:themeColor="text1"/>
                <w:sz w:val="24"/>
                <w14:textFill>
                  <w14:solidFill>
                    <w14:schemeClr w14:val="tx1"/>
                  </w14:solidFill>
                </w14:textFill>
              </w:rPr>
            </w:pPr>
            <w:r>
              <w:rPr>
                <w:b/>
                <w:color w:val="000000" w:themeColor="text1"/>
                <w:sz w:val="24"/>
                <w14:textFill>
                  <w14:solidFill>
                    <w14:schemeClr w14:val="tx1"/>
                  </w14:solidFill>
                </w14:textFill>
              </w:rPr>
              <w:t>4、项目主要生产设备</w:t>
            </w:r>
          </w:p>
          <w:p>
            <w:pPr>
              <w:adjustRightInd w:val="0"/>
              <w:spacing w:line="360" w:lineRule="auto"/>
              <w:ind w:firstLine="480" w:firstLineChars="200"/>
              <w:jc w:val="left"/>
              <w:rPr>
                <w:b/>
                <w:color w:val="000000" w:themeColor="text1"/>
                <w:szCs w:val="21"/>
                <w14:textFill>
                  <w14:solidFill>
                    <w14:schemeClr w14:val="tx1"/>
                  </w14:solidFill>
                </w14:textFill>
              </w:rPr>
            </w:pPr>
            <w:r>
              <w:rPr>
                <w:bCs/>
                <w:color w:val="000000" w:themeColor="text1"/>
                <w:sz w:val="24"/>
                <w14:textFill>
                  <w14:solidFill>
                    <w14:schemeClr w14:val="tx1"/>
                  </w14:solidFill>
                </w14:textFill>
              </w:rPr>
              <w:t>项目主要生产设施和参数详见下表：</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表2-3  项目主要生产设备一览表</w:t>
            </w:r>
          </w:p>
          <w:tbl>
            <w:tblPr>
              <w:tblStyle w:val="19"/>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405"/>
              <w:gridCol w:w="2526"/>
              <w:gridCol w:w="1435"/>
              <w:gridCol w:w="8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513" w:type="pct"/>
                  <w:vAlign w:val="center"/>
                </w:tcPr>
                <w:p>
                  <w:pPr>
                    <w:wordWrap w:val="0"/>
                    <w:topLinePunct/>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设备名称</w:t>
                  </w:r>
                </w:p>
              </w:tc>
              <w:tc>
                <w:tcPr>
                  <w:tcW w:w="1589" w:type="pct"/>
                  <w:vAlign w:val="center"/>
                </w:tcPr>
                <w:p>
                  <w:pPr>
                    <w:wordWrap w:val="0"/>
                    <w:topLinePunct/>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规格、型号</w:t>
                  </w:r>
                </w:p>
              </w:tc>
              <w:tc>
                <w:tcPr>
                  <w:tcW w:w="903" w:type="pct"/>
                  <w:vAlign w:val="center"/>
                </w:tcPr>
                <w:p>
                  <w:pPr>
                    <w:wordWrap w:val="0"/>
                    <w:topLinePunct/>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单位（台/套）</w:t>
                  </w:r>
                </w:p>
              </w:tc>
              <w:tc>
                <w:tcPr>
                  <w:tcW w:w="526" w:type="pct"/>
                  <w:vAlign w:val="center"/>
                </w:tcPr>
                <w:p>
                  <w:pPr>
                    <w:wordWrap w:val="0"/>
                    <w:topLinePunct/>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p>
              </w:tc>
              <w:tc>
                <w:tcPr>
                  <w:tcW w:w="1513" w:type="pct"/>
                  <w:vAlign w:val="center"/>
                </w:tcPr>
                <w:p>
                  <w:pPr>
                    <w:wordWrap w:val="0"/>
                    <w:topLinePunct/>
                    <w:adjustRightInd w:val="0"/>
                    <w:snapToGrid w:val="0"/>
                    <w:jc w:val="center"/>
                    <w:rPr>
                      <w:szCs w:val="21"/>
                    </w:rPr>
                  </w:pPr>
                  <w:r>
                    <w:rPr>
                      <w:szCs w:val="21"/>
                    </w:rPr>
                    <w:t>壳芯机</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restart"/>
                  <w:vAlign w:val="center"/>
                </w:tcPr>
                <w:p>
                  <w:pPr>
                    <w:wordWrap w:val="0"/>
                    <w:topLinePunct/>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铸造车间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p>
              </w:tc>
              <w:tc>
                <w:tcPr>
                  <w:tcW w:w="1513" w:type="pct"/>
                  <w:vAlign w:val="center"/>
                </w:tcPr>
                <w:p>
                  <w:pPr>
                    <w:wordWrap w:val="0"/>
                    <w:topLinePunct/>
                    <w:adjustRightInd w:val="0"/>
                    <w:snapToGrid w:val="0"/>
                    <w:jc w:val="center"/>
                    <w:rPr>
                      <w:szCs w:val="21"/>
                    </w:rPr>
                  </w:pPr>
                  <w:r>
                    <w:rPr>
                      <w:szCs w:val="21"/>
                    </w:rPr>
                    <w:t>重力铸造机（半自动）</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10</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p>
              </w:tc>
              <w:tc>
                <w:tcPr>
                  <w:tcW w:w="1513" w:type="pct"/>
                  <w:vAlign w:val="center"/>
                </w:tcPr>
                <w:p>
                  <w:pPr>
                    <w:wordWrap w:val="0"/>
                    <w:topLinePunct/>
                    <w:adjustRightInd w:val="0"/>
                    <w:snapToGrid w:val="0"/>
                    <w:jc w:val="center"/>
                    <w:rPr>
                      <w:szCs w:val="21"/>
                    </w:rPr>
                  </w:pPr>
                  <w:r>
                    <w:rPr>
                      <w:szCs w:val="21"/>
                    </w:rPr>
                    <w:t>重力铸造机（自动化）</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16</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4</w:t>
                  </w:r>
                </w:p>
              </w:tc>
              <w:tc>
                <w:tcPr>
                  <w:tcW w:w="1513" w:type="pct"/>
                  <w:vAlign w:val="center"/>
                </w:tcPr>
                <w:p>
                  <w:pPr>
                    <w:wordWrap w:val="0"/>
                    <w:topLinePunct/>
                    <w:adjustRightInd w:val="0"/>
                    <w:snapToGrid w:val="0"/>
                    <w:jc w:val="center"/>
                    <w:rPr>
                      <w:szCs w:val="21"/>
                    </w:rPr>
                  </w:pPr>
                  <w:r>
                    <w:rPr>
                      <w:szCs w:val="21"/>
                    </w:rPr>
                    <w:t>双室低压铸造机</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5</w:t>
                  </w:r>
                </w:p>
              </w:tc>
              <w:tc>
                <w:tcPr>
                  <w:tcW w:w="1513" w:type="pct"/>
                  <w:vAlign w:val="center"/>
                </w:tcPr>
                <w:p>
                  <w:pPr>
                    <w:wordWrap w:val="0"/>
                    <w:topLinePunct/>
                    <w:adjustRightInd w:val="0"/>
                    <w:snapToGrid w:val="0"/>
                    <w:jc w:val="center"/>
                    <w:rPr>
                      <w:szCs w:val="21"/>
                    </w:rPr>
                  </w:pPr>
                  <w:r>
                    <w:rPr>
                      <w:szCs w:val="21"/>
                    </w:rPr>
                    <w:t>天然气集中熔铝炉</w:t>
                  </w:r>
                </w:p>
              </w:tc>
              <w:tc>
                <w:tcPr>
                  <w:tcW w:w="1589" w:type="pct"/>
                  <w:vAlign w:val="center"/>
                </w:tcPr>
                <w:p>
                  <w:pPr>
                    <w:topLinePunct/>
                    <w:adjustRightInd w:val="0"/>
                    <w:snapToGrid w:val="0"/>
                    <w:jc w:val="center"/>
                    <w:rPr>
                      <w:szCs w:val="21"/>
                    </w:rPr>
                  </w:pPr>
                  <w:r>
                    <w:rPr>
                      <w:szCs w:val="21"/>
                    </w:rPr>
                    <w:t>铝合金快速集中熔化炉</w:t>
                  </w:r>
                  <w:r>
                    <w:rPr>
                      <w:rFonts w:hint="eastAsia"/>
                      <w:szCs w:val="21"/>
                    </w:rPr>
                    <w:t>FRM-750kg（天然气加热）</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6</w:t>
                  </w:r>
                </w:p>
              </w:tc>
              <w:tc>
                <w:tcPr>
                  <w:tcW w:w="1513" w:type="pct"/>
                  <w:vAlign w:val="center"/>
                </w:tcPr>
                <w:p>
                  <w:pPr>
                    <w:wordWrap w:val="0"/>
                    <w:topLinePunct/>
                    <w:adjustRightInd w:val="0"/>
                    <w:snapToGrid w:val="0"/>
                    <w:jc w:val="center"/>
                    <w:rPr>
                      <w:szCs w:val="21"/>
                    </w:rPr>
                  </w:pPr>
                  <w:r>
                    <w:rPr>
                      <w:szCs w:val="21"/>
                    </w:rPr>
                    <w:t>压铸机</w:t>
                  </w:r>
                </w:p>
              </w:tc>
              <w:tc>
                <w:tcPr>
                  <w:tcW w:w="1589" w:type="pct"/>
                  <w:vAlign w:val="center"/>
                </w:tcPr>
                <w:p>
                  <w:pPr>
                    <w:topLinePunct/>
                    <w:adjustRightInd w:val="0"/>
                    <w:snapToGrid w:val="0"/>
                    <w:jc w:val="center"/>
                    <w:rPr>
                      <w:szCs w:val="21"/>
                    </w:rPr>
                  </w:pPr>
                  <w:r>
                    <w:rPr>
                      <w:rFonts w:hint="eastAsia"/>
                      <w:szCs w:val="21"/>
                    </w:rPr>
                    <w:t>280/400/630/800吨</w:t>
                  </w:r>
                </w:p>
              </w:tc>
              <w:tc>
                <w:tcPr>
                  <w:tcW w:w="903" w:type="pct"/>
                  <w:vAlign w:val="center"/>
                </w:tcPr>
                <w:p>
                  <w:pPr>
                    <w:wordWrap w:val="0"/>
                    <w:topLinePunct/>
                    <w:adjustRightInd w:val="0"/>
                    <w:snapToGrid w:val="0"/>
                    <w:jc w:val="center"/>
                    <w:rPr>
                      <w:szCs w:val="21"/>
                    </w:rPr>
                  </w:pPr>
                  <w:r>
                    <w:rPr>
                      <w:rFonts w:hint="eastAsia"/>
                      <w:szCs w:val="21"/>
                    </w:rPr>
                    <w:t>5</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7</w:t>
                  </w:r>
                </w:p>
              </w:tc>
              <w:tc>
                <w:tcPr>
                  <w:tcW w:w="1513" w:type="pct"/>
                  <w:vAlign w:val="center"/>
                </w:tcPr>
                <w:p>
                  <w:pPr>
                    <w:wordWrap w:val="0"/>
                    <w:topLinePunct/>
                    <w:adjustRightInd w:val="0"/>
                    <w:snapToGrid w:val="0"/>
                    <w:jc w:val="center"/>
                    <w:rPr>
                      <w:szCs w:val="21"/>
                    </w:rPr>
                  </w:pPr>
                  <w:r>
                    <w:rPr>
                      <w:szCs w:val="21"/>
                    </w:rPr>
                    <w:t>天然气熔铝炉</w:t>
                  </w:r>
                </w:p>
              </w:tc>
              <w:tc>
                <w:tcPr>
                  <w:tcW w:w="1589" w:type="pct"/>
                  <w:vAlign w:val="center"/>
                </w:tcPr>
                <w:p>
                  <w:pPr>
                    <w:wordWrap w:val="0"/>
                    <w:topLinePunct/>
                    <w:adjustRightInd w:val="0"/>
                    <w:snapToGrid w:val="0"/>
                    <w:jc w:val="center"/>
                    <w:rPr>
                      <w:szCs w:val="21"/>
                    </w:rPr>
                  </w:pPr>
                  <w:r>
                    <w:rPr>
                      <w:rFonts w:hint="eastAsia"/>
                      <w:szCs w:val="21"/>
                    </w:rPr>
                    <w:t>双蓄热天燃气坩埚炉</w:t>
                  </w:r>
                </w:p>
                <w:p>
                  <w:pPr>
                    <w:wordWrap w:val="0"/>
                    <w:topLinePunct/>
                    <w:adjustRightInd w:val="0"/>
                    <w:snapToGrid w:val="0"/>
                    <w:jc w:val="center"/>
                    <w:rPr>
                      <w:szCs w:val="21"/>
                    </w:rPr>
                  </w:pPr>
                  <w:r>
                    <w:rPr>
                      <w:szCs w:val="21"/>
                    </w:rPr>
                    <w:t>ZYST-4</w:t>
                  </w:r>
                  <w:r>
                    <w:rPr>
                      <w:rFonts w:hint="eastAsia"/>
                      <w:szCs w:val="21"/>
                    </w:rPr>
                    <w:t>00kg</w:t>
                  </w:r>
                </w:p>
              </w:tc>
              <w:tc>
                <w:tcPr>
                  <w:tcW w:w="903" w:type="pct"/>
                  <w:vAlign w:val="center"/>
                </w:tcPr>
                <w:p>
                  <w:pPr>
                    <w:wordWrap w:val="0"/>
                    <w:topLinePunct/>
                    <w:adjustRightInd w:val="0"/>
                    <w:snapToGrid w:val="0"/>
                    <w:jc w:val="center"/>
                    <w:rPr>
                      <w:szCs w:val="21"/>
                    </w:rPr>
                  </w:pPr>
                  <w:r>
                    <w:rPr>
                      <w:rFonts w:hint="eastAsia"/>
                      <w:szCs w:val="21"/>
                    </w:rPr>
                    <w:t>12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8</w:t>
                  </w:r>
                </w:p>
              </w:tc>
              <w:tc>
                <w:tcPr>
                  <w:tcW w:w="1513" w:type="pct"/>
                  <w:vAlign w:val="center"/>
                </w:tcPr>
                <w:p>
                  <w:pPr>
                    <w:topLinePunct/>
                    <w:adjustRightInd w:val="0"/>
                    <w:snapToGrid w:val="0"/>
                    <w:jc w:val="center"/>
                    <w:rPr>
                      <w:szCs w:val="21"/>
                    </w:rPr>
                  </w:pPr>
                  <w:r>
                    <w:rPr>
                      <w:rFonts w:hint="eastAsia"/>
                      <w:szCs w:val="21"/>
                    </w:rPr>
                    <w:t>保温炉</w:t>
                  </w:r>
                </w:p>
              </w:tc>
              <w:tc>
                <w:tcPr>
                  <w:tcW w:w="1589" w:type="pct"/>
                  <w:vAlign w:val="center"/>
                </w:tcPr>
                <w:p>
                  <w:pPr>
                    <w:wordWrap w:val="0"/>
                    <w:topLinePunct/>
                    <w:adjustRightInd w:val="0"/>
                    <w:snapToGrid w:val="0"/>
                    <w:jc w:val="center"/>
                    <w:rPr>
                      <w:szCs w:val="21"/>
                    </w:rPr>
                  </w:pPr>
                  <w:r>
                    <w:rPr>
                      <w:rFonts w:hint="eastAsia"/>
                      <w:szCs w:val="21"/>
                    </w:rPr>
                    <w:t>BQ-RJH-500 电阻熔化保温炉（电加热）（500kg）</w:t>
                  </w:r>
                </w:p>
              </w:tc>
              <w:tc>
                <w:tcPr>
                  <w:tcW w:w="903" w:type="pct"/>
                  <w:vAlign w:val="center"/>
                </w:tcPr>
                <w:p>
                  <w:pPr>
                    <w:wordWrap w:val="0"/>
                    <w:topLinePunct/>
                    <w:adjustRightInd w:val="0"/>
                    <w:snapToGrid w:val="0"/>
                    <w:jc w:val="center"/>
                    <w:rPr>
                      <w:szCs w:val="21"/>
                    </w:rPr>
                  </w:pPr>
                  <w:r>
                    <w:rPr>
                      <w:rFonts w:hint="eastAsia"/>
                      <w:szCs w:val="21"/>
                    </w:rPr>
                    <w:t>12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9</w:t>
                  </w:r>
                </w:p>
              </w:tc>
              <w:tc>
                <w:tcPr>
                  <w:tcW w:w="1513" w:type="pct"/>
                  <w:vAlign w:val="center"/>
                </w:tcPr>
                <w:p>
                  <w:pPr>
                    <w:wordWrap w:val="0"/>
                    <w:topLinePunct/>
                    <w:adjustRightInd w:val="0"/>
                    <w:snapToGrid w:val="0"/>
                    <w:jc w:val="center"/>
                    <w:rPr>
                      <w:szCs w:val="21"/>
                    </w:rPr>
                  </w:pPr>
                  <w:r>
                    <w:rPr>
                      <w:szCs w:val="21"/>
                    </w:rPr>
                    <w:t>除芯机</w:t>
                  </w:r>
                </w:p>
              </w:tc>
              <w:tc>
                <w:tcPr>
                  <w:tcW w:w="1589" w:type="pct"/>
                  <w:vAlign w:val="center"/>
                </w:tcPr>
                <w:p>
                  <w:pPr>
                    <w:wordWrap w:val="0"/>
                    <w:topLinePunct/>
                    <w:adjustRightInd w:val="0"/>
                    <w:snapToGrid w:val="0"/>
                    <w:jc w:val="center"/>
                    <w:rPr>
                      <w:szCs w:val="21"/>
                    </w:rPr>
                  </w:pPr>
                  <w:r>
                    <w:rPr>
                      <w:szCs w:val="21"/>
                    </w:rPr>
                    <w:t>TMDCH或等同</w:t>
                  </w:r>
                  <w:r>
                    <w:rPr>
                      <w:rFonts w:hint="eastAsia"/>
                      <w:szCs w:val="21"/>
                    </w:rPr>
                    <w:t>(2.2KW)</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10</w:t>
                  </w:r>
                </w:p>
              </w:tc>
              <w:tc>
                <w:tcPr>
                  <w:tcW w:w="1513" w:type="pct"/>
                  <w:vAlign w:val="center"/>
                </w:tcPr>
                <w:p>
                  <w:pPr>
                    <w:wordWrap w:val="0"/>
                    <w:topLinePunct/>
                    <w:adjustRightInd w:val="0"/>
                    <w:snapToGrid w:val="0"/>
                    <w:jc w:val="center"/>
                    <w:rPr>
                      <w:szCs w:val="21"/>
                    </w:rPr>
                  </w:pPr>
                  <w:r>
                    <w:rPr>
                      <w:szCs w:val="21"/>
                    </w:rPr>
                    <w:t>立式带锯床</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10</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11</w:t>
                  </w:r>
                </w:p>
              </w:tc>
              <w:tc>
                <w:tcPr>
                  <w:tcW w:w="1513" w:type="pct"/>
                  <w:vAlign w:val="center"/>
                </w:tcPr>
                <w:p>
                  <w:pPr>
                    <w:wordWrap w:val="0"/>
                    <w:topLinePunct/>
                    <w:adjustRightInd w:val="0"/>
                    <w:snapToGrid w:val="0"/>
                    <w:jc w:val="center"/>
                    <w:rPr>
                      <w:szCs w:val="21"/>
                    </w:rPr>
                  </w:pPr>
                  <w:r>
                    <w:rPr>
                      <w:szCs w:val="21"/>
                    </w:rPr>
                    <w:t>卧式带锯床</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5</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12</w:t>
                  </w:r>
                </w:p>
              </w:tc>
              <w:tc>
                <w:tcPr>
                  <w:tcW w:w="1513" w:type="pct"/>
                  <w:vAlign w:val="center"/>
                </w:tcPr>
                <w:p>
                  <w:pPr>
                    <w:wordWrap w:val="0"/>
                    <w:topLinePunct/>
                    <w:adjustRightInd w:val="0"/>
                    <w:snapToGrid w:val="0"/>
                    <w:jc w:val="center"/>
                    <w:rPr>
                      <w:szCs w:val="21"/>
                    </w:rPr>
                  </w:pPr>
                  <w:r>
                    <w:rPr>
                      <w:rFonts w:hint="eastAsia"/>
                      <w:szCs w:val="21"/>
                    </w:rPr>
                    <w:t>行车</w:t>
                  </w:r>
                </w:p>
              </w:tc>
              <w:tc>
                <w:tcPr>
                  <w:tcW w:w="1589" w:type="pct"/>
                  <w:vAlign w:val="center"/>
                </w:tcPr>
                <w:p>
                  <w:pPr>
                    <w:wordWrap w:val="0"/>
                    <w:topLinePunct/>
                    <w:adjustRightInd w:val="0"/>
                    <w:snapToGrid w:val="0"/>
                    <w:jc w:val="center"/>
                    <w:rPr>
                      <w:szCs w:val="21"/>
                    </w:rPr>
                  </w:pPr>
                  <w:r>
                    <w:rPr>
                      <w:rFonts w:hint="eastAsia"/>
                      <w:szCs w:val="21"/>
                    </w:rPr>
                    <w:t>5吨</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3</w:t>
                  </w:r>
                </w:p>
              </w:tc>
              <w:tc>
                <w:tcPr>
                  <w:tcW w:w="1513" w:type="pct"/>
                  <w:vAlign w:val="center"/>
                </w:tcPr>
                <w:p>
                  <w:pPr>
                    <w:wordWrap w:val="0"/>
                    <w:topLinePunct/>
                    <w:adjustRightInd w:val="0"/>
                    <w:snapToGrid w:val="0"/>
                    <w:jc w:val="center"/>
                    <w:rPr>
                      <w:szCs w:val="21"/>
                    </w:rPr>
                  </w:pPr>
                  <w:r>
                    <w:rPr>
                      <w:szCs w:val="21"/>
                    </w:rPr>
                    <w:t>天然气调压站系统</w:t>
                  </w:r>
                </w:p>
              </w:tc>
              <w:tc>
                <w:tcPr>
                  <w:tcW w:w="1589" w:type="pct"/>
                  <w:vAlign w:val="center"/>
                </w:tcPr>
                <w:p>
                  <w:pPr>
                    <w:wordWrap w:val="0"/>
                    <w:topLinePunct/>
                    <w:adjustRightInd w:val="0"/>
                    <w:snapToGrid w:val="0"/>
                    <w:jc w:val="center"/>
                    <w:rPr>
                      <w:szCs w:val="21"/>
                    </w:rPr>
                  </w:pPr>
                  <w:r>
                    <w:rPr>
                      <w:rFonts w:hint="eastAsia"/>
                      <w:szCs w:val="21"/>
                    </w:rPr>
                    <w:t>500Nm</w:t>
                  </w:r>
                  <w:r>
                    <w:rPr>
                      <w:rFonts w:hint="eastAsia"/>
                      <w:szCs w:val="21"/>
                      <w:vertAlign w:val="superscript"/>
                    </w:rPr>
                    <w:t>3</w:t>
                  </w:r>
                  <w:r>
                    <w:rPr>
                      <w:rFonts w:hint="eastAsia"/>
                      <w:szCs w:val="21"/>
                    </w:rPr>
                    <w:t>/h</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4</w:t>
                  </w:r>
                </w:p>
              </w:tc>
              <w:tc>
                <w:tcPr>
                  <w:tcW w:w="1513" w:type="pct"/>
                  <w:vAlign w:val="center"/>
                </w:tcPr>
                <w:p>
                  <w:pPr>
                    <w:topLinePunct/>
                    <w:adjustRightInd w:val="0"/>
                    <w:snapToGrid w:val="0"/>
                    <w:jc w:val="center"/>
                    <w:rPr>
                      <w:szCs w:val="21"/>
                    </w:rPr>
                  </w:pPr>
                  <w:r>
                    <w:rPr>
                      <w:rFonts w:hint="eastAsia"/>
                      <w:szCs w:val="21"/>
                    </w:rPr>
                    <w:t>防爆式悬挂式抛丸机</w:t>
                  </w:r>
                </w:p>
              </w:tc>
              <w:tc>
                <w:tcPr>
                  <w:tcW w:w="1589" w:type="pct"/>
                  <w:vAlign w:val="center"/>
                </w:tcPr>
                <w:p>
                  <w:pPr>
                    <w:wordWrap w:val="0"/>
                    <w:topLinePunct/>
                    <w:adjustRightInd w:val="0"/>
                    <w:snapToGrid w:val="0"/>
                    <w:jc w:val="center"/>
                    <w:rPr>
                      <w:szCs w:val="21"/>
                    </w:rPr>
                  </w:pPr>
                  <w:r>
                    <w:rPr>
                      <w:rFonts w:hint="eastAsia"/>
                      <w:szCs w:val="21"/>
                    </w:rPr>
                    <w:t>YXD型12/16或等同</w:t>
                  </w:r>
                </w:p>
              </w:tc>
              <w:tc>
                <w:tcPr>
                  <w:tcW w:w="903" w:type="pct"/>
                  <w:tcBorders>
                    <w:bottom w:val="single" w:color="auto" w:sz="4" w:space="0"/>
                  </w:tcBorders>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5</w:t>
                  </w:r>
                </w:p>
              </w:tc>
              <w:tc>
                <w:tcPr>
                  <w:tcW w:w="1513" w:type="pct"/>
                  <w:vAlign w:val="center"/>
                </w:tcPr>
                <w:p>
                  <w:pPr>
                    <w:topLinePunct/>
                    <w:adjustRightInd w:val="0"/>
                    <w:snapToGrid w:val="0"/>
                    <w:jc w:val="center"/>
                    <w:rPr>
                      <w:szCs w:val="21"/>
                    </w:rPr>
                  </w:pPr>
                  <w:r>
                    <w:rPr>
                      <w:rFonts w:hint="eastAsia"/>
                      <w:szCs w:val="21"/>
                    </w:rPr>
                    <w:t>砂带枪</w:t>
                  </w:r>
                </w:p>
              </w:tc>
              <w:tc>
                <w:tcPr>
                  <w:tcW w:w="1589" w:type="pct"/>
                  <w:vAlign w:val="center"/>
                </w:tcPr>
                <w:p>
                  <w:pPr>
                    <w:wordWrap w:val="0"/>
                    <w:topLinePunct/>
                    <w:adjustRightInd w:val="0"/>
                    <w:snapToGrid w:val="0"/>
                    <w:jc w:val="center"/>
                    <w:rPr>
                      <w:szCs w:val="21"/>
                    </w:rPr>
                  </w:pPr>
                  <w:r>
                    <w:rPr>
                      <w:rFonts w:hint="eastAsia"/>
                      <w:szCs w:val="21"/>
                    </w:rPr>
                    <w:t>/</w:t>
                  </w:r>
                </w:p>
              </w:tc>
              <w:tc>
                <w:tcPr>
                  <w:tcW w:w="903" w:type="pct"/>
                  <w:tcBorders>
                    <w:bottom w:val="single" w:color="auto" w:sz="4" w:space="0"/>
                  </w:tcBorders>
                  <w:vAlign w:val="center"/>
                </w:tcPr>
                <w:p>
                  <w:pPr>
                    <w:wordWrap w:val="0"/>
                    <w:topLinePunct/>
                    <w:adjustRightInd w:val="0"/>
                    <w:snapToGrid w:val="0"/>
                    <w:jc w:val="center"/>
                    <w:rPr>
                      <w:szCs w:val="21"/>
                    </w:rPr>
                  </w:pPr>
                  <w:r>
                    <w:rPr>
                      <w:rFonts w:hint="eastAsia"/>
                      <w:szCs w:val="21"/>
                    </w:rPr>
                    <w:t>8</w:t>
                  </w:r>
                </w:p>
              </w:tc>
              <w:tc>
                <w:tcPr>
                  <w:tcW w:w="526" w:type="pct"/>
                  <w:vMerge w:val="continue"/>
                  <w:tcBorders>
                    <w:bottom w:val="single" w:color="auto" w:sz="4" w:space="0"/>
                  </w:tcBorders>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6</w:t>
                  </w:r>
                </w:p>
              </w:tc>
              <w:tc>
                <w:tcPr>
                  <w:tcW w:w="1513" w:type="pct"/>
                  <w:vAlign w:val="center"/>
                </w:tcPr>
                <w:p>
                  <w:pPr>
                    <w:wordWrap w:val="0"/>
                    <w:topLinePunct/>
                    <w:adjustRightInd w:val="0"/>
                    <w:snapToGrid w:val="0"/>
                    <w:jc w:val="center"/>
                    <w:rPr>
                      <w:szCs w:val="21"/>
                    </w:rPr>
                  </w:pPr>
                  <w:r>
                    <w:rPr>
                      <w:szCs w:val="21"/>
                    </w:rPr>
                    <w:t>全自动圆盘锯床</w:t>
                  </w:r>
                </w:p>
              </w:tc>
              <w:tc>
                <w:tcPr>
                  <w:tcW w:w="1589" w:type="pct"/>
                  <w:vAlign w:val="center"/>
                </w:tcPr>
                <w:p>
                  <w:pPr>
                    <w:topLinePunct/>
                    <w:adjustRightInd w:val="0"/>
                    <w:snapToGrid w:val="0"/>
                    <w:jc w:val="center"/>
                    <w:rPr>
                      <w:szCs w:val="21"/>
                    </w:rPr>
                  </w:pPr>
                  <w:r>
                    <w:rPr>
                      <w:rFonts w:hint="eastAsia"/>
                      <w:szCs w:val="21"/>
                    </w:rPr>
                    <w:t>WL-260P或等同型号</w:t>
                  </w:r>
                </w:p>
              </w:tc>
              <w:tc>
                <w:tcPr>
                  <w:tcW w:w="903" w:type="pct"/>
                  <w:tcBorders>
                    <w:top w:val="single" w:color="auto" w:sz="4" w:space="0"/>
                    <w:bottom w:val="single" w:color="auto" w:sz="4" w:space="0"/>
                  </w:tcBorders>
                  <w:vAlign w:val="center"/>
                </w:tcPr>
                <w:p>
                  <w:pPr>
                    <w:wordWrap w:val="0"/>
                    <w:topLinePunct/>
                    <w:adjustRightInd w:val="0"/>
                    <w:snapToGrid w:val="0"/>
                    <w:jc w:val="center"/>
                    <w:rPr>
                      <w:szCs w:val="21"/>
                    </w:rPr>
                  </w:pPr>
                  <w:r>
                    <w:rPr>
                      <w:rFonts w:hint="eastAsia"/>
                      <w:szCs w:val="21"/>
                    </w:rPr>
                    <w:t>3</w:t>
                  </w:r>
                </w:p>
              </w:tc>
              <w:tc>
                <w:tcPr>
                  <w:tcW w:w="526" w:type="pct"/>
                  <w:vMerge w:val="restart"/>
                  <w:tcBorders>
                    <w:top w:val="single" w:color="auto" w:sz="4" w:space="0"/>
                  </w:tcBorders>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锻造车间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7</w:t>
                  </w:r>
                </w:p>
              </w:tc>
              <w:tc>
                <w:tcPr>
                  <w:tcW w:w="1513" w:type="pct"/>
                  <w:vAlign w:val="center"/>
                </w:tcPr>
                <w:p>
                  <w:pPr>
                    <w:wordWrap w:val="0"/>
                    <w:topLinePunct/>
                    <w:adjustRightInd w:val="0"/>
                    <w:snapToGrid w:val="0"/>
                    <w:jc w:val="center"/>
                    <w:rPr>
                      <w:szCs w:val="21"/>
                    </w:rPr>
                  </w:pPr>
                  <w:r>
                    <w:rPr>
                      <w:szCs w:val="21"/>
                    </w:rPr>
                    <w:t>数控锯床</w:t>
                  </w:r>
                </w:p>
              </w:tc>
              <w:tc>
                <w:tcPr>
                  <w:tcW w:w="1589" w:type="pct"/>
                  <w:vAlign w:val="center"/>
                </w:tcPr>
                <w:p>
                  <w:pPr>
                    <w:wordWrap w:val="0"/>
                    <w:topLinePunct/>
                    <w:adjustRightInd w:val="0"/>
                    <w:snapToGrid w:val="0"/>
                    <w:jc w:val="center"/>
                    <w:rPr>
                      <w:szCs w:val="21"/>
                    </w:rPr>
                  </w:pPr>
                  <w:r>
                    <w:rPr>
                      <w:rFonts w:hint="eastAsia"/>
                      <w:szCs w:val="21"/>
                    </w:rPr>
                    <w:t>GZ4232或等同型号（3.75kw）</w:t>
                  </w:r>
                </w:p>
              </w:tc>
              <w:tc>
                <w:tcPr>
                  <w:tcW w:w="903" w:type="pct"/>
                  <w:tcBorders>
                    <w:top w:val="single" w:color="auto" w:sz="4" w:space="0"/>
                    <w:bottom w:val="single" w:color="auto" w:sz="4" w:space="0"/>
                  </w:tcBorders>
                  <w:vAlign w:val="center"/>
                </w:tcPr>
                <w:p>
                  <w:pPr>
                    <w:wordWrap w:val="0"/>
                    <w:topLinePunct/>
                    <w:adjustRightInd w:val="0"/>
                    <w:snapToGrid w:val="0"/>
                    <w:jc w:val="center"/>
                    <w:rPr>
                      <w:szCs w:val="21"/>
                    </w:rPr>
                  </w:pPr>
                  <w:r>
                    <w:rPr>
                      <w:rFonts w:hint="eastAsia"/>
                      <w:szCs w:val="21"/>
                    </w:rPr>
                    <w:t>6</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8</w:t>
                  </w:r>
                </w:p>
              </w:tc>
              <w:tc>
                <w:tcPr>
                  <w:tcW w:w="1513" w:type="pct"/>
                  <w:vAlign w:val="center"/>
                </w:tcPr>
                <w:p>
                  <w:pPr>
                    <w:topLinePunct/>
                    <w:adjustRightInd w:val="0"/>
                    <w:snapToGrid w:val="0"/>
                    <w:jc w:val="center"/>
                    <w:rPr>
                      <w:szCs w:val="21"/>
                    </w:rPr>
                  </w:pPr>
                  <w:r>
                    <w:rPr>
                      <w:rFonts w:hint="eastAsia"/>
                      <w:szCs w:val="21"/>
                    </w:rPr>
                    <w:t>连续式铝合金锻造加热炉（</w:t>
                  </w:r>
                  <w:r>
                    <w:rPr>
                      <w:szCs w:val="21"/>
                    </w:rPr>
                    <w:t>网带炉，天然气）</w:t>
                  </w:r>
                </w:p>
              </w:tc>
              <w:tc>
                <w:tcPr>
                  <w:tcW w:w="1589" w:type="pct"/>
                  <w:vAlign w:val="center"/>
                </w:tcPr>
                <w:p>
                  <w:pPr>
                    <w:wordWrap w:val="0"/>
                    <w:topLinePunct/>
                    <w:adjustRightInd w:val="0"/>
                    <w:snapToGrid w:val="0"/>
                    <w:jc w:val="center"/>
                    <w:rPr>
                      <w:szCs w:val="21"/>
                    </w:rPr>
                  </w:pPr>
                  <w:r>
                    <w:rPr>
                      <w:szCs w:val="21"/>
                    </w:rPr>
                    <w:t>/</w:t>
                  </w:r>
                </w:p>
              </w:tc>
              <w:tc>
                <w:tcPr>
                  <w:tcW w:w="903" w:type="pct"/>
                  <w:tcBorders>
                    <w:top w:val="single" w:color="auto" w:sz="4" w:space="0"/>
                  </w:tcBorders>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r>
                    <w:rPr>
                      <w:rFonts w:hint="eastAsia"/>
                      <w:bCs/>
                      <w:color w:val="000000" w:themeColor="text1"/>
                      <w:kern w:val="0"/>
                      <w:szCs w:val="21"/>
                      <w14:textFill>
                        <w14:solidFill>
                          <w14:schemeClr w14:val="tx1"/>
                        </w14:solidFill>
                      </w14:textFill>
                    </w:rPr>
                    <w:t>9</w:t>
                  </w:r>
                </w:p>
              </w:tc>
              <w:tc>
                <w:tcPr>
                  <w:tcW w:w="1513" w:type="pct"/>
                  <w:vAlign w:val="center"/>
                </w:tcPr>
                <w:p>
                  <w:pPr>
                    <w:wordWrap w:val="0"/>
                    <w:topLinePunct/>
                    <w:adjustRightInd w:val="0"/>
                    <w:snapToGrid w:val="0"/>
                    <w:jc w:val="center"/>
                    <w:rPr>
                      <w:szCs w:val="21"/>
                    </w:rPr>
                  </w:pPr>
                  <w:r>
                    <w:rPr>
                      <w:rFonts w:hint="eastAsia"/>
                      <w:szCs w:val="21"/>
                    </w:rPr>
                    <w:t>感应加热炉（电）</w:t>
                  </w:r>
                </w:p>
              </w:tc>
              <w:tc>
                <w:tcPr>
                  <w:tcW w:w="1589" w:type="pct"/>
                  <w:vAlign w:val="center"/>
                </w:tcPr>
                <w:p>
                  <w:pPr>
                    <w:wordWrap w:val="0"/>
                    <w:topLinePunct/>
                    <w:adjustRightInd w:val="0"/>
                    <w:snapToGrid w:val="0"/>
                    <w:jc w:val="center"/>
                    <w:rPr>
                      <w:szCs w:val="21"/>
                    </w:rPr>
                  </w:pPr>
                  <w:r>
                    <w:rPr>
                      <w:rFonts w:hint="eastAsia"/>
                      <w:szCs w:val="21"/>
                    </w:rPr>
                    <w:t>400kW全自动感应加热炉</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w:t>
                  </w:r>
                </w:p>
              </w:tc>
              <w:tc>
                <w:tcPr>
                  <w:tcW w:w="1513" w:type="pct"/>
                  <w:vAlign w:val="center"/>
                </w:tcPr>
                <w:p>
                  <w:pPr>
                    <w:wordWrap w:val="0"/>
                    <w:topLinePunct/>
                    <w:adjustRightInd w:val="0"/>
                    <w:snapToGrid w:val="0"/>
                    <w:jc w:val="center"/>
                    <w:rPr>
                      <w:szCs w:val="21"/>
                    </w:rPr>
                  </w:pPr>
                  <w:r>
                    <w:rPr>
                      <w:rFonts w:hint="eastAsia"/>
                      <w:szCs w:val="21"/>
                    </w:rPr>
                    <w:t>室式蓄热锻造加热炉（天然气）</w:t>
                  </w:r>
                </w:p>
              </w:tc>
              <w:tc>
                <w:tcPr>
                  <w:tcW w:w="1589" w:type="pct"/>
                  <w:vAlign w:val="center"/>
                </w:tcPr>
                <w:p>
                  <w:pPr>
                    <w:wordWrap w:val="0"/>
                    <w:topLinePunct/>
                    <w:adjustRightInd w:val="0"/>
                    <w:snapToGrid w:val="0"/>
                    <w:jc w:val="center"/>
                    <w:rPr>
                      <w:szCs w:val="21"/>
                    </w:rPr>
                  </w:pPr>
                  <w:r>
                    <w:rPr>
                      <w:szCs w:val="21"/>
                    </w:rPr>
                    <w:t>型号：XDS3</w:t>
                  </w:r>
                  <w:r>
                    <w:rPr>
                      <w:rFonts w:hint="eastAsia"/>
                      <w:szCs w:val="21"/>
                    </w:rPr>
                    <w:t xml:space="preserve"> </w:t>
                  </w:r>
                </w:p>
                <w:p>
                  <w:pPr>
                    <w:wordWrap w:val="0"/>
                    <w:topLinePunct/>
                    <w:adjustRightInd w:val="0"/>
                    <w:snapToGrid w:val="0"/>
                    <w:jc w:val="center"/>
                    <w:rPr>
                      <w:szCs w:val="21"/>
                    </w:rPr>
                  </w:pPr>
                  <w:r>
                    <w:rPr>
                      <w:rFonts w:hint="eastAsia"/>
                      <w:szCs w:val="21"/>
                    </w:rPr>
                    <w:t>炉膛尺寸：1200×1100×600</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1</w:t>
                  </w:r>
                </w:p>
              </w:tc>
              <w:tc>
                <w:tcPr>
                  <w:tcW w:w="1513" w:type="pct"/>
                  <w:vAlign w:val="center"/>
                </w:tcPr>
                <w:p>
                  <w:pPr>
                    <w:wordWrap w:val="0"/>
                    <w:topLinePunct/>
                    <w:adjustRightInd w:val="0"/>
                    <w:snapToGrid w:val="0"/>
                    <w:jc w:val="center"/>
                    <w:rPr>
                      <w:szCs w:val="21"/>
                    </w:rPr>
                  </w:pPr>
                  <w:r>
                    <w:rPr>
                      <w:szCs w:val="21"/>
                    </w:rPr>
                    <w:t>数控电动螺旋压力机</w:t>
                  </w:r>
                </w:p>
              </w:tc>
              <w:tc>
                <w:tcPr>
                  <w:tcW w:w="1589" w:type="pct"/>
                  <w:vAlign w:val="center"/>
                </w:tcPr>
                <w:p>
                  <w:pPr>
                    <w:wordWrap w:val="0"/>
                    <w:topLinePunct/>
                    <w:adjustRightInd w:val="0"/>
                    <w:snapToGrid w:val="0"/>
                    <w:jc w:val="center"/>
                    <w:rPr>
                      <w:szCs w:val="21"/>
                    </w:rPr>
                  </w:pPr>
                  <w:r>
                    <w:rPr>
                      <w:szCs w:val="21"/>
                    </w:rPr>
                    <w:t>J58K-2</w:t>
                  </w:r>
                  <w:r>
                    <w:rPr>
                      <w:rFonts w:hint="eastAsia"/>
                      <w:szCs w:val="21"/>
                    </w:rPr>
                    <w:t>0</w:t>
                  </w:r>
                  <w:r>
                    <w:rPr>
                      <w:szCs w:val="21"/>
                    </w:rPr>
                    <w:t>00或等同（</w:t>
                  </w:r>
                  <w:r>
                    <w:rPr>
                      <w:rFonts w:hint="eastAsia"/>
                      <w:szCs w:val="21"/>
                    </w:rPr>
                    <w:t>2</w:t>
                  </w:r>
                  <w:r>
                    <w:rPr>
                      <w:szCs w:val="21"/>
                    </w:rPr>
                    <w:t>000吨）</w:t>
                  </w:r>
                </w:p>
              </w:tc>
              <w:tc>
                <w:tcPr>
                  <w:tcW w:w="903" w:type="pct"/>
                  <w:vAlign w:val="center"/>
                </w:tcPr>
                <w:p>
                  <w:pPr>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2</w:t>
                  </w:r>
                </w:p>
              </w:tc>
              <w:tc>
                <w:tcPr>
                  <w:tcW w:w="1513" w:type="pct"/>
                  <w:vAlign w:val="center"/>
                </w:tcPr>
                <w:p>
                  <w:pPr>
                    <w:wordWrap w:val="0"/>
                    <w:topLinePunct/>
                    <w:adjustRightInd w:val="0"/>
                    <w:snapToGrid w:val="0"/>
                    <w:jc w:val="center"/>
                    <w:rPr>
                      <w:szCs w:val="21"/>
                    </w:rPr>
                  </w:pPr>
                  <w:r>
                    <w:rPr>
                      <w:szCs w:val="21"/>
                    </w:rPr>
                    <w:t>数控电动螺旋压力机</w:t>
                  </w:r>
                </w:p>
              </w:tc>
              <w:tc>
                <w:tcPr>
                  <w:tcW w:w="1589" w:type="pct"/>
                  <w:vAlign w:val="center"/>
                </w:tcPr>
                <w:p>
                  <w:pPr>
                    <w:wordWrap w:val="0"/>
                    <w:topLinePunct/>
                    <w:adjustRightInd w:val="0"/>
                    <w:snapToGrid w:val="0"/>
                    <w:jc w:val="center"/>
                    <w:rPr>
                      <w:szCs w:val="21"/>
                    </w:rPr>
                  </w:pPr>
                  <w:r>
                    <w:rPr>
                      <w:szCs w:val="21"/>
                    </w:rPr>
                    <w:t>J58K-</w:t>
                  </w:r>
                  <w:r>
                    <w:rPr>
                      <w:rFonts w:hint="eastAsia"/>
                      <w:szCs w:val="21"/>
                    </w:rPr>
                    <w:t>10</w:t>
                  </w:r>
                  <w:r>
                    <w:rPr>
                      <w:szCs w:val="21"/>
                    </w:rPr>
                    <w:t>00或等同（</w:t>
                  </w:r>
                  <w:r>
                    <w:rPr>
                      <w:rFonts w:hint="eastAsia"/>
                      <w:szCs w:val="21"/>
                    </w:rPr>
                    <w:t>1</w:t>
                  </w:r>
                  <w:r>
                    <w:rPr>
                      <w:szCs w:val="21"/>
                    </w:rPr>
                    <w:t>000吨）</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3</w:t>
                  </w:r>
                </w:p>
              </w:tc>
              <w:tc>
                <w:tcPr>
                  <w:tcW w:w="1513" w:type="pct"/>
                  <w:vAlign w:val="center"/>
                </w:tcPr>
                <w:p>
                  <w:pPr>
                    <w:wordWrap w:val="0"/>
                    <w:topLinePunct/>
                    <w:adjustRightInd w:val="0"/>
                    <w:snapToGrid w:val="0"/>
                    <w:jc w:val="center"/>
                    <w:rPr>
                      <w:szCs w:val="21"/>
                    </w:rPr>
                  </w:pPr>
                  <w:r>
                    <w:rPr>
                      <w:szCs w:val="21"/>
                    </w:rPr>
                    <w:t>数控电动螺旋压力机</w:t>
                  </w:r>
                </w:p>
              </w:tc>
              <w:tc>
                <w:tcPr>
                  <w:tcW w:w="1589" w:type="pct"/>
                  <w:vAlign w:val="center"/>
                </w:tcPr>
                <w:p>
                  <w:pPr>
                    <w:wordWrap w:val="0"/>
                    <w:topLinePunct/>
                    <w:adjustRightInd w:val="0"/>
                    <w:snapToGrid w:val="0"/>
                    <w:jc w:val="center"/>
                    <w:rPr>
                      <w:szCs w:val="21"/>
                    </w:rPr>
                  </w:pPr>
                  <w:r>
                    <w:rPr>
                      <w:szCs w:val="21"/>
                    </w:rPr>
                    <w:t>J58K-</w:t>
                  </w:r>
                  <w:r>
                    <w:rPr>
                      <w:rFonts w:hint="eastAsia"/>
                      <w:szCs w:val="21"/>
                    </w:rPr>
                    <w:t>630</w:t>
                  </w:r>
                  <w:r>
                    <w:rPr>
                      <w:szCs w:val="21"/>
                    </w:rPr>
                    <w:t>或等同（</w:t>
                  </w:r>
                  <w:r>
                    <w:rPr>
                      <w:rFonts w:hint="eastAsia"/>
                      <w:szCs w:val="21"/>
                    </w:rPr>
                    <w:t>6</w:t>
                  </w:r>
                  <w:r>
                    <w:rPr>
                      <w:szCs w:val="21"/>
                    </w:rPr>
                    <w:t>00吨）</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24</w:t>
                  </w:r>
                </w:p>
              </w:tc>
              <w:tc>
                <w:tcPr>
                  <w:tcW w:w="1513" w:type="pct"/>
                  <w:vAlign w:val="center"/>
                </w:tcPr>
                <w:p>
                  <w:pPr>
                    <w:wordWrap w:val="0"/>
                    <w:topLinePunct/>
                    <w:adjustRightInd w:val="0"/>
                    <w:snapToGrid w:val="0"/>
                    <w:jc w:val="center"/>
                    <w:rPr>
                      <w:szCs w:val="21"/>
                    </w:rPr>
                  </w:pPr>
                  <w:r>
                    <w:rPr>
                      <w:szCs w:val="21"/>
                    </w:rPr>
                    <w:t>数控电动螺旋压力机</w:t>
                  </w:r>
                </w:p>
              </w:tc>
              <w:tc>
                <w:tcPr>
                  <w:tcW w:w="1589" w:type="pct"/>
                  <w:vAlign w:val="center"/>
                </w:tcPr>
                <w:p>
                  <w:pPr>
                    <w:wordWrap w:val="0"/>
                    <w:topLinePunct/>
                    <w:adjustRightInd w:val="0"/>
                    <w:snapToGrid w:val="0"/>
                    <w:jc w:val="center"/>
                    <w:rPr>
                      <w:szCs w:val="21"/>
                    </w:rPr>
                  </w:pPr>
                  <w:r>
                    <w:rPr>
                      <w:szCs w:val="21"/>
                    </w:rPr>
                    <w:t>J58K-</w:t>
                  </w:r>
                  <w:r>
                    <w:rPr>
                      <w:rFonts w:hint="eastAsia"/>
                      <w:szCs w:val="21"/>
                    </w:rPr>
                    <w:t>300</w:t>
                  </w:r>
                  <w:r>
                    <w:rPr>
                      <w:szCs w:val="21"/>
                    </w:rPr>
                    <w:t>或等同（</w:t>
                  </w:r>
                  <w:r>
                    <w:rPr>
                      <w:rFonts w:hint="eastAsia"/>
                      <w:szCs w:val="21"/>
                    </w:rPr>
                    <w:t>3</w:t>
                  </w:r>
                  <w:r>
                    <w:rPr>
                      <w:szCs w:val="21"/>
                    </w:rPr>
                    <w:t>00吨）</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5</w:t>
                  </w:r>
                </w:p>
              </w:tc>
              <w:tc>
                <w:tcPr>
                  <w:tcW w:w="1513" w:type="pct"/>
                  <w:vAlign w:val="center"/>
                </w:tcPr>
                <w:p>
                  <w:pPr>
                    <w:wordWrap w:val="0"/>
                    <w:topLinePunct/>
                    <w:adjustRightInd w:val="0"/>
                    <w:snapToGrid w:val="0"/>
                    <w:jc w:val="center"/>
                    <w:rPr>
                      <w:szCs w:val="21"/>
                    </w:rPr>
                  </w:pPr>
                  <w:r>
                    <w:rPr>
                      <w:szCs w:val="21"/>
                    </w:rPr>
                    <w:t>数控电液锤</w:t>
                  </w:r>
                </w:p>
              </w:tc>
              <w:tc>
                <w:tcPr>
                  <w:tcW w:w="1589" w:type="pct"/>
                  <w:vAlign w:val="center"/>
                </w:tcPr>
                <w:p>
                  <w:pPr>
                    <w:wordWrap w:val="0"/>
                    <w:topLinePunct/>
                    <w:adjustRightInd w:val="0"/>
                    <w:snapToGrid w:val="0"/>
                    <w:jc w:val="center"/>
                    <w:rPr>
                      <w:szCs w:val="21"/>
                    </w:rPr>
                  </w:pPr>
                  <w:r>
                    <w:rPr>
                      <w:rFonts w:hint="eastAsia"/>
                      <w:szCs w:val="21"/>
                    </w:rPr>
                    <w:t>1吨</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6</w:t>
                  </w:r>
                </w:p>
              </w:tc>
              <w:tc>
                <w:tcPr>
                  <w:tcW w:w="1513" w:type="pct"/>
                  <w:vAlign w:val="center"/>
                </w:tcPr>
                <w:p>
                  <w:pPr>
                    <w:wordWrap w:val="0"/>
                    <w:topLinePunct/>
                    <w:adjustRightInd w:val="0"/>
                    <w:snapToGrid w:val="0"/>
                    <w:jc w:val="center"/>
                    <w:rPr>
                      <w:szCs w:val="21"/>
                    </w:rPr>
                  </w:pPr>
                  <w:r>
                    <w:rPr>
                      <w:szCs w:val="21"/>
                    </w:rPr>
                    <w:t>液压机</w:t>
                  </w:r>
                </w:p>
              </w:tc>
              <w:tc>
                <w:tcPr>
                  <w:tcW w:w="1589" w:type="pct"/>
                  <w:vAlign w:val="center"/>
                </w:tcPr>
                <w:p>
                  <w:pPr>
                    <w:wordWrap w:val="0"/>
                    <w:topLinePunct/>
                    <w:adjustRightInd w:val="0"/>
                    <w:snapToGrid w:val="0"/>
                    <w:jc w:val="center"/>
                    <w:rPr>
                      <w:szCs w:val="21"/>
                    </w:rPr>
                  </w:pPr>
                  <w:r>
                    <w:rPr>
                      <w:rFonts w:hint="eastAsia"/>
                      <w:szCs w:val="21"/>
                    </w:rPr>
                    <w:t>800吨</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7</w:t>
                  </w:r>
                </w:p>
              </w:tc>
              <w:tc>
                <w:tcPr>
                  <w:tcW w:w="1513" w:type="pct"/>
                  <w:vAlign w:val="center"/>
                </w:tcPr>
                <w:p>
                  <w:pPr>
                    <w:wordWrap w:val="0"/>
                    <w:topLinePunct/>
                    <w:adjustRightInd w:val="0"/>
                    <w:snapToGrid w:val="0"/>
                    <w:jc w:val="center"/>
                    <w:rPr>
                      <w:szCs w:val="21"/>
                    </w:rPr>
                  </w:pPr>
                  <w:r>
                    <w:rPr>
                      <w:szCs w:val="21"/>
                    </w:rPr>
                    <w:t>闭式单点冲床</w:t>
                  </w:r>
                </w:p>
              </w:tc>
              <w:tc>
                <w:tcPr>
                  <w:tcW w:w="1589" w:type="pct"/>
                  <w:vAlign w:val="center"/>
                </w:tcPr>
                <w:p>
                  <w:pPr>
                    <w:wordWrap w:val="0"/>
                    <w:topLinePunct/>
                    <w:adjustRightInd w:val="0"/>
                    <w:snapToGrid w:val="0"/>
                    <w:jc w:val="center"/>
                    <w:rPr>
                      <w:szCs w:val="21"/>
                    </w:rPr>
                  </w:pPr>
                  <w:r>
                    <w:rPr>
                      <w:rFonts w:hint="eastAsia"/>
                      <w:szCs w:val="21"/>
                    </w:rPr>
                    <w:t>315吨</w:t>
                  </w:r>
                </w:p>
              </w:tc>
              <w:tc>
                <w:tcPr>
                  <w:tcW w:w="903" w:type="pct"/>
                  <w:vAlign w:val="center"/>
                </w:tcPr>
                <w:p>
                  <w:pPr>
                    <w:wordWrap w:val="0"/>
                    <w:topLinePunct/>
                    <w:adjustRightInd w:val="0"/>
                    <w:snapToGrid w:val="0"/>
                    <w:jc w:val="center"/>
                    <w:rPr>
                      <w:szCs w:val="21"/>
                    </w:rPr>
                  </w:pPr>
                  <w:r>
                    <w:rPr>
                      <w:rFonts w:hint="eastAsia"/>
                      <w:szCs w:val="21"/>
                    </w:rPr>
                    <w:t>5</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8</w:t>
                  </w:r>
                </w:p>
              </w:tc>
              <w:tc>
                <w:tcPr>
                  <w:tcW w:w="1513" w:type="pct"/>
                  <w:vAlign w:val="center"/>
                </w:tcPr>
                <w:p>
                  <w:pPr>
                    <w:wordWrap w:val="0"/>
                    <w:topLinePunct/>
                    <w:adjustRightInd w:val="0"/>
                    <w:snapToGrid w:val="0"/>
                    <w:jc w:val="center"/>
                    <w:rPr>
                      <w:szCs w:val="21"/>
                    </w:rPr>
                  </w:pPr>
                  <w:r>
                    <w:rPr>
                      <w:szCs w:val="21"/>
                    </w:rPr>
                    <w:t>自动机械手</w:t>
                  </w:r>
                </w:p>
              </w:tc>
              <w:tc>
                <w:tcPr>
                  <w:tcW w:w="1589" w:type="pct"/>
                  <w:vAlign w:val="center"/>
                </w:tcPr>
                <w:p>
                  <w:pPr>
                    <w:wordWrap w:val="0"/>
                    <w:topLinePunct/>
                    <w:adjustRightInd w:val="0"/>
                    <w:snapToGrid w:val="0"/>
                    <w:jc w:val="center"/>
                    <w:rPr>
                      <w:szCs w:val="21"/>
                    </w:rPr>
                  </w:pPr>
                  <w:r>
                    <w:rPr>
                      <w:szCs w:val="21"/>
                    </w:rPr>
                    <w:t>与锻压机床适配</w:t>
                  </w:r>
                </w:p>
              </w:tc>
              <w:tc>
                <w:tcPr>
                  <w:tcW w:w="903" w:type="pct"/>
                  <w:vAlign w:val="center"/>
                </w:tcPr>
                <w:p>
                  <w:pPr>
                    <w:wordWrap w:val="0"/>
                    <w:topLinePunct/>
                    <w:adjustRightInd w:val="0"/>
                    <w:snapToGrid w:val="0"/>
                    <w:jc w:val="center"/>
                    <w:rPr>
                      <w:szCs w:val="21"/>
                    </w:rPr>
                  </w:pPr>
                  <w:r>
                    <w:rPr>
                      <w:rFonts w:hint="eastAsia"/>
                      <w:szCs w:val="21"/>
                    </w:rPr>
                    <w:t>10</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r>
                    <w:rPr>
                      <w:rFonts w:hint="eastAsia"/>
                      <w:bCs/>
                      <w:color w:val="000000" w:themeColor="text1"/>
                      <w:kern w:val="0"/>
                      <w:szCs w:val="21"/>
                      <w14:textFill>
                        <w14:solidFill>
                          <w14:schemeClr w14:val="tx1"/>
                        </w14:solidFill>
                      </w14:textFill>
                    </w:rPr>
                    <w:t>9</w:t>
                  </w:r>
                </w:p>
              </w:tc>
              <w:tc>
                <w:tcPr>
                  <w:tcW w:w="1513" w:type="pct"/>
                  <w:vAlign w:val="center"/>
                </w:tcPr>
                <w:p>
                  <w:pPr>
                    <w:wordWrap w:val="0"/>
                    <w:topLinePunct/>
                    <w:adjustRightInd w:val="0"/>
                    <w:snapToGrid w:val="0"/>
                    <w:jc w:val="center"/>
                    <w:rPr>
                      <w:szCs w:val="21"/>
                    </w:rPr>
                  </w:pPr>
                  <w:r>
                    <w:rPr>
                      <w:rFonts w:hint="eastAsia"/>
                      <w:szCs w:val="21"/>
                    </w:rPr>
                    <w:t>行车</w:t>
                  </w:r>
                </w:p>
              </w:tc>
              <w:tc>
                <w:tcPr>
                  <w:tcW w:w="1589" w:type="pct"/>
                  <w:vAlign w:val="center"/>
                </w:tcPr>
                <w:p>
                  <w:pPr>
                    <w:wordWrap w:val="0"/>
                    <w:topLinePunct/>
                    <w:adjustRightInd w:val="0"/>
                    <w:snapToGrid w:val="0"/>
                    <w:jc w:val="center"/>
                    <w:rPr>
                      <w:szCs w:val="21"/>
                    </w:rPr>
                  </w:pPr>
                  <w:r>
                    <w:rPr>
                      <w:rFonts w:hint="eastAsia"/>
                      <w:szCs w:val="21"/>
                    </w:rPr>
                    <w:t>5吨</w:t>
                  </w:r>
                </w:p>
              </w:tc>
              <w:tc>
                <w:tcPr>
                  <w:tcW w:w="903" w:type="pct"/>
                  <w:tcBorders>
                    <w:bottom w:val="single" w:color="auto" w:sz="4" w:space="0"/>
                  </w:tcBorders>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30</w:t>
                  </w:r>
                </w:p>
              </w:tc>
              <w:tc>
                <w:tcPr>
                  <w:tcW w:w="1513" w:type="pct"/>
                  <w:vAlign w:val="center"/>
                </w:tcPr>
                <w:p>
                  <w:pPr>
                    <w:wordWrap w:val="0"/>
                    <w:topLinePunct/>
                    <w:adjustRightInd w:val="0"/>
                    <w:snapToGrid w:val="0"/>
                    <w:jc w:val="center"/>
                    <w:rPr>
                      <w:szCs w:val="21"/>
                    </w:rPr>
                  </w:pPr>
                  <w:r>
                    <w:rPr>
                      <w:szCs w:val="21"/>
                    </w:rPr>
                    <w:t>立式铝合金淬火炉</w:t>
                  </w:r>
                </w:p>
                <w:p>
                  <w:pPr>
                    <w:wordWrap w:val="0"/>
                    <w:topLinePunct/>
                    <w:adjustRightInd w:val="0"/>
                    <w:snapToGrid w:val="0"/>
                    <w:jc w:val="center"/>
                    <w:rPr>
                      <w:szCs w:val="21"/>
                    </w:rPr>
                  </w:pPr>
                  <w:r>
                    <w:rPr>
                      <w:szCs w:val="21"/>
                    </w:rPr>
                    <w:t>（电</w:t>
                  </w:r>
                  <w:r>
                    <w:rPr>
                      <w:rFonts w:hint="eastAsia"/>
                      <w:szCs w:val="21"/>
                    </w:rPr>
                    <w:t>加热</w:t>
                  </w:r>
                  <w:r>
                    <w:rPr>
                      <w:szCs w:val="21"/>
                    </w:rPr>
                    <w:t>）</w:t>
                  </w:r>
                </w:p>
              </w:tc>
              <w:tc>
                <w:tcPr>
                  <w:tcW w:w="1589" w:type="pct"/>
                  <w:vAlign w:val="center"/>
                </w:tcPr>
                <w:p>
                  <w:pPr>
                    <w:wordWrap w:val="0"/>
                    <w:topLinePunct/>
                    <w:adjustRightInd w:val="0"/>
                    <w:snapToGrid w:val="0"/>
                    <w:jc w:val="center"/>
                    <w:rPr>
                      <w:szCs w:val="21"/>
                    </w:rPr>
                  </w:pPr>
                  <w:r>
                    <w:rPr>
                      <w:szCs w:val="21"/>
                    </w:rPr>
                    <w:t>CLC-140-6</w:t>
                  </w:r>
                </w:p>
                <w:p>
                  <w:pPr>
                    <w:wordWrap w:val="0"/>
                    <w:topLinePunct/>
                    <w:adjustRightInd w:val="0"/>
                    <w:snapToGrid w:val="0"/>
                    <w:jc w:val="center"/>
                    <w:rPr>
                      <w:szCs w:val="21"/>
                    </w:rPr>
                  </w:pPr>
                  <w:r>
                    <w:rPr>
                      <w:rFonts w:hint="eastAsia"/>
                      <w:szCs w:val="21"/>
                    </w:rPr>
                    <w:t>180Kw</w:t>
                  </w:r>
                </w:p>
              </w:tc>
              <w:tc>
                <w:tcPr>
                  <w:tcW w:w="903" w:type="pct"/>
                  <w:tcBorders>
                    <w:top w:val="single" w:color="auto" w:sz="4" w:space="0"/>
                    <w:bottom w:val="single" w:color="auto" w:sz="4" w:space="0"/>
                  </w:tcBorders>
                  <w:vAlign w:val="center"/>
                </w:tcPr>
                <w:p>
                  <w:pPr>
                    <w:wordWrap w:val="0"/>
                    <w:topLinePunct/>
                    <w:adjustRightInd w:val="0"/>
                    <w:snapToGrid w:val="0"/>
                    <w:jc w:val="center"/>
                    <w:rPr>
                      <w:szCs w:val="21"/>
                    </w:rPr>
                  </w:pPr>
                  <w:r>
                    <w:rPr>
                      <w:rFonts w:hint="eastAsia"/>
                      <w:szCs w:val="21"/>
                    </w:rPr>
                    <w:t>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31</w:t>
                  </w:r>
                </w:p>
              </w:tc>
              <w:tc>
                <w:tcPr>
                  <w:tcW w:w="1513" w:type="pct"/>
                  <w:vAlign w:val="center"/>
                </w:tcPr>
                <w:p>
                  <w:pPr>
                    <w:wordWrap w:val="0"/>
                    <w:topLinePunct/>
                    <w:adjustRightInd w:val="0"/>
                    <w:snapToGrid w:val="0"/>
                    <w:jc w:val="center"/>
                    <w:rPr>
                      <w:szCs w:val="21"/>
                    </w:rPr>
                  </w:pPr>
                  <w:r>
                    <w:rPr>
                      <w:szCs w:val="21"/>
                    </w:rPr>
                    <w:t>台车式铝合金时效炉（电加热）</w:t>
                  </w:r>
                </w:p>
              </w:tc>
              <w:tc>
                <w:tcPr>
                  <w:tcW w:w="1589" w:type="pct"/>
                  <w:vAlign w:val="center"/>
                </w:tcPr>
                <w:p>
                  <w:pPr>
                    <w:wordWrap w:val="0"/>
                    <w:topLinePunct/>
                    <w:adjustRightInd w:val="0"/>
                    <w:snapToGrid w:val="0"/>
                    <w:jc w:val="center"/>
                    <w:rPr>
                      <w:szCs w:val="21"/>
                    </w:rPr>
                  </w:pPr>
                  <w:r>
                    <w:rPr>
                      <w:szCs w:val="21"/>
                    </w:rPr>
                    <w:t>RX3-45-3</w:t>
                  </w:r>
                </w:p>
                <w:p>
                  <w:pPr>
                    <w:wordWrap w:val="0"/>
                    <w:topLinePunct/>
                    <w:adjustRightInd w:val="0"/>
                    <w:snapToGrid w:val="0"/>
                    <w:jc w:val="center"/>
                    <w:rPr>
                      <w:szCs w:val="21"/>
                    </w:rPr>
                  </w:pPr>
                  <w:r>
                    <w:rPr>
                      <w:rFonts w:hint="eastAsia"/>
                      <w:szCs w:val="21"/>
                    </w:rPr>
                    <w:t>45Kw</w:t>
                  </w:r>
                </w:p>
              </w:tc>
              <w:tc>
                <w:tcPr>
                  <w:tcW w:w="903" w:type="pct"/>
                  <w:tcBorders>
                    <w:top w:val="single" w:color="auto" w:sz="4" w:space="0"/>
                  </w:tcBorders>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2</w:t>
                  </w:r>
                </w:p>
              </w:tc>
              <w:tc>
                <w:tcPr>
                  <w:tcW w:w="1513" w:type="pct"/>
                  <w:vAlign w:val="center"/>
                </w:tcPr>
                <w:p>
                  <w:pPr>
                    <w:wordWrap w:val="0"/>
                    <w:topLinePunct/>
                    <w:adjustRightInd w:val="0"/>
                    <w:snapToGrid w:val="0"/>
                    <w:jc w:val="center"/>
                    <w:rPr>
                      <w:szCs w:val="21"/>
                    </w:rPr>
                  </w:pPr>
                  <w:r>
                    <w:rPr>
                      <w:rFonts w:hint="eastAsia"/>
                      <w:szCs w:val="21"/>
                    </w:rPr>
                    <w:t>全纤维罩式淬火炉</w:t>
                  </w:r>
                </w:p>
                <w:p>
                  <w:pPr>
                    <w:wordWrap w:val="0"/>
                    <w:topLinePunct/>
                    <w:adjustRightInd w:val="0"/>
                    <w:snapToGrid w:val="0"/>
                    <w:jc w:val="center"/>
                    <w:rPr>
                      <w:szCs w:val="21"/>
                    </w:rPr>
                  </w:pPr>
                  <w:r>
                    <w:rPr>
                      <w:rFonts w:hint="eastAsia"/>
                      <w:szCs w:val="21"/>
                    </w:rPr>
                    <w:t>（200KW，电加热）</w:t>
                  </w:r>
                </w:p>
              </w:tc>
              <w:tc>
                <w:tcPr>
                  <w:tcW w:w="1589" w:type="pct"/>
                  <w:vAlign w:val="center"/>
                </w:tcPr>
                <w:p>
                  <w:pPr>
                    <w:wordWrap w:val="0"/>
                    <w:topLinePunct/>
                    <w:adjustRightInd w:val="0"/>
                    <w:snapToGrid w:val="0"/>
                    <w:jc w:val="center"/>
                    <w:rPr>
                      <w:szCs w:val="21"/>
                    </w:rPr>
                  </w:pPr>
                  <w:r>
                    <w:rPr>
                      <w:rFonts w:hint="eastAsia"/>
                      <w:szCs w:val="21"/>
                    </w:rPr>
                    <w:t>型 号：RZJ3—200—12</w:t>
                  </w:r>
                </w:p>
                <w:p>
                  <w:pPr>
                    <w:wordWrap w:val="0"/>
                    <w:topLinePunct/>
                    <w:adjustRightInd w:val="0"/>
                    <w:snapToGrid w:val="0"/>
                    <w:jc w:val="center"/>
                    <w:rPr>
                      <w:szCs w:val="21"/>
                    </w:rPr>
                  </w:pPr>
                  <w:r>
                    <w:rPr>
                      <w:rFonts w:hint="eastAsia"/>
                      <w:szCs w:val="21"/>
                    </w:rPr>
                    <w:t>炉膛尺寸：2000×1500×1200mm</w:t>
                  </w:r>
                </w:p>
                <w:p>
                  <w:pPr>
                    <w:wordWrap w:val="0"/>
                    <w:topLinePunct/>
                    <w:adjustRightInd w:val="0"/>
                    <w:snapToGrid w:val="0"/>
                    <w:jc w:val="center"/>
                    <w:rPr>
                      <w:szCs w:val="21"/>
                    </w:rPr>
                  </w:pPr>
                  <w:r>
                    <w:rPr>
                      <w:rFonts w:hint="eastAsia"/>
                      <w:szCs w:val="21"/>
                    </w:rPr>
                    <w:t>工作尺寸：1700×1300×1000mm</w:t>
                  </w:r>
                </w:p>
                <w:p>
                  <w:pPr>
                    <w:wordWrap w:val="0"/>
                    <w:topLinePunct/>
                    <w:adjustRightInd w:val="0"/>
                    <w:snapToGrid w:val="0"/>
                    <w:jc w:val="center"/>
                    <w:rPr>
                      <w:szCs w:val="21"/>
                    </w:rPr>
                  </w:pPr>
                  <w:r>
                    <w:rPr>
                      <w:rFonts w:hint="eastAsia"/>
                      <w:szCs w:val="21"/>
                    </w:rPr>
                    <w:t>装 载 量：5T（含料盘）</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3</w:t>
                  </w:r>
                </w:p>
              </w:tc>
              <w:tc>
                <w:tcPr>
                  <w:tcW w:w="1513" w:type="pct"/>
                  <w:vAlign w:val="center"/>
                </w:tcPr>
                <w:p>
                  <w:pPr>
                    <w:wordWrap w:val="0"/>
                    <w:topLinePunct/>
                    <w:adjustRightInd w:val="0"/>
                    <w:snapToGrid w:val="0"/>
                    <w:jc w:val="center"/>
                    <w:rPr>
                      <w:szCs w:val="21"/>
                    </w:rPr>
                  </w:pPr>
                  <w:r>
                    <w:rPr>
                      <w:rFonts w:hint="eastAsia"/>
                      <w:szCs w:val="21"/>
                    </w:rPr>
                    <w:t>全纤维罩式回火炉</w:t>
                  </w:r>
                </w:p>
                <w:p>
                  <w:pPr>
                    <w:wordWrap w:val="0"/>
                    <w:topLinePunct/>
                    <w:adjustRightInd w:val="0"/>
                    <w:snapToGrid w:val="0"/>
                    <w:jc w:val="center"/>
                    <w:rPr>
                      <w:szCs w:val="21"/>
                    </w:rPr>
                  </w:pPr>
                  <w:r>
                    <w:rPr>
                      <w:rFonts w:hint="eastAsia"/>
                      <w:szCs w:val="21"/>
                    </w:rPr>
                    <w:t>（140K,电加热））</w:t>
                  </w:r>
                </w:p>
              </w:tc>
              <w:tc>
                <w:tcPr>
                  <w:tcW w:w="1589" w:type="pct"/>
                  <w:vAlign w:val="center"/>
                </w:tcPr>
                <w:p>
                  <w:pPr>
                    <w:wordWrap w:val="0"/>
                    <w:topLinePunct/>
                    <w:adjustRightInd w:val="0"/>
                    <w:snapToGrid w:val="0"/>
                    <w:jc w:val="center"/>
                    <w:rPr>
                      <w:szCs w:val="21"/>
                    </w:rPr>
                  </w:pPr>
                  <w:r>
                    <w:rPr>
                      <w:rFonts w:hint="eastAsia"/>
                      <w:szCs w:val="21"/>
                    </w:rPr>
                    <w:t>型 号：RZJ3—200—12</w:t>
                  </w:r>
                </w:p>
                <w:p>
                  <w:pPr>
                    <w:wordWrap w:val="0"/>
                    <w:topLinePunct/>
                    <w:adjustRightInd w:val="0"/>
                    <w:snapToGrid w:val="0"/>
                    <w:jc w:val="center"/>
                    <w:rPr>
                      <w:szCs w:val="21"/>
                    </w:rPr>
                  </w:pPr>
                  <w:r>
                    <w:rPr>
                      <w:rFonts w:hint="eastAsia"/>
                      <w:szCs w:val="21"/>
                    </w:rPr>
                    <w:t>炉膛尺寸：2000×1500×1200mm</w:t>
                  </w:r>
                </w:p>
                <w:p>
                  <w:pPr>
                    <w:wordWrap w:val="0"/>
                    <w:topLinePunct/>
                    <w:adjustRightInd w:val="0"/>
                    <w:snapToGrid w:val="0"/>
                    <w:jc w:val="center"/>
                    <w:rPr>
                      <w:szCs w:val="21"/>
                    </w:rPr>
                  </w:pPr>
                  <w:r>
                    <w:rPr>
                      <w:rFonts w:hint="eastAsia"/>
                      <w:szCs w:val="21"/>
                    </w:rPr>
                    <w:t>工作尺寸：1700×1300×1000mm</w:t>
                  </w:r>
                </w:p>
                <w:p>
                  <w:pPr>
                    <w:wordWrap w:val="0"/>
                    <w:topLinePunct/>
                    <w:adjustRightInd w:val="0"/>
                    <w:snapToGrid w:val="0"/>
                    <w:jc w:val="center"/>
                    <w:rPr>
                      <w:szCs w:val="21"/>
                    </w:rPr>
                  </w:pPr>
                  <w:r>
                    <w:rPr>
                      <w:rFonts w:hint="eastAsia"/>
                      <w:szCs w:val="21"/>
                    </w:rPr>
                    <w:t>装 载 量：5T（含料盘）</w:t>
                  </w:r>
                </w:p>
              </w:tc>
              <w:tc>
                <w:tcPr>
                  <w:tcW w:w="903" w:type="pct"/>
                  <w:tcBorders>
                    <w:bottom w:val="single" w:color="auto" w:sz="4" w:space="0"/>
                  </w:tcBorders>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34</w:t>
                  </w:r>
                </w:p>
              </w:tc>
              <w:tc>
                <w:tcPr>
                  <w:tcW w:w="1513" w:type="pct"/>
                  <w:vAlign w:val="center"/>
                </w:tcPr>
                <w:p>
                  <w:pPr>
                    <w:wordWrap w:val="0"/>
                    <w:topLinePunct/>
                    <w:adjustRightInd w:val="0"/>
                    <w:snapToGrid w:val="0"/>
                    <w:jc w:val="center"/>
                    <w:rPr>
                      <w:szCs w:val="21"/>
                    </w:rPr>
                  </w:pPr>
                  <w:r>
                    <w:rPr>
                      <w:rFonts w:hint="eastAsia"/>
                      <w:szCs w:val="21"/>
                    </w:rPr>
                    <w:t>有轨热处理机器人</w:t>
                  </w:r>
                </w:p>
              </w:tc>
              <w:tc>
                <w:tcPr>
                  <w:tcW w:w="1589" w:type="pct"/>
                  <w:vAlign w:val="center"/>
                </w:tcPr>
                <w:p>
                  <w:pPr>
                    <w:wordWrap w:val="0"/>
                    <w:topLinePunct/>
                    <w:adjustRightInd w:val="0"/>
                    <w:snapToGrid w:val="0"/>
                    <w:jc w:val="center"/>
                    <w:rPr>
                      <w:szCs w:val="21"/>
                    </w:rPr>
                  </w:pPr>
                  <w:r>
                    <w:rPr>
                      <w:szCs w:val="21"/>
                    </w:rPr>
                    <w:t>BTC-5T</w:t>
                  </w:r>
                  <w:r>
                    <w:rPr>
                      <w:rFonts w:hint="eastAsia"/>
                      <w:szCs w:val="21"/>
                    </w:rPr>
                    <w:t>-BD</w:t>
                  </w:r>
                </w:p>
              </w:tc>
              <w:tc>
                <w:tcPr>
                  <w:tcW w:w="903" w:type="pct"/>
                  <w:tcBorders>
                    <w:top w:val="single" w:color="auto" w:sz="4" w:space="0"/>
                  </w:tcBorders>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highlight w:val="yellow"/>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5</w:t>
                  </w:r>
                </w:p>
              </w:tc>
              <w:tc>
                <w:tcPr>
                  <w:tcW w:w="1513" w:type="pct"/>
                  <w:vAlign w:val="center"/>
                </w:tcPr>
                <w:p>
                  <w:pPr>
                    <w:wordWrap w:val="0"/>
                    <w:topLinePunct/>
                    <w:adjustRightInd w:val="0"/>
                    <w:snapToGrid w:val="0"/>
                    <w:jc w:val="center"/>
                    <w:rPr>
                      <w:szCs w:val="21"/>
                    </w:rPr>
                  </w:pPr>
                  <w:r>
                    <w:rPr>
                      <w:szCs w:val="21"/>
                    </w:rPr>
                    <w:t>数控车床</w:t>
                  </w:r>
                </w:p>
              </w:tc>
              <w:tc>
                <w:tcPr>
                  <w:tcW w:w="1589" w:type="pct"/>
                  <w:vAlign w:val="center"/>
                </w:tcPr>
                <w:p>
                  <w:pPr>
                    <w:wordWrap w:val="0"/>
                    <w:topLinePunct/>
                    <w:adjustRightInd w:val="0"/>
                    <w:snapToGrid w:val="0"/>
                    <w:jc w:val="center"/>
                    <w:rPr>
                      <w:szCs w:val="21"/>
                    </w:rPr>
                  </w:pPr>
                  <w:r>
                    <w:rPr>
                      <w:szCs w:val="21"/>
                    </w:rPr>
                    <w:t>CK</w:t>
                  </w:r>
                  <w:r>
                    <w:rPr>
                      <w:rFonts w:hint="eastAsia"/>
                      <w:szCs w:val="21"/>
                    </w:rPr>
                    <w:t>6180</w:t>
                  </w:r>
                </w:p>
              </w:tc>
              <w:tc>
                <w:tcPr>
                  <w:tcW w:w="903" w:type="pct"/>
                  <w:tcBorders>
                    <w:top w:val="single" w:color="auto" w:sz="4" w:space="0"/>
                  </w:tcBorders>
                  <w:vAlign w:val="center"/>
                </w:tcPr>
                <w:p>
                  <w:pPr>
                    <w:wordWrap w:val="0"/>
                    <w:topLinePunct/>
                    <w:adjustRightInd w:val="0"/>
                    <w:snapToGrid w:val="0"/>
                    <w:jc w:val="center"/>
                    <w:rPr>
                      <w:szCs w:val="21"/>
                    </w:rPr>
                  </w:pPr>
                  <w:r>
                    <w:rPr>
                      <w:rFonts w:hint="eastAsia"/>
                      <w:szCs w:val="21"/>
                    </w:rPr>
                    <w:t>4</w:t>
                  </w:r>
                </w:p>
              </w:tc>
              <w:tc>
                <w:tcPr>
                  <w:tcW w:w="526" w:type="pct"/>
                  <w:vMerge w:val="restart"/>
                  <w:tcBorders>
                    <w:top w:val="single" w:color="auto" w:sz="4" w:space="0"/>
                  </w:tcBorders>
                  <w:vAlign w:val="center"/>
                </w:tcPr>
                <w:p>
                  <w:pPr>
                    <w:widowControl/>
                    <w:adjustRightInd w:val="0"/>
                    <w:snapToGrid w:val="0"/>
                    <w:jc w:val="center"/>
                    <w:textAlignment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机加工车间及后处理车间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6</w:t>
                  </w:r>
                </w:p>
              </w:tc>
              <w:tc>
                <w:tcPr>
                  <w:tcW w:w="1513" w:type="pct"/>
                  <w:vAlign w:val="center"/>
                </w:tcPr>
                <w:p>
                  <w:pPr>
                    <w:wordWrap w:val="0"/>
                    <w:topLinePunct/>
                    <w:adjustRightInd w:val="0"/>
                    <w:snapToGrid w:val="0"/>
                    <w:jc w:val="center"/>
                    <w:rPr>
                      <w:szCs w:val="21"/>
                    </w:rPr>
                  </w:pPr>
                  <w:r>
                    <w:rPr>
                      <w:szCs w:val="21"/>
                    </w:rPr>
                    <w:t>数控车床</w:t>
                  </w:r>
                </w:p>
              </w:tc>
              <w:tc>
                <w:tcPr>
                  <w:tcW w:w="1589" w:type="pct"/>
                  <w:vAlign w:val="center"/>
                </w:tcPr>
                <w:p>
                  <w:pPr>
                    <w:wordWrap w:val="0"/>
                    <w:topLinePunct/>
                    <w:adjustRightInd w:val="0"/>
                    <w:snapToGrid w:val="0"/>
                    <w:jc w:val="center"/>
                    <w:rPr>
                      <w:szCs w:val="21"/>
                    </w:rPr>
                  </w:pPr>
                  <w:r>
                    <w:rPr>
                      <w:szCs w:val="21"/>
                    </w:rPr>
                    <w:t>CK</w:t>
                  </w:r>
                  <w:r>
                    <w:rPr>
                      <w:rFonts w:hint="eastAsia"/>
                      <w:szCs w:val="21"/>
                    </w:rPr>
                    <w:t>6166/CK6163</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7</w:t>
                  </w:r>
                </w:p>
              </w:tc>
              <w:tc>
                <w:tcPr>
                  <w:tcW w:w="1513" w:type="pct"/>
                  <w:vAlign w:val="center"/>
                </w:tcPr>
                <w:p>
                  <w:pPr>
                    <w:wordWrap w:val="0"/>
                    <w:topLinePunct/>
                    <w:adjustRightInd w:val="0"/>
                    <w:snapToGrid w:val="0"/>
                    <w:jc w:val="center"/>
                    <w:rPr>
                      <w:szCs w:val="21"/>
                    </w:rPr>
                  </w:pPr>
                  <w:r>
                    <w:rPr>
                      <w:szCs w:val="21"/>
                    </w:rPr>
                    <w:t>数控车床</w:t>
                  </w:r>
                </w:p>
              </w:tc>
              <w:tc>
                <w:tcPr>
                  <w:tcW w:w="1589" w:type="pct"/>
                  <w:vAlign w:val="center"/>
                </w:tcPr>
                <w:p>
                  <w:pPr>
                    <w:wordWrap w:val="0"/>
                    <w:topLinePunct/>
                    <w:adjustRightInd w:val="0"/>
                    <w:snapToGrid w:val="0"/>
                    <w:jc w:val="center"/>
                    <w:rPr>
                      <w:szCs w:val="21"/>
                    </w:rPr>
                  </w:pPr>
                  <w:r>
                    <w:rPr>
                      <w:szCs w:val="21"/>
                    </w:rPr>
                    <w:t>CK</w:t>
                  </w:r>
                  <w:r>
                    <w:rPr>
                      <w:rFonts w:hint="eastAsia"/>
                      <w:szCs w:val="21"/>
                    </w:rPr>
                    <w:t>6150/CK6140或等同</w:t>
                  </w:r>
                </w:p>
              </w:tc>
              <w:tc>
                <w:tcPr>
                  <w:tcW w:w="903" w:type="pct"/>
                  <w:vAlign w:val="center"/>
                </w:tcPr>
                <w:p>
                  <w:pPr>
                    <w:wordWrap w:val="0"/>
                    <w:topLinePunct/>
                    <w:adjustRightInd w:val="0"/>
                    <w:snapToGrid w:val="0"/>
                    <w:jc w:val="center"/>
                    <w:rPr>
                      <w:szCs w:val="21"/>
                    </w:rPr>
                  </w:pPr>
                  <w:r>
                    <w:rPr>
                      <w:rFonts w:hint="eastAsia"/>
                      <w:szCs w:val="21"/>
                    </w:rPr>
                    <w:t>22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8</w:t>
                  </w:r>
                </w:p>
              </w:tc>
              <w:tc>
                <w:tcPr>
                  <w:tcW w:w="1513" w:type="pct"/>
                  <w:vAlign w:val="center"/>
                </w:tcPr>
                <w:p>
                  <w:pPr>
                    <w:wordWrap w:val="0"/>
                    <w:topLinePunct/>
                    <w:adjustRightInd w:val="0"/>
                    <w:snapToGrid w:val="0"/>
                    <w:jc w:val="center"/>
                    <w:rPr>
                      <w:szCs w:val="21"/>
                    </w:rPr>
                  </w:pPr>
                  <w:r>
                    <w:rPr>
                      <w:szCs w:val="21"/>
                    </w:rPr>
                    <w:t>数控车床</w:t>
                  </w:r>
                </w:p>
              </w:tc>
              <w:tc>
                <w:tcPr>
                  <w:tcW w:w="1589" w:type="pct"/>
                  <w:vAlign w:val="center"/>
                </w:tcPr>
                <w:p>
                  <w:pPr>
                    <w:wordWrap w:val="0"/>
                    <w:topLinePunct/>
                    <w:adjustRightInd w:val="0"/>
                    <w:snapToGrid w:val="0"/>
                    <w:jc w:val="center"/>
                    <w:rPr>
                      <w:szCs w:val="21"/>
                    </w:rPr>
                  </w:pPr>
                  <w:r>
                    <w:rPr>
                      <w:szCs w:val="21"/>
                    </w:rPr>
                    <w:t>CK</w:t>
                  </w:r>
                  <w:r>
                    <w:rPr>
                      <w:rFonts w:hint="eastAsia"/>
                      <w:szCs w:val="21"/>
                    </w:rPr>
                    <w:t>6136</w:t>
                  </w:r>
                </w:p>
              </w:tc>
              <w:tc>
                <w:tcPr>
                  <w:tcW w:w="903" w:type="pct"/>
                  <w:vAlign w:val="center"/>
                </w:tcPr>
                <w:p>
                  <w:pPr>
                    <w:wordWrap w:val="0"/>
                    <w:topLinePunct/>
                    <w:adjustRightInd w:val="0"/>
                    <w:snapToGrid w:val="0"/>
                    <w:jc w:val="center"/>
                    <w:rPr>
                      <w:szCs w:val="21"/>
                    </w:rPr>
                  </w:pPr>
                  <w:r>
                    <w:rPr>
                      <w:rFonts w:hint="eastAsia"/>
                      <w:szCs w:val="21"/>
                    </w:rPr>
                    <w:t>4</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r>
                    <w:rPr>
                      <w:rFonts w:hint="eastAsia"/>
                      <w:bCs/>
                      <w:color w:val="000000" w:themeColor="text1"/>
                      <w:kern w:val="0"/>
                      <w:szCs w:val="21"/>
                      <w14:textFill>
                        <w14:solidFill>
                          <w14:schemeClr w14:val="tx1"/>
                        </w14:solidFill>
                      </w14:textFill>
                    </w:rPr>
                    <w:t>9</w:t>
                  </w:r>
                </w:p>
              </w:tc>
              <w:tc>
                <w:tcPr>
                  <w:tcW w:w="1513" w:type="pct"/>
                  <w:vAlign w:val="center"/>
                </w:tcPr>
                <w:p>
                  <w:pPr>
                    <w:topLinePunct/>
                    <w:adjustRightInd w:val="0"/>
                    <w:snapToGrid w:val="0"/>
                    <w:jc w:val="center"/>
                    <w:rPr>
                      <w:szCs w:val="21"/>
                    </w:rPr>
                  </w:pPr>
                  <w:r>
                    <w:rPr>
                      <w:rFonts w:hint="eastAsia"/>
                      <w:szCs w:val="21"/>
                    </w:rPr>
                    <w:t>立式加工中心</w:t>
                  </w:r>
                </w:p>
              </w:tc>
              <w:tc>
                <w:tcPr>
                  <w:tcW w:w="1589" w:type="pct"/>
                  <w:vAlign w:val="center"/>
                </w:tcPr>
                <w:p>
                  <w:pPr>
                    <w:wordWrap w:val="0"/>
                    <w:topLinePunct/>
                    <w:adjustRightInd w:val="0"/>
                    <w:snapToGrid w:val="0"/>
                    <w:jc w:val="center"/>
                    <w:rPr>
                      <w:szCs w:val="21"/>
                    </w:rPr>
                  </w:pPr>
                  <w:r>
                    <w:rPr>
                      <w:szCs w:val="21"/>
                    </w:rPr>
                    <w:t>VMC</w:t>
                  </w:r>
                  <w:r>
                    <w:rPr>
                      <w:rFonts w:hint="eastAsia"/>
                      <w:szCs w:val="21"/>
                    </w:rPr>
                    <w:t>850/1100/1167或等同</w:t>
                  </w:r>
                </w:p>
              </w:tc>
              <w:tc>
                <w:tcPr>
                  <w:tcW w:w="903" w:type="pct"/>
                  <w:vAlign w:val="center"/>
                </w:tcPr>
                <w:p>
                  <w:pPr>
                    <w:wordWrap w:val="0"/>
                    <w:topLinePunct/>
                    <w:adjustRightInd w:val="0"/>
                    <w:snapToGrid w:val="0"/>
                    <w:jc w:val="center"/>
                    <w:rPr>
                      <w:szCs w:val="21"/>
                    </w:rPr>
                  </w:pPr>
                  <w:r>
                    <w:rPr>
                      <w:rFonts w:hint="eastAsia"/>
                      <w:szCs w:val="21"/>
                    </w:rPr>
                    <w:t>20</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40</w:t>
                  </w:r>
                </w:p>
              </w:tc>
              <w:tc>
                <w:tcPr>
                  <w:tcW w:w="1513" w:type="pct"/>
                  <w:vAlign w:val="center"/>
                </w:tcPr>
                <w:p>
                  <w:pPr>
                    <w:topLinePunct/>
                    <w:adjustRightInd w:val="0"/>
                    <w:snapToGrid w:val="0"/>
                    <w:jc w:val="center"/>
                    <w:rPr>
                      <w:szCs w:val="21"/>
                    </w:rPr>
                  </w:pPr>
                  <w:r>
                    <w:rPr>
                      <w:szCs w:val="21"/>
                    </w:rPr>
                    <w:t>钻攻中心</w:t>
                  </w:r>
                </w:p>
              </w:tc>
              <w:tc>
                <w:tcPr>
                  <w:tcW w:w="1589" w:type="pct"/>
                  <w:vAlign w:val="center"/>
                </w:tcPr>
                <w:p>
                  <w:pPr>
                    <w:wordWrap w:val="0"/>
                    <w:topLinePunct/>
                    <w:adjustRightInd w:val="0"/>
                    <w:snapToGrid w:val="0"/>
                    <w:jc w:val="center"/>
                    <w:rPr>
                      <w:szCs w:val="21"/>
                    </w:rPr>
                  </w:pPr>
                  <w:r>
                    <w:rPr>
                      <w:szCs w:val="21"/>
                    </w:rPr>
                    <w:t>TR500</w:t>
                  </w:r>
                </w:p>
              </w:tc>
              <w:tc>
                <w:tcPr>
                  <w:tcW w:w="903" w:type="pct"/>
                  <w:vAlign w:val="center"/>
                </w:tcPr>
                <w:p>
                  <w:pPr>
                    <w:wordWrap w:val="0"/>
                    <w:topLinePunct/>
                    <w:adjustRightInd w:val="0"/>
                    <w:snapToGrid w:val="0"/>
                    <w:jc w:val="center"/>
                    <w:rPr>
                      <w:szCs w:val="21"/>
                    </w:rPr>
                  </w:pPr>
                  <w:r>
                    <w:rPr>
                      <w:rFonts w:hint="eastAsia"/>
                      <w:szCs w:val="21"/>
                    </w:rPr>
                    <w:t>12</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243"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41</w:t>
                  </w:r>
                </w:p>
              </w:tc>
              <w:tc>
                <w:tcPr>
                  <w:tcW w:w="1513" w:type="pct"/>
                  <w:vAlign w:val="center"/>
                </w:tcPr>
                <w:p>
                  <w:pPr>
                    <w:wordWrap w:val="0"/>
                    <w:topLinePunct/>
                    <w:adjustRightInd w:val="0"/>
                    <w:snapToGrid w:val="0"/>
                    <w:jc w:val="center"/>
                    <w:rPr>
                      <w:szCs w:val="21"/>
                    </w:rPr>
                  </w:pPr>
                  <w:r>
                    <w:rPr>
                      <w:rFonts w:hint="eastAsia"/>
                      <w:szCs w:val="21"/>
                    </w:rPr>
                    <w:t>悬挂式抛丸机</w:t>
                  </w:r>
                </w:p>
              </w:tc>
              <w:tc>
                <w:tcPr>
                  <w:tcW w:w="1589" w:type="pct"/>
                  <w:vAlign w:val="center"/>
                </w:tcPr>
                <w:p>
                  <w:pPr>
                    <w:wordWrap w:val="0"/>
                    <w:topLinePunct/>
                    <w:adjustRightInd w:val="0"/>
                    <w:snapToGrid w:val="0"/>
                    <w:jc w:val="center"/>
                    <w:rPr>
                      <w:szCs w:val="21"/>
                    </w:rPr>
                  </w:pPr>
                  <w:r>
                    <w:rPr>
                      <w:szCs w:val="21"/>
                    </w:rPr>
                    <w:t>/</w:t>
                  </w:r>
                </w:p>
              </w:tc>
              <w:tc>
                <w:tcPr>
                  <w:tcW w:w="903" w:type="pct"/>
                  <w:vAlign w:val="center"/>
                </w:tcPr>
                <w:p>
                  <w:pPr>
                    <w:wordWrap w:val="0"/>
                    <w:topLinePunct/>
                    <w:adjustRightInd w:val="0"/>
                    <w:snapToGrid w:val="0"/>
                    <w:jc w:val="center"/>
                    <w:rPr>
                      <w:szCs w:val="21"/>
                    </w:rPr>
                  </w:pPr>
                  <w:r>
                    <w:rPr>
                      <w:rFonts w:hint="eastAsia"/>
                      <w:szCs w:val="21"/>
                    </w:rPr>
                    <w:t>8</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42</w:t>
                  </w:r>
                </w:p>
              </w:tc>
              <w:tc>
                <w:tcPr>
                  <w:tcW w:w="1513" w:type="pct"/>
                  <w:vAlign w:val="center"/>
                </w:tcPr>
                <w:p>
                  <w:pPr>
                    <w:wordWrap w:val="0"/>
                    <w:topLinePunct/>
                    <w:adjustRightInd w:val="0"/>
                    <w:snapToGrid w:val="0"/>
                    <w:jc w:val="center"/>
                    <w:rPr>
                      <w:szCs w:val="21"/>
                    </w:rPr>
                  </w:pPr>
                  <w:r>
                    <w:rPr>
                      <w:rFonts w:hint="eastAsia"/>
                      <w:szCs w:val="21"/>
                    </w:rPr>
                    <w:t>光谱检测仪</w:t>
                  </w:r>
                </w:p>
              </w:tc>
              <w:tc>
                <w:tcPr>
                  <w:tcW w:w="1589" w:type="pct"/>
                  <w:vAlign w:val="center"/>
                </w:tcPr>
                <w:p>
                  <w:pPr>
                    <w:wordWrap w:val="0"/>
                    <w:topLinePunct/>
                    <w:adjustRightInd w:val="0"/>
                    <w:snapToGrid w:val="0"/>
                    <w:jc w:val="center"/>
                    <w:rPr>
                      <w:szCs w:val="21"/>
                    </w:rPr>
                  </w:pPr>
                  <w:r>
                    <w:rPr>
                      <w:rFonts w:hint="eastAsia"/>
                      <w:szCs w:val="21"/>
                    </w:rPr>
                    <w:t>德国斯派克Q2 ION</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restar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检测设备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43</w:t>
                  </w:r>
                </w:p>
              </w:tc>
              <w:tc>
                <w:tcPr>
                  <w:tcW w:w="1513" w:type="pct"/>
                  <w:vAlign w:val="center"/>
                </w:tcPr>
                <w:p>
                  <w:pPr>
                    <w:wordWrap w:val="0"/>
                    <w:topLinePunct/>
                    <w:adjustRightInd w:val="0"/>
                    <w:snapToGrid w:val="0"/>
                    <w:jc w:val="center"/>
                    <w:rPr>
                      <w:szCs w:val="21"/>
                    </w:rPr>
                  </w:pPr>
                  <w:r>
                    <w:rPr>
                      <w:rFonts w:hint="eastAsia"/>
                      <w:szCs w:val="21"/>
                    </w:rPr>
                    <w:t>测氢仪</w:t>
                  </w:r>
                </w:p>
              </w:tc>
              <w:tc>
                <w:tcPr>
                  <w:tcW w:w="1589" w:type="pct"/>
                  <w:vAlign w:val="center"/>
                </w:tcPr>
                <w:p>
                  <w:pPr>
                    <w:wordWrap w:val="0"/>
                    <w:topLinePunct/>
                    <w:adjustRightInd w:val="0"/>
                    <w:snapToGrid w:val="0"/>
                    <w:jc w:val="center"/>
                    <w:rPr>
                      <w:szCs w:val="21"/>
                    </w:rPr>
                  </w:pPr>
                  <w:r>
                    <w:rPr>
                      <w:rFonts w:hint="eastAsia"/>
                      <w:szCs w:val="21"/>
                    </w:rPr>
                    <w:t>DY-HCQ-02</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44</w:t>
                  </w:r>
                </w:p>
              </w:tc>
              <w:tc>
                <w:tcPr>
                  <w:tcW w:w="1513" w:type="pct"/>
                  <w:vAlign w:val="center"/>
                </w:tcPr>
                <w:p>
                  <w:pPr>
                    <w:wordWrap w:val="0"/>
                    <w:topLinePunct/>
                    <w:adjustRightInd w:val="0"/>
                    <w:snapToGrid w:val="0"/>
                    <w:jc w:val="center"/>
                    <w:rPr>
                      <w:szCs w:val="21"/>
                    </w:rPr>
                  </w:pPr>
                  <w:r>
                    <w:rPr>
                      <w:rFonts w:hint="eastAsia"/>
                      <w:szCs w:val="21"/>
                    </w:rPr>
                    <w:t>电子万能试验机</w:t>
                  </w:r>
                </w:p>
              </w:tc>
              <w:tc>
                <w:tcPr>
                  <w:tcW w:w="1589" w:type="pct"/>
                  <w:vAlign w:val="center"/>
                </w:tcPr>
                <w:p>
                  <w:pPr>
                    <w:wordWrap w:val="0"/>
                    <w:topLinePunct/>
                    <w:adjustRightInd w:val="0"/>
                    <w:snapToGrid w:val="0"/>
                    <w:jc w:val="center"/>
                    <w:rPr>
                      <w:szCs w:val="21"/>
                    </w:rPr>
                  </w:pPr>
                  <w:r>
                    <w:rPr>
                      <w:rFonts w:hint="eastAsia"/>
                      <w:szCs w:val="21"/>
                    </w:rPr>
                    <w:t>TY8000A-200KN</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45</w:t>
                  </w:r>
                </w:p>
              </w:tc>
              <w:tc>
                <w:tcPr>
                  <w:tcW w:w="1513" w:type="pct"/>
                  <w:vAlign w:val="center"/>
                </w:tcPr>
                <w:p>
                  <w:pPr>
                    <w:wordWrap w:val="0"/>
                    <w:topLinePunct/>
                    <w:adjustRightInd w:val="0"/>
                    <w:snapToGrid w:val="0"/>
                    <w:jc w:val="center"/>
                    <w:rPr>
                      <w:szCs w:val="21"/>
                    </w:rPr>
                  </w:pPr>
                  <w:r>
                    <w:rPr>
                      <w:rFonts w:hint="eastAsia"/>
                      <w:szCs w:val="21"/>
                    </w:rPr>
                    <w:t>摆锤式冲击试验机</w:t>
                  </w:r>
                </w:p>
              </w:tc>
              <w:tc>
                <w:tcPr>
                  <w:tcW w:w="1589" w:type="pct"/>
                  <w:vAlign w:val="center"/>
                </w:tcPr>
                <w:p>
                  <w:pPr>
                    <w:wordWrap w:val="0"/>
                    <w:topLinePunct/>
                    <w:adjustRightInd w:val="0"/>
                    <w:snapToGrid w:val="0"/>
                    <w:jc w:val="center"/>
                    <w:rPr>
                      <w:szCs w:val="21"/>
                    </w:rPr>
                  </w:pPr>
                  <w:r>
                    <w:rPr>
                      <w:rFonts w:hint="eastAsia"/>
                      <w:szCs w:val="21"/>
                    </w:rPr>
                    <w:t>JB-W300EYZ</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46</w:t>
                  </w:r>
                </w:p>
              </w:tc>
              <w:tc>
                <w:tcPr>
                  <w:tcW w:w="1513" w:type="pct"/>
                  <w:vAlign w:val="center"/>
                </w:tcPr>
                <w:p>
                  <w:pPr>
                    <w:wordWrap w:val="0"/>
                    <w:topLinePunct/>
                    <w:adjustRightInd w:val="0"/>
                    <w:snapToGrid w:val="0"/>
                    <w:jc w:val="center"/>
                    <w:rPr>
                      <w:szCs w:val="21"/>
                    </w:rPr>
                  </w:pPr>
                  <w:r>
                    <w:rPr>
                      <w:rFonts w:hint="eastAsia"/>
                      <w:szCs w:val="21"/>
                    </w:rPr>
                    <w:t>金相显微镜</w:t>
                  </w:r>
                </w:p>
              </w:tc>
              <w:tc>
                <w:tcPr>
                  <w:tcW w:w="1589" w:type="pct"/>
                  <w:vAlign w:val="center"/>
                </w:tcPr>
                <w:p>
                  <w:pPr>
                    <w:wordWrap w:val="0"/>
                    <w:topLinePunct/>
                    <w:adjustRightInd w:val="0"/>
                    <w:snapToGrid w:val="0"/>
                    <w:jc w:val="center"/>
                    <w:rPr>
                      <w:szCs w:val="21"/>
                    </w:rPr>
                  </w:pPr>
                  <w:r>
                    <w:rPr>
                      <w:rFonts w:hint="eastAsia"/>
                      <w:szCs w:val="21"/>
                    </w:rPr>
                    <w:t>舜宇CX40MR</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vAlign w:val="center"/>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47</w:t>
                  </w:r>
                </w:p>
              </w:tc>
              <w:tc>
                <w:tcPr>
                  <w:tcW w:w="1513" w:type="pct"/>
                  <w:vAlign w:val="center"/>
                </w:tcPr>
                <w:p>
                  <w:pPr>
                    <w:wordWrap w:val="0"/>
                    <w:topLinePunct/>
                    <w:adjustRightInd w:val="0"/>
                    <w:snapToGrid w:val="0"/>
                    <w:jc w:val="center"/>
                    <w:rPr>
                      <w:szCs w:val="21"/>
                    </w:rPr>
                  </w:pPr>
                  <w:r>
                    <w:rPr>
                      <w:rFonts w:hint="eastAsia"/>
                      <w:szCs w:val="21"/>
                    </w:rPr>
                    <w:t>三坐标测量机</w:t>
                  </w:r>
                </w:p>
              </w:tc>
              <w:tc>
                <w:tcPr>
                  <w:tcW w:w="1589" w:type="pct"/>
                  <w:vAlign w:val="center"/>
                </w:tcPr>
                <w:p>
                  <w:pPr>
                    <w:wordWrap w:val="0"/>
                    <w:topLinePunct/>
                    <w:adjustRightInd w:val="0"/>
                    <w:snapToGrid w:val="0"/>
                    <w:jc w:val="center"/>
                    <w:rPr>
                      <w:szCs w:val="21"/>
                    </w:rPr>
                  </w:pPr>
                  <w:r>
                    <w:rPr>
                      <w:rFonts w:hint="eastAsia"/>
                      <w:szCs w:val="21"/>
                    </w:rPr>
                    <w:t>CROMA CLASSIC 8126</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48</w:t>
                  </w:r>
                </w:p>
              </w:tc>
              <w:tc>
                <w:tcPr>
                  <w:tcW w:w="1513" w:type="pct"/>
                  <w:vAlign w:val="center"/>
                </w:tcPr>
                <w:p>
                  <w:pPr>
                    <w:wordWrap w:val="0"/>
                    <w:topLinePunct/>
                    <w:adjustRightInd w:val="0"/>
                    <w:snapToGrid w:val="0"/>
                    <w:jc w:val="center"/>
                    <w:rPr>
                      <w:szCs w:val="21"/>
                    </w:rPr>
                  </w:pPr>
                  <w:r>
                    <w:rPr>
                      <w:rFonts w:hint="eastAsia"/>
                      <w:szCs w:val="21"/>
                    </w:rPr>
                    <w:t>X射线探伤仪</w:t>
                  </w:r>
                </w:p>
              </w:tc>
              <w:tc>
                <w:tcPr>
                  <w:tcW w:w="1589" w:type="pct"/>
                  <w:vAlign w:val="center"/>
                </w:tcPr>
                <w:p>
                  <w:pPr>
                    <w:wordWrap w:val="0"/>
                    <w:topLinePunct/>
                    <w:adjustRightInd w:val="0"/>
                    <w:snapToGrid w:val="0"/>
                    <w:jc w:val="center"/>
                    <w:rPr>
                      <w:szCs w:val="21"/>
                    </w:rPr>
                  </w:pPr>
                  <w:r>
                    <w:rPr>
                      <w:rFonts w:hint="eastAsia"/>
                      <w:szCs w:val="21"/>
                    </w:rPr>
                    <w:t>XG-160ST/C</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49</w:t>
                  </w:r>
                </w:p>
              </w:tc>
              <w:tc>
                <w:tcPr>
                  <w:tcW w:w="1513" w:type="pct"/>
                  <w:vAlign w:val="center"/>
                </w:tcPr>
                <w:p>
                  <w:pPr>
                    <w:wordWrap w:val="0"/>
                    <w:topLinePunct/>
                    <w:adjustRightInd w:val="0"/>
                    <w:snapToGrid w:val="0"/>
                    <w:jc w:val="center"/>
                    <w:rPr>
                      <w:szCs w:val="21"/>
                    </w:rPr>
                  </w:pPr>
                  <w:r>
                    <w:rPr>
                      <w:rFonts w:hint="eastAsia"/>
                      <w:szCs w:val="21"/>
                    </w:rPr>
                    <w:t>多功能荧光磁粉探伤机</w:t>
                  </w:r>
                </w:p>
              </w:tc>
              <w:tc>
                <w:tcPr>
                  <w:tcW w:w="1589" w:type="pct"/>
                  <w:vAlign w:val="center"/>
                </w:tcPr>
                <w:p>
                  <w:pPr>
                    <w:wordWrap w:val="0"/>
                    <w:topLinePunct/>
                    <w:adjustRightInd w:val="0"/>
                    <w:snapToGrid w:val="0"/>
                    <w:jc w:val="center"/>
                    <w:rPr>
                      <w:szCs w:val="21"/>
                    </w:rPr>
                  </w:pPr>
                  <w:r>
                    <w:rPr>
                      <w:rFonts w:hint="eastAsia"/>
                      <w:szCs w:val="21"/>
                    </w:rPr>
                    <w:t>4000A/10000A</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50</w:t>
                  </w:r>
                </w:p>
              </w:tc>
              <w:tc>
                <w:tcPr>
                  <w:tcW w:w="1513" w:type="pct"/>
                  <w:vAlign w:val="center"/>
                </w:tcPr>
                <w:p>
                  <w:pPr>
                    <w:wordWrap w:val="0"/>
                    <w:topLinePunct/>
                    <w:adjustRightInd w:val="0"/>
                    <w:snapToGrid w:val="0"/>
                    <w:jc w:val="center"/>
                    <w:rPr>
                      <w:szCs w:val="21"/>
                    </w:rPr>
                  </w:pPr>
                  <w:r>
                    <w:rPr>
                      <w:rFonts w:hint="eastAsia"/>
                      <w:szCs w:val="21"/>
                    </w:rPr>
                    <w:t>超声波探伤仪</w:t>
                  </w:r>
                </w:p>
              </w:tc>
              <w:tc>
                <w:tcPr>
                  <w:tcW w:w="1589" w:type="pct"/>
                  <w:vAlign w:val="center"/>
                </w:tcPr>
                <w:p>
                  <w:pPr>
                    <w:wordWrap w:val="0"/>
                    <w:topLinePunct/>
                    <w:adjustRightInd w:val="0"/>
                    <w:snapToGrid w:val="0"/>
                    <w:jc w:val="center"/>
                    <w:rPr>
                      <w:szCs w:val="21"/>
                    </w:rPr>
                  </w:pPr>
                  <w:r>
                    <w:rPr>
                      <w:rFonts w:hint="eastAsia"/>
                      <w:szCs w:val="21"/>
                    </w:rPr>
                    <w:t>奥林巴斯 EPOCH 650</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51</w:t>
                  </w:r>
                </w:p>
              </w:tc>
              <w:tc>
                <w:tcPr>
                  <w:tcW w:w="1513" w:type="pct"/>
                  <w:vAlign w:val="center"/>
                </w:tcPr>
                <w:p>
                  <w:pPr>
                    <w:wordWrap w:val="0"/>
                    <w:topLinePunct/>
                    <w:adjustRightInd w:val="0"/>
                    <w:snapToGrid w:val="0"/>
                    <w:jc w:val="center"/>
                    <w:rPr>
                      <w:szCs w:val="21"/>
                    </w:rPr>
                  </w:pPr>
                  <w:r>
                    <w:rPr>
                      <w:rFonts w:hint="eastAsia"/>
                      <w:szCs w:val="21"/>
                    </w:rPr>
                    <w:t>布氏硬度计</w:t>
                  </w:r>
                </w:p>
              </w:tc>
              <w:tc>
                <w:tcPr>
                  <w:tcW w:w="1589" w:type="pct"/>
                  <w:vAlign w:val="center"/>
                </w:tcPr>
                <w:p>
                  <w:pPr>
                    <w:wordWrap w:val="0"/>
                    <w:topLinePunct/>
                    <w:adjustRightInd w:val="0"/>
                    <w:snapToGrid w:val="0"/>
                    <w:jc w:val="center"/>
                    <w:rPr>
                      <w:szCs w:val="21"/>
                    </w:rPr>
                  </w:pPr>
                  <w:r>
                    <w:rPr>
                      <w:rFonts w:hint="eastAsia"/>
                      <w:szCs w:val="21"/>
                    </w:rPr>
                    <w:t>HB-3000</w:t>
                  </w:r>
                </w:p>
              </w:tc>
              <w:tc>
                <w:tcPr>
                  <w:tcW w:w="903" w:type="pct"/>
                  <w:vAlign w:val="center"/>
                </w:tcPr>
                <w:p>
                  <w:pPr>
                    <w:wordWrap w:val="0"/>
                    <w:topLinePunct/>
                    <w:adjustRightInd w:val="0"/>
                    <w:snapToGrid w:val="0"/>
                    <w:jc w:val="center"/>
                    <w:rPr>
                      <w:szCs w:val="21"/>
                    </w:rPr>
                  </w:pPr>
                  <w:r>
                    <w:rPr>
                      <w:rFonts w:hint="eastAsia"/>
                      <w:szCs w:val="21"/>
                    </w:rPr>
                    <w:t>3</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52</w:t>
                  </w:r>
                </w:p>
              </w:tc>
              <w:tc>
                <w:tcPr>
                  <w:tcW w:w="1513" w:type="pct"/>
                  <w:vAlign w:val="center"/>
                </w:tcPr>
                <w:p>
                  <w:pPr>
                    <w:wordWrap w:val="0"/>
                    <w:topLinePunct/>
                    <w:adjustRightInd w:val="0"/>
                    <w:snapToGrid w:val="0"/>
                    <w:jc w:val="center"/>
                    <w:rPr>
                      <w:szCs w:val="21"/>
                    </w:rPr>
                  </w:pPr>
                  <w:r>
                    <w:rPr>
                      <w:rFonts w:hint="eastAsia"/>
                      <w:szCs w:val="21"/>
                    </w:rPr>
                    <w:t>洛氏硬度计</w:t>
                  </w:r>
                </w:p>
              </w:tc>
              <w:tc>
                <w:tcPr>
                  <w:tcW w:w="1589" w:type="pct"/>
                  <w:vAlign w:val="center"/>
                </w:tcPr>
                <w:p>
                  <w:pPr>
                    <w:wordWrap w:val="0"/>
                    <w:topLinePunct/>
                    <w:adjustRightInd w:val="0"/>
                    <w:snapToGrid w:val="0"/>
                    <w:jc w:val="center"/>
                    <w:rPr>
                      <w:szCs w:val="21"/>
                    </w:rPr>
                  </w:pPr>
                  <w:r>
                    <w:rPr>
                      <w:rFonts w:hint="eastAsia"/>
                      <w:szCs w:val="21"/>
                    </w:rPr>
                    <w:t>200HR150</w:t>
                  </w:r>
                </w:p>
              </w:tc>
              <w:tc>
                <w:tcPr>
                  <w:tcW w:w="903" w:type="pct"/>
                  <w:vAlign w:val="center"/>
                </w:tcPr>
                <w:p>
                  <w:pPr>
                    <w:wordWrap w:val="0"/>
                    <w:topLinePunct/>
                    <w:adjustRightInd w:val="0"/>
                    <w:snapToGrid w:val="0"/>
                    <w:jc w:val="center"/>
                    <w:rPr>
                      <w:szCs w:val="21"/>
                    </w:rPr>
                  </w:pPr>
                  <w:r>
                    <w:rPr>
                      <w:rFonts w:hint="eastAsia"/>
                      <w:szCs w:val="21"/>
                    </w:rPr>
                    <w:t>2</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53</w:t>
                  </w:r>
                </w:p>
              </w:tc>
              <w:tc>
                <w:tcPr>
                  <w:tcW w:w="1513" w:type="pct"/>
                  <w:vAlign w:val="center"/>
                </w:tcPr>
                <w:p>
                  <w:pPr>
                    <w:wordWrap w:val="0"/>
                    <w:topLinePunct/>
                    <w:adjustRightInd w:val="0"/>
                    <w:snapToGrid w:val="0"/>
                    <w:jc w:val="center"/>
                    <w:rPr>
                      <w:szCs w:val="21"/>
                    </w:rPr>
                  </w:pPr>
                  <w:r>
                    <w:rPr>
                      <w:rFonts w:hint="eastAsia"/>
                      <w:szCs w:val="21"/>
                    </w:rPr>
                    <w:t>盐雾试验机</w:t>
                  </w:r>
                </w:p>
              </w:tc>
              <w:tc>
                <w:tcPr>
                  <w:tcW w:w="1589" w:type="pct"/>
                  <w:vAlign w:val="center"/>
                </w:tcPr>
                <w:p>
                  <w:pPr>
                    <w:wordWrap w:val="0"/>
                    <w:topLinePunct/>
                    <w:adjustRightInd w:val="0"/>
                    <w:snapToGrid w:val="0"/>
                    <w:jc w:val="center"/>
                    <w:rPr>
                      <w:szCs w:val="21"/>
                    </w:rPr>
                  </w:pPr>
                  <w:r>
                    <w:rPr>
                      <w:rFonts w:hint="eastAsia"/>
                      <w:szCs w:val="21"/>
                    </w:rPr>
                    <w:t>HL-60-SS</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jc w:val="center"/>
              </w:trPr>
              <w:tc>
                <w:tcPr>
                  <w:tcW w:w="467" w:type="pct"/>
                  <w:vAlign w:val="center"/>
                </w:tcPr>
                <w:p>
                  <w:pPr>
                    <w:wordWrap w:val="0"/>
                    <w:topLinePunct/>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54</w:t>
                  </w:r>
                </w:p>
              </w:tc>
              <w:tc>
                <w:tcPr>
                  <w:tcW w:w="1513" w:type="pct"/>
                  <w:vAlign w:val="center"/>
                </w:tcPr>
                <w:p>
                  <w:pPr>
                    <w:wordWrap w:val="0"/>
                    <w:topLinePunct/>
                    <w:adjustRightInd w:val="0"/>
                    <w:snapToGrid w:val="0"/>
                    <w:jc w:val="center"/>
                    <w:rPr>
                      <w:szCs w:val="21"/>
                    </w:rPr>
                  </w:pPr>
                  <w:r>
                    <w:rPr>
                      <w:rFonts w:hint="eastAsia"/>
                      <w:szCs w:val="21"/>
                    </w:rPr>
                    <w:t>投影仪</w:t>
                  </w:r>
                </w:p>
              </w:tc>
              <w:tc>
                <w:tcPr>
                  <w:tcW w:w="1589" w:type="pct"/>
                  <w:vAlign w:val="center"/>
                </w:tcPr>
                <w:p>
                  <w:pPr>
                    <w:wordWrap w:val="0"/>
                    <w:topLinePunct/>
                    <w:adjustRightInd w:val="0"/>
                    <w:snapToGrid w:val="0"/>
                    <w:jc w:val="center"/>
                    <w:rPr>
                      <w:szCs w:val="21"/>
                    </w:rPr>
                  </w:pPr>
                  <w:r>
                    <w:rPr>
                      <w:rFonts w:hint="eastAsia"/>
                      <w:szCs w:val="21"/>
                    </w:rPr>
                    <w:t>/</w:t>
                  </w:r>
                </w:p>
              </w:tc>
              <w:tc>
                <w:tcPr>
                  <w:tcW w:w="903" w:type="pct"/>
                  <w:vAlign w:val="center"/>
                </w:tcPr>
                <w:p>
                  <w:pPr>
                    <w:wordWrap w:val="0"/>
                    <w:topLinePunct/>
                    <w:adjustRightInd w:val="0"/>
                    <w:snapToGrid w:val="0"/>
                    <w:jc w:val="center"/>
                    <w:rPr>
                      <w:szCs w:val="21"/>
                    </w:rPr>
                  </w:pPr>
                  <w:r>
                    <w:rPr>
                      <w:rFonts w:hint="eastAsia"/>
                      <w:szCs w:val="21"/>
                    </w:rPr>
                    <w:t>1</w:t>
                  </w:r>
                </w:p>
              </w:tc>
              <w:tc>
                <w:tcPr>
                  <w:tcW w:w="526" w:type="pct"/>
                  <w:vMerge w:val="continue"/>
                </w:tcPr>
                <w:p>
                  <w:pPr>
                    <w:widowControl/>
                    <w:adjustRightInd w:val="0"/>
                    <w:snapToGrid w:val="0"/>
                    <w:jc w:val="center"/>
                    <w:textAlignment w:val="center"/>
                    <w:rPr>
                      <w:bCs/>
                      <w:color w:val="000000" w:themeColor="text1"/>
                      <w:szCs w:val="21"/>
                      <w14:textFill>
                        <w14:solidFill>
                          <w14:schemeClr w14:val="tx1"/>
                        </w14:solidFill>
                      </w14:textFill>
                    </w:rPr>
                  </w:pPr>
                </w:p>
              </w:tc>
            </w:tr>
          </w:tbl>
          <w:p>
            <w:pPr>
              <w:adjustRightInd w:val="0"/>
              <w:snapToGrid w:val="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注：*为X射线探伤仪涉及辐射需另行评价，不纳入本项目环评范围。</w:t>
            </w:r>
          </w:p>
          <w:p>
            <w:pPr>
              <w:adjustRightInd w:val="0"/>
              <w:spacing w:line="360" w:lineRule="auto"/>
              <w:ind w:firstLine="482" w:firstLineChars="200"/>
              <w:jc w:val="left"/>
              <w:rPr>
                <w:bCs/>
                <w:color w:val="000000" w:themeColor="text1"/>
                <w:sz w:val="24"/>
                <w14:textFill>
                  <w14:solidFill>
                    <w14:schemeClr w14:val="tx1"/>
                  </w14:solidFill>
                </w14:textFill>
              </w:rPr>
            </w:pPr>
            <w:r>
              <w:rPr>
                <w:b/>
                <w:color w:val="000000" w:themeColor="text1"/>
                <w:sz w:val="24"/>
                <w14:textFill>
                  <w14:solidFill>
                    <w14:schemeClr w14:val="tx1"/>
                  </w14:solidFill>
                </w14:textFill>
              </w:rPr>
              <w:t>5、项目主要原辅材料</w:t>
            </w:r>
          </w:p>
          <w:p>
            <w:pPr>
              <w:adjustRightInd w:val="0"/>
              <w:spacing w:line="360" w:lineRule="auto"/>
              <w:ind w:firstLine="480" w:firstLineChars="200"/>
              <w:jc w:val="left"/>
              <w:rPr>
                <w:b/>
                <w:color w:val="000000" w:themeColor="text1"/>
                <w:szCs w:val="21"/>
                <w14:textFill>
                  <w14:solidFill>
                    <w14:schemeClr w14:val="tx1"/>
                  </w14:solidFill>
                </w14:textFill>
              </w:rPr>
            </w:pPr>
            <w:r>
              <w:rPr>
                <w:bCs/>
                <w:color w:val="000000" w:themeColor="text1"/>
                <w:sz w:val="24"/>
                <w14:textFill>
                  <w14:solidFill>
                    <w14:schemeClr w14:val="tx1"/>
                  </w14:solidFill>
                </w14:textFill>
              </w:rPr>
              <w:t>项目主要原辅材料详见下表：</w:t>
            </w:r>
          </w:p>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项目主要原辅材料一览表</w:t>
            </w:r>
          </w:p>
          <w:tbl>
            <w:tblPr>
              <w:tblStyle w:val="19"/>
              <w:tblW w:w="4994"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47"/>
              <w:gridCol w:w="949"/>
              <w:gridCol w:w="1897"/>
              <w:gridCol w:w="1122"/>
              <w:gridCol w:w="1088"/>
              <w:gridCol w:w="1051"/>
              <w:gridCol w:w="13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81" w:type="pct"/>
                  <w:noWrap/>
                  <w:tcMar>
                    <w:top w:w="15" w:type="dxa"/>
                    <w:left w:w="15" w:type="dxa"/>
                    <w:right w:w="15" w:type="dxa"/>
                  </w:tcMar>
                  <w:vAlign w:val="center"/>
                </w:tcPr>
                <w:p>
                  <w:pPr>
                    <w:widowControl/>
                    <w:adjustRightInd w:val="0"/>
                    <w:snapToGrid w:val="0"/>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序号</w:t>
                  </w:r>
                </w:p>
              </w:tc>
              <w:tc>
                <w:tcPr>
                  <w:tcW w:w="598" w:type="pct"/>
                  <w:noWrap/>
                  <w:tcMar>
                    <w:top w:w="15" w:type="dxa"/>
                    <w:left w:w="15" w:type="dxa"/>
                    <w:right w:w="15" w:type="dxa"/>
                  </w:tcMar>
                  <w:vAlign w:val="center"/>
                </w:tcPr>
                <w:p>
                  <w:pPr>
                    <w:widowControl/>
                    <w:adjustRightInd w:val="0"/>
                    <w:snapToGrid w:val="0"/>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名称</w:t>
                  </w:r>
                </w:p>
              </w:tc>
              <w:tc>
                <w:tcPr>
                  <w:tcW w:w="1195" w:type="pct"/>
                  <w:tcMar>
                    <w:top w:w="15" w:type="dxa"/>
                    <w:left w:w="15" w:type="dxa"/>
                    <w:right w:w="15" w:type="dxa"/>
                  </w:tcMar>
                  <w:vAlign w:val="center"/>
                </w:tcPr>
                <w:p>
                  <w:pPr>
                    <w:widowControl/>
                    <w:adjustRightInd w:val="0"/>
                    <w:snapToGrid w:val="0"/>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成分</w:t>
                  </w:r>
                </w:p>
              </w:tc>
              <w:tc>
                <w:tcPr>
                  <w:tcW w:w="707" w:type="pct"/>
                  <w:tcMar>
                    <w:top w:w="15" w:type="dxa"/>
                    <w:left w:w="15" w:type="dxa"/>
                    <w:right w:w="15" w:type="dxa"/>
                  </w:tcMar>
                  <w:vAlign w:val="center"/>
                </w:tcPr>
                <w:p>
                  <w:pPr>
                    <w:widowControl/>
                    <w:adjustRightInd w:val="0"/>
                    <w:snapToGrid w:val="0"/>
                    <w:jc w:val="center"/>
                    <w:textAlignment w:val="center"/>
                    <w:rPr>
                      <w:b/>
                      <w:color w:val="000000" w:themeColor="text1"/>
                      <w:kern w:val="0"/>
                      <w:szCs w:val="21"/>
                      <w:lang w:bidi="ar"/>
                      <w14:textFill>
                        <w14:solidFill>
                          <w14:schemeClr w14:val="tx1"/>
                        </w14:solidFill>
                      </w14:textFill>
                    </w:rPr>
                  </w:pPr>
                  <w:r>
                    <w:rPr>
                      <w:b/>
                      <w:color w:val="000000" w:themeColor="text1"/>
                      <w:kern w:val="0"/>
                      <w:szCs w:val="21"/>
                      <w:lang w:bidi="ar"/>
                      <w14:textFill>
                        <w14:solidFill>
                          <w14:schemeClr w14:val="tx1"/>
                        </w14:solidFill>
                      </w14:textFill>
                    </w:rPr>
                    <w:t>包装规格</w:t>
                  </w:r>
                </w:p>
              </w:tc>
              <w:tc>
                <w:tcPr>
                  <w:tcW w:w="685" w:type="pct"/>
                  <w:tcMar>
                    <w:top w:w="15" w:type="dxa"/>
                    <w:left w:w="15" w:type="dxa"/>
                    <w:right w:w="15" w:type="dxa"/>
                  </w:tcMar>
                  <w:vAlign w:val="center"/>
                </w:tcPr>
                <w:p>
                  <w:pPr>
                    <w:widowControl/>
                    <w:adjustRightInd w:val="0"/>
                    <w:snapToGrid w:val="0"/>
                    <w:jc w:val="center"/>
                    <w:textAlignment w:val="center"/>
                    <w:rPr>
                      <w:b/>
                      <w:color w:val="000000" w:themeColor="text1"/>
                      <w:kern w:val="0"/>
                      <w:szCs w:val="21"/>
                      <w:lang w:bidi="ar"/>
                      <w14:textFill>
                        <w14:solidFill>
                          <w14:schemeClr w14:val="tx1"/>
                        </w14:solidFill>
                      </w14:textFill>
                    </w:rPr>
                  </w:pPr>
                  <w:r>
                    <w:rPr>
                      <w:b/>
                      <w:color w:val="000000" w:themeColor="text1"/>
                      <w:kern w:val="0"/>
                      <w:szCs w:val="21"/>
                      <w:lang w:bidi="ar"/>
                      <w14:textFill>
                        <w14:solidFill>
                          <w14:schemeClr w14:val="tx1"/>
                        </w14:solidFill>
                      </w14:textFill>
                    </w:rPr>
                    <w:t>年消耗用量（t）</w:t>
                  </w:r>
                </w:p>
              </w:tc>
              <w:tc>
                <w:tcPr>
                  <w:tcW w:w="662" w:type="pct"/>
                  <w:tcMar>
                    <w:top w:w="15" w:type="dxa"/>
                    <w:left w:w="15" w:type="dxa"/>
                    <w:right w:w="15" w:type="dxa"/>
                  </w:tcMar>
                  <w:vAlign w:val="center"/>
                </w:tcPr>
                <w:p>
                  <w:pPr>
                    <w:widowControl/>
                    <w:adjustRightInd w:val="0"/>
                    <w:snapToGrid w:val="0"/>
                    <w:jc w:val="center"/>
                    <w:textAlignment w:val="center"/>
                    <w:rPr>
                      <w:b/>
                      <w:color w:val="000000" w:themeColor="text1"/>
                      <w:kern w:val="0"/>
                      <w:szCs w:val="21"/>
                      <w:lang w:bidi="ar"/>
                      <w14:textFill>
                        <w14:solidFill>
                          <w14:schemeClr w14:val="tx1"/>
                        </w14:solidFill>
                      </w14:textFill>
                    </w:rPr>
                  </w:pPr>
                  <w:r>
                    <w:rPr>
                      <w:b/>
                      <w:color w:val="000000" w:themeColor="text1"/>
                      <w:kern w:val="0"/>
                      <w:szCs w:val="21"/>
                      <w:lang w:bidi="ar"/>
                      <w14:textFill>
                        <w14:solidFill>
                          <w14:schemeClr w14:val="tx1"/>
                        </w14:solidFill>
                      </w14:textFill>
                    </w:rPr>
                    <w:t>最大暂存量（t）</w:t>
                  </w:r>
                </w:p>
              </w:tc>
              <w:tc>
                <w:tcPr>
                  <w:tcW w:w="868" w:type="pct"/>
                  <w:tcMar>
                    <w:top w:w="15" w:type="dxa"/>
                    <w:left w:w="15" w:type="dxa"/>
                    <w:right w:w="15" w:type="dxa"/>
                  </w:tcMar>
                  <w:vAlign w:val="center"/>
                </w:tcPr>
                <w:p>
                  <w:pPr>
                    <w:widowControl/>
                    <w:adjustRightInd w:val="0"/>
                    <w:snapToGrid w:val="0"/>
                    <w:jc w:val="center"/>
                    <w:textAlignment w:val="center"/>
                    <w:rPr>
                      <w:b/>
                      <w:color w:val="000000" w:themeColor="text1"/>
                      <w:szCs w:val="21"/>
                      <w14:textFill>
                        <w14:solidFill>
                          <w14:schemeClr w14:val="tx1"/>
                        </w14:solidFill>
                      </w14:textFill>
                    </w:rPr>
                  </w:pPr>
                  <w:r>
                    <w:rPr>
                      <w:b/>
                      <w:color w:val="000000" w:themeColor="text1"/>
                      <w:kern w:val="0"/>
                      <w:szCs w:val="21"/>
                      <w:lang w:bidi="ar"/>
                      <w14:textFill>
                        <w14:solidFill>
                          <w14:schemeClr w14:val="tx1"/>
                        </w14:solidFill>
                      </w14:textFill>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000" w:type="pct"/>
                  <w:gridSpan w:val="7"/>
                  <w:noWrap/>
                  <w:tcMar>
                    <w:top w:w="15" w:type="dxa"/>
                    <w:left w:w="15" w:type="dxa"/>
                    <w:right w:w="15" w:type="dxa"/>
                  </w:tcMar>
                  <w:vAlign w:val="center"/>
                </w:tcPr>
                <w:p>
                  <w:pPr>
                    <w:widowControl/>
                    <w:adjustRightInd w:val="0"/>
                    <w:snapToGrid w:val="0"/>
                    <w:jc w:val="center"/>
                    <w:textAlignment w:val="center"/>
                    <w:rPr>
                      <w:b/>
                      <w:color w:val="000000" w:themeColor="text1"/>
                      <w:kern w:val="0"/>
                      <w:szCs w:val="21"/>
                      <w:lang w:bidi="ar"/>
                      <w14:textFill>
                        <w14:solidFill>
                          <w14:schemeClr w14:val="tx1"/>
                        </w14:solidFill>
                      </w14:textFill>
                    </w:rPr>
                  </w:pPr>
                  <w:r>
                    <w:rPr>
                      <w:rFonts w:hint="eastAsia"/>
                      <w:b/>
                      <w:color w:val="000000" w:themeColor="text1"/>
                      <w14:textFill>
                        <w14:solidFill>
                          <w14:schemeClr w14:val="tx1"/>
                        </w14:solidFill>
                      </w14:textFill>
                    </w:rPr>
                    <w:t>汽车轻量化配套铝合金零部件</w:t>
                  </w:r>
                  <w:r>
                    <w:rPr>
                      <w:b/>
                      <w:color w:val="000000" w:themeColor="text1"/>
                      <w14:textFill>
                        <w14:solidFill>
                          <w14:schemeClr w14:val="tx1"/>
                        </w14:solidFill>
                      </w14:textFill>
                    </w:rPr>
                    <w:t>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81"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p>
              </w:tc>
              <w:tc>
                <w:tcPr>
                  <w:tcW w:w="598"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铝锭</w:t>
                  </w:r>
                </w:p>
              </w:tc>
              <w:tc>
                <w:tcPr>
                  <w:tcW w:w="1195"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707"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ZL101/ZL107/A356</w:t>
                  </w:r>
                </w:p>
              </w:tc>
              <w:tc>
                <w:tcPr>
                  <w:tcW w:w="685" w:type="pct"/>
                  <w:noWrap/>
                  <w:tcMar>
                    <w:top w:w="15" w:type="dxa"/>
                    <w:left w:w="15" w:type="dxa"/>
                    <w:right w:w="15" w:type="dxa"/>
                  </w:tcMar>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2300</w:t>
                  </w:r>
                </w:p>
              </w:tc>
              <w:tc>
                <w:tcPr>
                  <w:tcW w:w="662"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50</w:t>
                  </w:r>
                </w:p>
              </w:tc>
              <w:tc>
                <w:tcPr>
                  <w:tcW w:w="868"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w:t>
                  </w:r>
                </w:p>
              </w:tc>
              <w:tc>
                <w:tcPr>
                  <w:tcW w:w="598"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精炼变质剂</w:t>
                  </w:r>
                </w:p>
              </w:tc>
              <w:tc>
                <w:tcPr>
                  <w:tcW w:w="1195"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Na</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30-32.5%、K</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13.5-14.5%、Sr</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4.5-5.5%、Ti</w:t>
                  </w:r>
                  <w:r>
                    <w:rPr>
                      <w:rFonts w:hint="eastAsia"/>
                      <w:color w:val="000000" w:themeColor="text1"/>
                      <w:vertAlign w:val="superscript"/>
                      <w14:textFill>
                        <w14:solidFill>
                          <w14:schemeClr w14:val="tx1"/>
                        </w14:solidFill>
                      </w14:textFill>
                    </w:rPr>
                    <w:t>4+</w:t>
                  </w:r>
                  <w:r>
                    <w:rPr>
                      <w:rFonts w:hint="eastAsia"/>
                      <w:color w:val="000000" w:themeColor="text1"/>
                      <w14:textFill>
                        <w14:solidFill>
                          <w14:schemeClr w14:val="tx1"/>
                        </w14:solidFill>
                      </w14:textFill>
                    </w:rPr>
                    <w:t>0.9-1%、Cl</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16-17.5%、CO</w:t>
                  </w:r>
                  <w:r>
                    <w:rPr>
                      <w:rFonts w:hint="eastAsia"/>
                      <w:color w:val="000000" w:themeColor="text1"/>
                      <w:vertAlign w:val="subscript"/>
                      <w14:textFill>
                        <w14:solidFill>
                          <w14:schemeClr w14:val="tx1"/>
                        </w14:solidFill>
                      </w14:textFill>
                    </w:rPr>
                    <w:t>3</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12.5-13%</w:t>
                  </w:r>
                </w:p>
              </w:tc>
              <w:tc>
                <w:tcPr>
                  <w:tcW w:w="707"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纸盒包装</w:t>
                  </w:r>
                </w:p>
              </w:tc>
              <w:tc>
                <w:tcPr>
                  <w:tcW w:w="685" w:type="pct"/>
                  <w:noWrap/>
                  <w:tcMar>
                    <w:top w:w="15" w:type="dxa"/>
                    <w:left w:w="15" w:type="dxa"/>
                    <w:right w:w="15" w:type="dxa"/>
                  </w:tcMar>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6.6</w:t>
                  </w:r>
                </w:p>
              </w:tc>
              <w:tc>
                <w:tcPr>
                  <w:tcW w:w="662"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868"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w:t>
                  </w:r>
                </w:p>
              </w:tc>
              <w:tc>
                <w:tcPr>
                  <w:tcW w:w="598"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清渣覆盖剂</w:t>
                  </w:r>
                </w:p>
              </w:tc>
              <w:tc>
                <w:tcPr>
                  <w:tcW w:w="1195"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Na</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18-20%、K</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11-13%、Ca</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8-10%、Cl</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24-26%</w:t>
                  </w:r>
                </w:p>
              </w:tc>
              <w:tc>
                <w:tcPr>
                  <w:tcW w:w="707"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纸盒包装</w:t>
                  </w:r>
                </w:p>
              </w:tc>
              <w:tc>
                <w:tcPr>
                  <w:tcW w:w="685" w:type="pct"/>
                  <w:noWrap/>
                  <w:tcMar>
                    <w:top w:w="15" w:type="dxa"/>
                    <w:left w:w="15" w:type="dxa"/>
                    <w:right w:w="15" w:type="dxa"/>
                  </w:tcMar>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6.6</w:t>
                  </w:r>
                </w:p>
              </w:tc>
              <w:tc>
                <w:tcPr>
                  <w:tcW w:w="662"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868"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81"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4</w:t>
                  </w:r>
                </w:p>
              </w:tc>
              <w:tc>
                <w:tcPr>
                  <w:tcW w:w="598"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覆膜砂</w:t>
                  </w:r>
                </w:p>
              </w:tc>
              <w:tc>
                <w:tcPr>
                  <w:tcW w:w="1195" w:type="pct"/>
                  <w:tcMar>
                    <w:top w:w="15" w:type="dxa"/>
                    <w:left w:w="15" w:type="dxa"/>
                    <w:right w:w="15" w:type="dxa"/>
                  </w:tcMar>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97%天然河沙、3%酚醛树脂</w:t>
                  </w:r>
                </w:p>
              </w:tc>
              <w:tc>
                <w:tcPr>
                  <w:tcW w:w="707"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袋装</w:t>
                  </w:r>
                </w:p>
              </w:tc>
              <w:tc>
                <w:tcPr>
                  <w:tcW w:w="685" w:type="pct"/>
                  <w:noWrap/>
                  <w:tcMar>
                    <w:top w:w="15" w:type="dxa"/>
                    <w:left w:w="15" w:type="dxa"/>
                    <w:right w:w="15" w:type="dxa"/>
                  </w:tcMar>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80</w:t>
                  </w:r>
                </w:p>
              </w:tc>
              <w:tc>
                <w:tcPr>
                  <w:tcW w:w="662"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868" w:type="pct"/>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5</w:t>
                  </w:r>
                </w:p>
              </w:tc>
              <w:tc>
                <w:tcPr>
                  <w:tcW w:w="598"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除气剂</w:t>
                  </w:r>
                </w:p>
              </w:tc>
              <w:tc>
                <w:tcPr>
                  <w:tcW w:w="1195" w:type="pct"/>
                  <w:tcMar>
                    <w:top w:w="15" w:type="dxa"/>
                    <w:left w:w="15" w:type="dxa"/>
                    <w:right w:w="15" w:type="dxa"/>
                  </w:tcMar>
                  <w:vAlign w:val="center"/>
                </w:tcPr>
                <w:p>
                  <w:pPr>
                    <w:adjustRightInd w:val="0"/>
                    <w:snapToGrid w:val="0"/>
                    <w:jc w:val="center"/>
                    <w:rPr>
                      <w:bCs/>
                      <w:color w:val="000000" w:themeColor="text1"/>
                      <w:szCs w:val="21"/>
                      <w14:textFill>
                        <w14:solidFill>
                          <w14:schemeClr w14:val="tx1"/>
                        </w14:solidFill>
                      </w14:textFill>
                    </w:rPr>
                  </w:pPr>
                  <w:r>
                    <w:rPr>
                      <w:color w:val="000000" w:themeColor="text1"/>
                      <w14:textFill>
                        <w14:solidFill>
                          <w14:schemeClr w14:val="tx1"/>
                        </w14:solidFill>
                      </w14:textFill>
                    </w:rPr>
                    <w:t>氮气，纯度</w:t>
                  </w:r>
                  <w:r>
                    <w:rPr>
                      <w:rFonts w:hint="eastAsia"/>
                      <w:color w:val="000000" w:themeColor="text1"/>
                      <w14:textFill>
                        <w14:solidFill>
                          <w14:schemeClr w14:val="tx1"/>
                        </w14:solidFill>
                      </w14:textFill>
                    </w:rPr>
                    <w:t>99.99%</w:t>
                  </w:r>
                </w:p>
              </w:tc>
              <w:tc>
                <w:tcPr>
                  <w:tcW w:w="707" w:type="pct"/>
                  <w:noWrap/>
                  <w:tcMar>
                    <w:top w:w="15" w:type="dxa"/>
                    <w:left w:w="15" w:type="dxa"/>
                    <w:right w:w="15" w:type="dxa"/>
                  </w:tcMar>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瓶装</w:t>
                  </w:r>
                </w:p>
              </w:tc>
              <w:tc>
                <w:tcPr>
                  <w:tcW w:w="685" w:type="pct"/>
                  <w:noWrap/>
                  <w:tcMar>
                    <w:top w:w="15" w:type="dxa"/>
                    <w:left w:w="15" w:type="dxa"/>
                    <w:right w:w="15" w:type="dxa"/>
                  </w:tcMar>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1500瓶</w:t>
                  </w:r>
                </w:p>
              </w:tc>
              <w:tc>
                <w:tcPr>
                  <w:tcW w:w="662" w:type="pct"/>
                  <w:tcMar>
                    <w:top w:w="15" w:type="dxa"/>
                    <w:left w:w="15" w:type="dxa"/>
                    <w:right w:w="15" w:type="dxa"/>
                  </w:tcMar>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10瓶</w:t>
                  </w:r>
                </w:p>
              </w:tc>
              <w:tc>
                <w:tcPr>
                  <w:tcW w:w="868" w:type="pct"/>
                  <w:tcMar>
                    <w:top w:w="15" w:type="dxa"/>
                    <w:left w:w="15" w:type="dxa"/>
                    <w:right w:w="15"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6</w:t>
                  </w:r>
                </w:p>
              </w:tc>
              <w:tc>
                <w:tcPr>
                  <w:tcW w:w="950" w:type="dxa"/>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DAG 395</w:t>
                  </w:r>
                  <w:r>
                    <w:rPr>
                      <w:color w:val="000000" w:themeColor="text1"/>
                      <w14:textFill>
                        <w14:solidFill>
                          <w14:schemeClr w14:val="tx1"/>
                        </w14:solidFill>
                      </w14:textFill>
                    </w:rPr>
                    <w:t>脱模剂</w:t>
                  </w:r>
                </w:p>
              </w:tc>
              <w:tc>
                <w:tcPr>
                  <w:tcW w:w="1899" w:type="dxa"/>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膨润土1~10%、云母1-5%、蛭石1-5%、石英（二氧化硅）40-50%、其他</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14:textFill>
                        <w14:solidFill>
                          <w14:schemeClr w14:val="tx1"/>
                        </w14:solidFill>
                      </w14:textFill>
                    </w:rPr>
                    <w:t>20kg</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桶</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0.4</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0.04</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7</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抛丸钢珠</w:t>
                  </w:r>
                </w:p>
              </w:tc>
              <w:tc>
                <w:tcPr>
                  <w:tcW w:w="1195" w:type="pct"/>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707"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8</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FLZ-404水性全能清洗剂</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纯水40-70%、非离子表面活性剂（复配）15-25%、硅酸盐5-10%、丁基溶纤剂1-10%，常温下密度为1.08g/cm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桶装</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1.5</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598"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FTY-800P金属防锈清洗剂</w:t>
                  </w:r>
                </w:p>
              </w:tc>
              <w:tc>
                <w:tcPr>
                  <w:tcW w:w="1195"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纯水40-70%、阴离子与非离子表面活性剂（复配）15-25%、偏硅酸类盐5-10%、有机硼酸脂胺盐（复 </w:t>
                  </w:r>
                </w:p>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配）3-5%、有机分散剂（复配）1-5%，常温下密度为1.06g/cm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桶装</w:t>
                  </w:r>
                </w:p>
              </w:tc>
              <w:tc>
                <w:tcPr>
                  <w:tcW w:w="685"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000" w:type="pct"/>
                  <w:gridSpan w:val="7"/>
                  <w:vAlign w:val="center"/>
                </w:tcPr>
                <w:p>
                  <w:pPr>
                    <w:adjustRightInd w:val="0"/>
                    <w:snapToGrid w:val="0"/>
                    <w:jc w:val="center"/>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高端装备国际配套零部件生产线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10</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圆钢</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碳钢、低合金钢</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14:textFill>
                        <w14:solidFill>
                          <w14:schemeClr w14:val="tx1"/>
                        </w14:solidFill>
                      </w14:textFill>
                    </w:rPr>
                    <w:t>直径</w:t>
                  </w:r>
                  <w:r>
                    <w:rPr>
                      <w:rFonts w:hint="eastAsia"/>
                      <w:color w:val="000000" w:themeColor="text1"/>
                      <w14:textFill>
                        <w14:solidFill>
                          <w14:schemeClr w14:val="tx1"/>
                        </w14:solidFill>
                      </w14:textFill>
                    </w:rPr>
                    <w:t>20-200mm</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2000</w:t>
                  </w:r>
                </w:p>
              </w:tc>
              <w:tc>
                <w:tcPr>
                  <w:tcW w:w="662"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200</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1</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铝合金铸棒</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6061/6062合金</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14:textFill>
                        <w14:solidFill>
                          <w14:schemeClr w14:val="tx1"/>
                        </w14:solidFill>
                      </w14:textFill>
                    </w:rPr>
                    <w:t>直径50-200mm</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r>
                    <w:rPr>
                      <w:rFonts w:hint="eastAsia"/>
                      <w:bCs/>
                      <w:color w:val="000000" w:themeColor="text1"/>
                      <w:szCs w:val="21"/>
                      <w14:textFill>
                        <w14:solidFill>
                          <w14:schemeClr w14:val="tx1"/>
                        </w14:solidFill>
                      </w14:textFill>
                    </w:rPr>
                    <w:t>05</w:t>
                  </w:r>
                  <w:r>
                    <w:rPr>
                      <w:bCs/>
                      <w:color w:val="000000" w:themeColor="text1"/>
                      <w:szCs w:val="21"/>
                      <w14:textFill>
                        <w14:solidFill>
                          <w14:schemeClr w14:val="tx1"/>
                        </w14:solidFill>
                      </w14:textFill>
                    </w:rPr>
                    <w:t>0</w:t>
                  </w:r>
                </w:p>
              </w:tc>
              <w:tc>
                <w:tcPr>
                  <w:tcW w:w="662"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30</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p>
              </w:tc>
              <w:tc>
                <w:tcPr>
                  <w:tcW w:w="950" w:type="dxa"/>
                  <w:vAlign w:val="center"/>
                </w:tcPr>
                <w:p>
                  <w:pPr>
                    <w:pStyle w:val="32"/>
                    <w:adjustRightInd w:val="0"/>
                    <w:snapToGrid w:val="0"/>
                    <w:spacing w:line="240" w:lineRule="auto"/>
                    <w:rPr>
                      <w:color w:val="000000" w:themeColor="text1"/>
                      <w14:textFill>
                        <w14:solidFill>
                          <w14:schemeClr w14:val="tx1"/>
                        </w14:solidFill>
                      </w14:textFill>
                    </w:rPr>
                  </w:pPr>
                  <w:r>
                    <w:rPr>
                      <w:rFonts w:hint="eastAsia"/>
                    </w:rPr>
                    <w:t>脱模剂</w:t>
                  </w:r>
                </w:p>
              </w:tc>
              <w:tc>
                <w:tcPr>
                  <w:tcW w:w="1899" w:type="dxa"/>
                  <w:vAlign w:val="center"/>
                </w:tcPr>
                <w:p>
                  <w:pPr>
                    <w:adjustRightInd w:val="0"/>
                    <w:snapToGrid w:val="0"/>
                    <w:jc w:val="center"/>
                    <w:rPr>
                      <w:bCs/>
                      <w:color w:val="000000" w:themeColor="text1"/>
                      <w:szCs w:val="21"/>
                      <w14:textFill>
                        <w14:solidFill>
                          <w14:schemeClr w14:val="tx1"/>
                        </w14:solidFill>
                      </w14:textFill>
                    </w:rPr>
                  </w:pPr>
                  <w:r>
                    <w:rPr>
                      <w:bCs/>
                      <w:szCs w:val="21"/>
                    </w:rPr>
                    <w:t>有机硅氧烷聚合物5-50%、耐高温润滑剂5-40%、表面活性剂3-8%、抗氧化剂0.2-1%、杀菌剂0.5-1%、消泡剂0.1-0.2%、去离子水5-20%、其他1-5%</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14:textFill>
                        <w14:solidFill>
                          <w14:schemeClr w14:val="tx1"/>
                        </w14:solidFill>
                      </w14:textFill>
                    </w:rPr>
                    <w:t>200L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桶</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662" w:type="pct"/>
                  <w:vAlign w:val="center"/>
                </w:tcPr>
                <w:p>
                  <w:pPr>
                    <w:pStyle w:val="32"/>
                    <w:rPr>
                      <w:color w:val="000000" w:themeColor="text1"/>
                      <w14:textFill>
                        <w14:solidFill>
                          <w14:schemeClr w14:val="tx1"/>
                        </w14:solidFill>
                      </w14:textFill>
                    </w:rPr>
                  </w:pPr>
                  <w:r>
                    <w:rPr>
                      <w:color w:val="000000" w:themeColor="text1"/>
                      <w14:textFill>
                        <w14:solidFill>
                          <w14:schemeClr w14:val="tx1"/>
                        </w14:solidFill>
                      </w14:textFill>
                    </w:rPr>
                    <w:t>0.2</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3</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水溶性淬火剂</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聚烷撑二醇40-45%、亚硝酸钠1-2%、MDEA3-5%、水余量</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14:textFill>
                        <w14:solidFill>
                          <w14:schemeClr w14:val="tx1"/>
                        </w14:solidFill>
                      </w14:textFill>
                    </w:rPr>
                    <w:t>200L</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桶</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p>
              </w:tc>
              <w:tc>
                <w:tcPr>
                  <w:tcW w:w="662"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0.2</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4</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切削液（乳化液）</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180</w:t>
                  </w:r>
                  <w:r>
                    <w:rPr>
                      <w:color w:val="000000" w:themeColor="text1"/>
                      <w:kern w:val="0"/>
                      <w:szCs w:val="21"/>
                      <w:lang w:bidi="ar"/>
                      <w14:textFill>
                        <w14:solidFill>
                          <w14:schemeClr w14:val="tx1"/>
                        </w14:solidFill>
                      </w14:textFill>
                    </w:rPr>
                    <w:t>L</w:t>
                  </w:r>
                  <w:r>
                    <w:rPr>
                      <w:rFonts w:hint="eastAsia"/>
                      <w:color w:val="000000" w:themeColor="text1"/>
                      <w:kern w:val="0"/>
                      <w:szCs w:val="21"/>
                      <w:lang w:bidi="ar"/>
                      <w14:textFill>
                        <w14:solidFill>
                          <w14:schemeClr w14:val="tx1"/>
                        </w14:solidFill>
                      </w14:textFill>
                    </w:rPr>
                    <w:t>/桶</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9</w:t>
                  </w:r>
                </w:p>
              </w:tc>
              <w:tc>
                <w:tcPr>
                  <w:tcW w:w="662" w:type="pct"/>
                  <w:vAlign w:val="center"/>
                </w:tcPr>
                <w:p>
                  <w:pPr>
                    <w:adjustRightInd w:val="0"/>
                    <w:snapToGrid w:val="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0.54</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5</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液压油</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170</w:t>
                  </w:r>
                  <w:r>
                    <w:rPr>
                      <w:color w:val="000000" w:themeColor="text1"/>
                      <w:kern w:val="0"/>
                      <w:szCs w:val="21"/>
                      <w:lang w:bidi="ar"/>
                      <w14:textFill>
                        <w14:solidFill>
                          <w14:schemeClr w14:val="tx1"/>
                        </w14:solidFill>
                      </w14:textFill>
                    </w:rPr>
                    <w:t>L</w:t>
                  </w:r>
                  <w:r>
                    <w:rPr>
                      <w:rFonts w:hint="eastAsia"/>
                      <w:color w:val="000000" w:themeColor="text1"/>
                      <w:kern w:val="0"/>
                      <w:szCs w:val="21"/>
                      <w:lang w:bidi="ar"/>
                      <w14:textFill>
                        <w14:solidFill>
                          <w14:schemeClr w14:val="tx1"/>
                        </w14:solidFill>
                      </w14:textFill>
                    </w:rPr>
                    <w:t>/桶</w:t>
                  </w:r>
                </w:p>
              </w:tc>
              <w:tc>
                <w:tcPr>
                  <w:tcW w:w="685"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1.0</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0.17</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6</w:t>
                  </w:r>
                </w:p>
              </w:tc>
              <w:tc>
                <w:tcPr>
                  <w:tcW w:w="598"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导轨</w:t>
                  </w:r>
                  <w:r>
                    <w:rPr>
                      <w:color w:val="000000" w:themeColor="text1"/>
                      <w14:textFill>
                        <w14:solidFill>
                          <w14:schemeClr w14:val="tx1"/>
                        </w14:solidFill>
                      </w14:textFill>
                    </w:rPr>
                    <w:t>油</w:t>
                  </w:r>
                </w:p>
              </w:tc>
              <w:tc>
                <w:tcPr>
                  <w:tcW w:w="1195"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170</w:t>
                  </w:r>
                  <w:r>
                    <w:rPr>
                      <w:color w:val="000000" w:themeColor="text1"/>
                      <w:kern w:val="0"/>
                      <w:szCs w:val="21"/>
                      <w:lang w:bidi="ar"/>
                      <w14:textFill>
                        <w14:solidFill>
                          <w14:schemeClr w14:val="tx1"/>
                        </w14:solidFill>
                      </w14:textFill>
                    </w:rPr>
                    <w:t>L</w:t>
                  </w:r>
                  <w:r>
                    <w:rPr>
                      <w:rFonts w:hint="eastAsia"/>
                      <w:color w:val="000000" w:themeColor="text1"/>
                      <w:kern w:val="0"/>
                      <w:szCs w:val="21"/>
                      <w:lang w:bidi="ar"/>
                      <w14:textFill>
                        <w14:solidFill>
                          <w14:schemeClr w14:val="tx1"/>
                        </w14:solidFill>
                      </w14:textFill>
                    </w:rPr>
                    <w:t>/桶</w:t>
                  </w:r>
                </w:p>
              </w:tc>
              <w:tc>
                <w:tcPr>
                  <w:tcW w:w="685"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0.17</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8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17</w:t>
                  </w:r>
                </w:p>
              </w:tc>
              <w:tc>
                <w:tcPr>
                  <w:tcW w:w="598"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煤油</w:t>
                  </w:r>
                </w:p>
              </w:tc>
              <w:tc>
                <w:tcPr>
                  <w:tcW w:w="1195" w:type="pct"/>
                  <w:vAlign w:val="center"/>
                </w:tcPr>
                <w:p>
                  <w:pPr>
                    <w:pStyle w:val="32"/>
                    <w:rPr>
                      <w:color w:val="000000" w:themeColor="text1"/>
                      <w14:textFill>
                        <w14:solidFill>
                          <w14:schemeClr w14:val="tx1"/>
                        </w14:solidFill>
                      </w14:textFill>
                    </w:rPr>
                  </w:pPr>
                  <w:r>
                    <w:rPr>
                      <w:color w:val="000000" w:themeColor="text1"/>
                      <w14:textFill>
                        <w14:solidFill>
                          <w14:schemeClr w14:val="tx1"/>
                        </w14:solidFill>
                      </w14:textFill>
                    </w:rPr>
                    <w:t>/</w:t>
                  </w:r>
                </w:p>
              </w:tc>
              <w:tc>
                <w:tcPr>
                  <w:tcW w:w="707" w:type="pct"/>
                  <w:vAlign w:val="center"/>
                </w:tcPr>
                <w:p>
                  <w:pPr>
                    <w:widowControl/>
                    <w:adjustRightInd w:val="0"/>
                    <w:snapToGrid w:val="0"/>
                    <w:jc w:val="center"/>
                    <w:textAlignment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170L/桶</w:t>
                  </w:r>
                </w:p>
              </w:tc>
              <w:tc>
                <w:tcPr>
                  <w:tcW w:w="685"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0.17</w:t>
                  </w:r>
                </w:p>
              </w:tc>
              <w:tc>
                <w:tcPr>
                  <w:tcW w:w="662"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0.17</w:t>
                  </w:r>
                </w:p>
              </w:tc>
              <w:tc>
                <w:tcPr>
                  <w:tcW w:w="86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外购/汽运</w:t>
                  </w:r>
                </w:p>
              </w:tc>
            </w:tr>
          </w:tbl>
          <w:p>
            <w:pPr>
              <w:adjustRightInd w:val="0"/>
              <w:snapToGrid w:val="0"/>
              <w:jc w:val="center"/>
              <w:rPr>
                <w:b/>
                <w:bCs/>
                <w:color w:val="000000" w:themeColor="text1"/>
                <w:sz w:val="24"/>
                <w:szCs w:val="28"/>
                <w14:textFill>
                  <w14:solidFill>
                    <w14:schemeClr w14:val="tx1"/>
                  </w14:solidFill>
                </w14:textFill>
              </w:rPr>
            </w:pPr>
            <w:r>
              <w:rPr>
                <w:b/>
                <w:bCs/>
                <w:color w:val="000000" w:themeColor="text1"/>
                <w:sz w:val="24"/>
                <w:szCs w:val="28"/>
                <w14:textFill>
                  <w14:solidFill>
                    <w14:schemeClr w14:val="tx1"/>
                  </w14:solidFill>
                </w14:textFill>
              </w:rPr>
              <w:t>表2-</w:t>
            </w:r>
            <w:r>
              <w:rPr>
                <w:rFonts w:hint="eastAsia"/>
                <w:b/>
                <w:bCs/>
                <w:color w:val="000000" w:themeColor="text1"/>
                <w:sz w:val="24"/>
                <w:szCs w:val="28"/>
                <w14:textFill>
                  <w14:solidFill>
                    <w14:schemeClr w14:val="tx1"/>
                  </w14:solidFill>
                </w14:textFill>
              </w:rPr>
              <w:t>5</w:t>
            </w:r>
            <w:r>
              <w:rPr>
                <w:b/>
                <w:bCs/>
                <w:color w:val="000000" w:themeColor="text1"/>
                <w:sz w:val="24"/>
                <w:szCs w:val="28"/>
                <w14:textFill>
                  <w14:solidFill>
                    <w14:schemeClr w14:val="tx1"/>
                  </w14:solidFill>
                </w14:textFill>
              </w:rPr>
              <w:t xml:space="preserve">  主要原辅料理化性质表</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90"/>
              <w:gridCol w:w="3484"/>
              <w:gridCol w:w="1435"/>
              <w:gridCol w:w="173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2191"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理化特性</w:t>
                  </w:r>
                </w:p>
              </w:tc>
              <w:tc>
                <w:tcPr>
                  <w:tcW w:w="902"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燃烧爆炸性</w:t>
                  </w:r>
                </w:p>
              </w:tc>
              <w:tc>
                <w:tcPr>
                  <w:tcW w:w="1093"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毒性毒理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color w:val="000000" w:themeColor="text1"/>
                      <w14:textFill>
                        <w14:solidFill>
                          <w14:schemeClr w14:val="tx1"/>
                        </w14:solidFill>
                      </w14:textFill>
                    </w:rPr>
                    <w:t>铝锭</w:t>
                  </w:r>
                </w:p>
              </w:tc>
              <w:tc>
                <w:tcPr>
                  <w:tcW w:w="2191" w:type="pct"/>
                  <w:vAlign w:val="center"/>
                </w:tcPr>
                <w:p>
                  <w:pPr>
                    <w:jc w:val="center"/>
                    <w:rPr>
                      <w:bCs/>
                      <w:color w:val="000000" w:themeColor="text1"/>
                      <w:szCs w:val="21"/>
                      <w14:textFill>
                        <w14:solidFill>
                          <w14:schemeClr w14:val="tx1"/>
                        </w14:solidFill>
                      </w14:textFill>
                    </w:rPr>
                  </w:pPr>
                  <w:r>
                    <w:rPr>
                      <w:bCs/>
                      <w:color w:val="000000" w:themeColor="text1"/>
                      <w:szCs w:val="21"/>
                      <w:shd w:val="clear" w:color="auto" w:fill="FFFFFF"/>
                      <w14:textFill>
                        <w14:solidFill>
                          <w14:schemeClr w14:val="tx1"/>
                        </w14:solidFill>
                      </w14:textFill>
                    </w:rPr>
                    <w:t>铝是一种轻质金属，密度为2.7 g/cm³，比铁轻约三分之一。它是一种有光泽的银白色金属，易于加工和成型。铝的熔点为660°C，沸点为2467°C；</w:t>
                  </w:r>
                </w:p>
              </w:tc>
              <w:tc>
                <w:tcPr>
                  <w:tcW w:w="902"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大量粉尘与空气可形成爆炸性混合物，当达到爆炸下限时，遇点火源会发生爆炸</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精炼变质剂</w:t>
                  </w:r>
                </w:p>
              </w:tc>
              <w:tc>
                <w:tcPr>
                  <w:tcW w:w="219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主要成分为Na</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30-32.5%、K</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13.5-14.5%、Sr</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4.5-5.5%、Ti</w:t>
                  </w:r>
                  <w:r>
                    <w:rPr>
                      <w:rFonts w:hint="eastAsia"/>
                      <w:color w:val="000000" w:themeColor="text1"/>
                      <w:vertAlign w:val="superscript"/>
                      <w14:textFill>
                        <w14:solidFill>
                          <w14:schemeClr w14:val="tx1"/>
                        </w14:solidFill>
                      </w14:textFill>
                    </w:rPr>
                    <w:t>4+</w:t>
                  </w:r>
                  <w:r>
                    <w:rPr>
                      <w:rFonts w:hint="eastAsia"/>
                      <w:color w:val="000000" w:themeColor="text1"/>
                      <w14:textFill>
                        <w14:solidFill>
                          <w14:schemeClr w14:val="tx1"/>
                        </w14:solidFill>
                      </w14:textFill>
                    </w:rPr>
                    <w:t>0.9-1%、Cl</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16-17.5%、CO</w:t>
                  </w:r>
                  <w:r>
                    <w:rPr>
                      <w:rFonts w:hint="eastAsia"/>
                      <w:color w:val="000000" w:themeColor="text1"/>
                      <w:vertAlign w:val="subscript"/>
                      <w14:textFill>
                        <w14:solidFill>
                          <w14:schemeClr w14:val="tx1"/>
                        </w14:solidFill>
                      </w14:textFill>
                    </w:rPr>
                    <w:t>3</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12.5-13%</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清渣覆盖剂</w:t>
                  </w:r>
                </w:p>
              </w:tc>
              <w:tc>
                <w:tcPr>
                  <w:tcW w:w="219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主要成分为Na</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18-20%、K</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11-13%、Ca</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8-10%、Cl</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24-26%</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DAG 395脱模剂</w:t>
                  </w:r>
                </w:p>
              </w:tc>
              <w:tc>
                <w:tcPr>
                  <w:tcW w:w="2191"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主要成分为膨润土1~10%、云母1-5%、蛭石1-5%、石英（二氧化硅）40-50%、其他</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脱模剂</w:t>
                  </w:r>
                </w:p>
              </w:tc>
              <w:tc>
                <w:tcPr>
                  <w:tcW w:w="2191" w:type="pct"/>
                  <w:vAlign w:val="center"/>
                </w:tcPr>
                <w:p>
                  <w:pPr>
                    <w:jc w:val="center"/>
                    <w:rPr>
                      <w:bCs/>
                      <w:color w:val="000000" w:themeColor="text1"/>
                      <w:szCs w:val="21"/>
                      <w14:textFill>
                        <w14:solidFill>
                          <w14:schemeClr w14:val="tx1"/>
                        </w14:solidFill>
                      </w14:textFill>
                    </w:rPr>
                  </w:pPr>
                  <w:r>
                    <w:rPr>
                      <w:bCs/>
                      <w:szCs w:val="21"/>
                    </w:rPr>
                    <w:t>有机硅氧烷聚合物5-50%、耐高温润滑剂5-40%、表面活性剂3-8%、抗氧化剂0.2-1%、杀菌剂0.5-1%、消泡剂0.1-0.2%、去离子水5-20%、其他1-5%</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天然气</w:t>
                  </w:r>
                </w:p>
              </w:tc>
              <w:tc>
                <w:tcPr>
                  <w:tcW w:w="2191"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无色、无臭气体，主要由甲烷组成，其性质与纯甲烷相似，相对密度（空气=1）0.55，相对水密度（水=1）0.415，沸点：-161.5℃。微溶于水，溶于乙醇、乙醚</w:t>
                  </w:r>
                </w:p>
              </w:tc>
              <w:tc>
                <w:tcPr>
                  <w:tcW w:w="902"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蒸汽能与空气形成爆炸性混合物：遇热源、明火着火、爆炸危险。</w:t>
                  </w:r>
                </w:p>
              </w:tc>
              <w:tc>
                <w:tcPr>
                  <w:tcW w:w="1093"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属“单纯窒息性”气体，高浓度时因缺氧而引起窒息。空气中甲烷度达到25%~30%时，出现头昏、呼吸加速、运动失调。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切削</w:t>
                  </w:r>
                  <w:r>
                    <w:rPr>
                      <w:color w:val="000000" w:themeColor="text1"/>
                      <w14:textFill>
                        <w14:solidFill>
                          <w14:schemeClr w14:val="tx1"/>
                        </w14:solidFill>
                      </w14:textFill>
                    </w:rPr>
                    <w:t>液</w:t>
                  </w:r>
                </w:p>
              </w:tc>
              <w:tc>
                <w:tcPr>
                  <w:tcW w:w="2191"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主要成分为石油磺酸钠、聚氧乙烯烷基酚醚、三乙醇胺油酸皂、高速机械油、石油酸钠盐、合成脂肪酸、聚乙二醇、工业机械油等混合物；相对密度(水=1)：0.8‐0.9(25℃)；闪点（℃）：＞140；运动粘度（40℃，mm</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/s）：50；</w:t>
                  </w:r>
                </w:p>
              </w:tc>
              <w:tc>
                <w:tcPr>
                  <w:tcW w:w="902"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可燃</w:t>
                  </w:r>
                </w:p>
              </w:tc>
              <w:tc>
                <w:tcPr>
                  <w:tcW w:w="1093"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液压油</w:t>
                  </w:r>
                  <w:r>
                    <w:rPr>
                      <w:rFonts w:hint="eastAsia"/>
                      <w:color w:val="000000" w:themeColor="text1"/>
                      <w14:textFill>
                        <w14:solidFill>
                          <w14:schemeClr w14:val="tx1"/>
                        </w14:solidFill>
                      </w14:textFill>
                    </w:rPr>
                    <w:t>、导轨</w:t>
                  </w:r>
                  <w:r>
                    <w:rPr>
                      <w:color w:val="000000" w:themeColor="text1"/>
                      <w14:textFill>
                        <w14:solidFill>
                          <w14:schemeClr w14:val="tx1"/>
                        </w14:solidFill>
                      </w14:textFill>
                    </w:rPr>
                    <w:t>油</w:t>
                  </w:r>
                </w:p>
              </w:tc>
              <w:tc>
                <w:tcPr>
                  <w:tcW w:w="2191"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矿物混合润滑油，分子量：200‐500；相对密度（水=1）：0.8‐0.9（25℃）；闪点（℃）：＞190；运动粘度（40℃，mm</w:t>
                  </w:r>
                  <w:r>
                    <w:rPr>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/s）：6‐9；沸点（℃）：＞360</w:t>
                  </w:r>
                </w:p>
              </w:tc>
              <w:tc>
                <w:tcPr>
                  <w:tcW w:w="902" w:type="pct"/>
                  <w:vAlign w:val="center"/>
                </w:tcPr>
                <w:p>
                  <w:pPr>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可燃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adjustRightInd w:val="0"/>
                    <w:snapToGrid w:val="0"/>
                    <w:spacing w:line="240" w:lineRule="auto"/>
                    <w:rPr>
                      <w:color w:val="000000" w:themeColor="text1"/>
                      <w14:textFill>
                        <w14:solidFill>
                          <w14:schemeClr w14:val="tx1"/>
                        </w14:solidFill>
                      </w14:textFill>
                    </w:rPr>
                  </w:pPr>
                  <w:r>
                    <w:rPr>
                      <w:color w:val="000000" w:themeColor="text1"/>
                      <w14:textFill>
                        <w14:solidFill>
                          <w14:schemeClr w14:val="tx1"/>
                        </w14:solidFill>
                      </w14:textFill>
                    </w:rPr>
                    <w:t>水溶性淬火剂</w:t>
                  </w:r>
                </w:p>
              </w:tc>
              <w:tc>
                <w:tcPr>
                  <w:tcW w:w="219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主要成分为聚烷撑二醇40-45%、亚硝酸钠1-2%、MDEA3-5%、水余量</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煤油</w:t>
                  </w:r>
                </w:p>
              </w:tc>
              <w:tc>
                <w:tcPr>
                  <w:tcW w:w="219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煤油，又称火油、火水，是一种通过对石油进行分馏后获得的碳氢化合物的混合物。</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可燃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1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FLZ-404水性全能清洗剂</w:t>
                  </w:r>
                </w:p>
              </w:tc>
              <w:tc>
                <w:tcPr>
                  <w:tcW w:w="219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纯水40-70%、非离子表面活性剂（复配）15-25%、硅酸盐5-10%、丁基溶纤剂1-10%</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093"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90" w:type="dxa"/>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FTY-800P金属防锈清洗剂</w:t>
                  </w:r>
                </w:p>
              </w:tc>
              <w:tc>
                <w:tcPr>
                  <w:tcW w:w="2191" w:type="pct"/>
                  <w:vAlign w:val="center"/>
                </w:tcPr>
                <w:p>
                  <w:pPr>
                    <w:pStyle w:val="32"/>
                    <w:rPr>
                      <w:color w:val="000000" w:themeColor="text1"/>
                      <w14:textFill>
                        <w14:solidFill>
                          <w14:schemeClr w14:val="tx1"/>
                        </w14:solidFill>
                      </w14:textFill>
                    </w:rPr>
                  </w:pPr>
                  <w:r>
                    <w:rPr>
                      <w:rFonts w:hint="eastAsia"/>
                      <w:color w:val="000000" w:themeColor="text1"/>
                      <w14:textFill>
                        <w14:solidFill>
                          <w14:schemeClr w14:val="tx1"/>
                        </w14:solidFill>
                      </w14:textFill>
                    </w:rPr>
                    <w:t>纯水40-70%、阴离子与非离子表面活性剂（复配）15-25%、偏硅酸类盐5-10%、有机硼酸脂胺盐（复配）3-5%、有机分散剂（复配）1-5%。</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不燃</w:t>
                  </w:r>
                </w:p>
              </w:tc>
              <w:tc>
                <w:tcPr>
                  <w:tcW w:w="173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290" w:type="dxa"/>
                  <w:vAlign w:val="center"/>
                </w:tcPr>
                <w:p>
                  <w:pPr>
                    <w:pStyle w:val="32"/>
                    <w:rPr>
                      <w:color w:val="000000" w:themeColor="text1"/>
                      <w14:textFill>
                        <w14:solidFill>
                          <w14:schemeClr w14:val="tx1"/>
                        </w14:solidFill>
                      </w14:textFill>
                    </w:rPr>
                  </w:pPr>
                  <w:r>
                    <w:rPr>
                      <w:rFonts w:hint="eastAsia" w:cs="Arial"/>
                      <w:color w:val="000000" w:themeColor="text1"/>
                      <w14:textFill>
                        <w14:solidFill>
                          <w14:schemeClr w14:val="tx1"/>
                        </w14:solidFill>
                      </w14:textFill>
                    </w:rPr>
                    <w:t>酚醛</w:t>
                  </w:r>
                  <w:r>
                    <w:rPr>
                      <w:rFonts w:cs="Arial"/>
                      <w:color w:val="000000" w:themeColor="text1"/>
                      <w14:textFill>
                        <w14:solidFill>
                          <w14:schemeClr w14:val="tx1"/>
                        </w14:solidFill>
                      </w14:textFill>
                    </w:rPr>
                    <w:t>树脂</w:t>
                  </w:r>
                </w:p>
              </w:tc>
              <w:tc>
                <w:tcPr>
                  <w:tcW w:w="2191" w:type="pct"/>
                  <w:vAlign w:val="center"/>
                </w:tcPr>
                <w:p>
                  <w:pPr>
                    <w:pStyle w:val="32"/>
                    <w:rPr>
                      <w:color w:val="000000" w:themeColor="text1"/>
                      <w14:textFill>
                        <w14:solidFill>
                          <w14:schemeClr w14:val="tx1"/>
                        </w14:solidFill>
                      </w14:textFill>
                    </w:rPr>
                  </w:pPr>
                  <w:r>
                    <w:rPr>
                      <w:rFonts w:hint="eastAsia" w:cs="Arial"/>
                      <w:color w:val="000000" w:themeColor="text1"/>
                      <w14:textFill>
                        <w14:solidFill>
                          <w14:schemeClr w14:val="tx1"/>
                        </w14:solidFill>
                      </w14:textFill>
                    </w:rPr>
                    <w:t>固体酚醛树脂为黄色、透明、无定形块状物质，因含有游离酚而呈微红色，实体的比重平均1.7左右，易溶于醇，不溶于水，对水、弱酸、弱碱溶液稳定。</w:t>
                  </w:r>
                </w:p>
              </w:tc>
              <w:tc>
                <w:tcPr>
                  <w:tcW w:w="902" w:type="pct"/>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可燃</w:t>
                  </w:r>
                </w:p>
              </w:tc>
              <w:tc>
                <w:tcPr>
                  <w:tcW w:w="1739" w:type="dxa"/>
                  <w:vAlign w:val="center"/>
                </w:tcPr>
                <w:p>
                  <w:pPr>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w:t>
                  </w:r>
                </w:p>
              </w:tc>
            </w:tr>
          </w:tbl>
          <w:p>
            <w:pPr>
              <w:adjustRightIn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6、厂区平面布置及周边概况</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项目所在厂区东侧</w:t>
            </w:r>
            <w:r>
              <w:rPr>
                <w:rFonts w:hint="eastAsia"/>
                <w:bCs/>
                <w:color w:val="000000" w:themeColor="text1"/>
                <w:sz w:val="24"/>
                <w14:textFill>
                  <w14:solidFill>
                    <w14:schemeClr w14:val="tx1"/>
                  </w14:solidFill>
                </w14:textFill>
              </w:rPr>
              <w:t>为江苏圆睿数码科技有限公司</w:t>
            </w:r>
            <w:r>
              <w:rPr>
                <w:bCs/>
                <w:color w:val="000000" w:themeColor="text1"/>
                <w:sz w:val="24"/>
                <w14:textFill>
                  <w14:solidFill>
                    <w14:schemeClr w14:val="tx1"/>
                  </w14:solidFill>
                </w14:textFill>
              </w:rPr>
              <w:t>、南侧为空地、西侧为</w:t>
            </w:r>
            <w:r>
              <w:rPr>
                <w:rFonts w:hint="eastAsia"/>
                <w:bCs/>
                <w:color w:val="000000" w:themeColor="text1"/>
                <w:sz w:val="24"/>
                <w14:textFill>
                  <w14:solidFill>
                    <w14:schemeClr w14:val="tx1"/>
                  </w14:solidFill>
                </w14:textFill>
              </w:rPr>
              <w:t>泰州盛城机械有限公司</w:t>
            </w:r>
            <w:r>
              <w:rPr>
                <w:bCs/>
                <w:color w:val="000000" w:themeColor="text1"/>
                <w:sz w:val="24"/>
                <w14:textFill>
                  <w14:solidFill>
                    <w14:schemeClr w14:val="tx1"/>
                  </w14:solidFill>
                </w14:textFill>
              </w:rPr>
              <w:t>、北侧</w:t>
            </w:r>
            <w:r>
              <w:rPr>
                <w:rFonts w:hint="eastAsia"/>
                <w:bCs/>
                <w:color w:val="000000" w:themeColor="text1"/>
                <w:sz w:val="24"/>
                <w14:textFill>
                  <w14:solidFill>
                    <w14:schemeClr w14:val="tx1"/>
                  </w14:solidFill>
                </w14:textFill>
              </w:rPr>
              <w:t>为江苏泰铁智能科技有限公司</w:t>
            </w:r>
            <w:r>
              <w:rPr>
                <w:bCs/>
                <w:color w:val="000000" w:themeColor="text1"/>
                <w:sz w:val="24"/>
                <w14:textFill>
                  <w14:solidFill>
                    <w14:schemeClr w14:val="tx1"/>
                  </w14:solidFill>
                </w14:textFill>
              </w:rPr>
              <w:t>。</w:t>
            </w:r>
          </w:p>
          <w:p>
            <w:pPr>
              <w:adjustRightInd w:val="0"/>
              <w:spacing w:line="360" w:lineRule="auto"/>
              <w:ind w:firstLine="480" w:firstLineChars="200"/>
              <w:jc w:val="left"/>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w:t>
            </w:r>
            <w:r>
              <w:rPr>
                <w:bCs/>
                <w:color w:val="000000" w:themeColor="text1"/>
                <w:sz w:val="24"/>
                <w14:textFill>
                  <w14:solidFill>
                    <w14:schemeClr w14:val="tx1"/>
                  </w14:solidFill>
                </w14:textFill>
              </w:rPr>
              <w:t>办公楼位于厂区</w:t>
            </w:r>
            <w:r>
              <w:rPr>
                <w:rFonts w:hint="eastAsia"/>
                <w:bCs/>
                <w:color w:val="000000" w:themeColor="text1"/>
                <w:sz w:val="24"/>
                <w14:textFill>
                  <w14:solidFill>
                    <w14:schemeClr w14:val="tx1"/>
                  </w14:solidFill>
                </w14:textFill>
              </w:rPr>
              <w:t>东南侧</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铸造车间、锻造车间位于厂区西侧，危废仓库位于厂区西北侧，原料堆放区位于厂区西北侧，成品仓库位于生产车间。</w:t>
            </w:r>
            <w:r>
              <w:rPr>
                <w:bCs/>
                <w:color w:val="000000" w:themeColor="text1"/>
                <w:sz w:val="24"/>
                <w14:textFill>
                  <w14:solidFill>
                    <w14:schemeClr w14:val="tx1"/>
                  </w14:solidFill>
                </w14:textFill>
              </w:rPr>
              <w:t>各个构筑物之间为物流通道，主入口位于厂区</w:t>
            </w:r>
            <w:r>
              <w:rPr>
                <w:rFonts w:hint="eastAsia"/>
                <w:bCs/>
                <w:color w:val="000000" w:themeColor="text1"/>
                <w:sz w:val="24"/>
                <w14:textFill>
                  <w14:solidFill>
                    <w14:schemeClr w14:val="tx1"/>
                  </w14:solidFill>
                </w14:textFill>
              </w:rPr>
              <w:t>南侧</w:t>
            </w:r>
            <w:r>
              <w:rPr>
                <w:bCs/>
                <w:color w:val="000000" w:themeColor="text1"/>
                <w:sz w:val="24"/>
                <w14:textFill>
                  <w14:solidFill>
                    <w14:schemeClr w14:val="tx1"/>
                  </w14:solidFill>
                </w14:textFill>
              </w:rPr>
              <w:t>；项目平面布置合理，流程顺畅，布局紧凑，便于生产，且符合防火、安全卫生、环保、生产工艺流程需求。总体上做到按照功能分区、系统分明、布置整齐。</w:t>
            </w:r>
          </w:p>
          <w:p>
            <w:pPr>
              <w:adjustRightInd w:val="0"/>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7、水平衡</w:t>
            </w:r>
          </w:p>
          <w:p>
            <w:pPr>
              <w:adjustRightInd w:val="0"/>
              <w:spacing w:line="360" w:lineRule="auto"/>
              <w:ind w:firstLine="480" w:firstLineChars="200"/>
              <w:jc w:val="left"/>
              <w:rPr>
                <w:color w:val="000000" w:themeColor="text1"/>
                <w:sz w:val="24"/>
                <w14:textFill>
                  <w14:solidFill>
                    <w14:schemeClr w14:val="tx1"/>
                  </w14:solidFill>
                </w14:textFill>
              </w:rPr>
            </w:pPr>
            <w:r>
              <w:rPr>
                <w:bCs/>
                <w:color w:val="000000" w:themeColor="text1"/>
                <w:sz w:val="24"/>
                <w14:textFill>
                  <w14:solidFill>
                    <w14:schemeClr w14:val="tx1"/>
                  </w14:solidFill>
                </w14:textFill>
              </w:rPr>
              <w:t>本项目运营期用水主要为生活用水、</w:t>
            </w:r>
            <w:r>
              <w:rPr>
                <w:rFonts w:hint="eastAsia"/>
                <w:bCs/>
                <w:color w:val="000000" w:themeColor="text1"/>
                <w:sz w:val="24"/>
                <w14:textFill>
                  <w14:solidFill>
                    <w14:schemeClr w14:val="tx1"/>
                  </w14:solidFill>
                </w14:textFill>
              </w:rPr>
              <w:t>切削液配比用水、脱模剂配比用水、淬火剂配比用水、热处理用水、喷淋洗涤塔用水</w:t>
            </w:r>
            <w:r>
              <w:rPr>
                <w:color w:val="000000" w:themeColor="text1"/>
                <w:sz w:val="24"/>
                <w14:textFill>
                  <w14:solidFill>
                    <w14:schemeClr w14:val="tx1"/>
                  </w14:solidFill>
                </w14:textFill>
              </w:rPr>
              <w:t>。</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（1）生活污水</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本项目定员</w:t>
            </w:r>
            <w:r>
              <w:rPr>
                <w:rFonts w:hint="eastAsia"/>
                <w:color w:val="000000" w:themeColor="text1"/>
                <w:sz w:val="24"/>
                <w14:textFill>
                  <w14:solidFill>
                    <w14:schemeClr w14:val="tx1"/>
                  </w14:solidFill>
                </w14:textFill>
              </w:rPr>
              <w:t>150</w:t>
            </w:r>
            <w:r>
              <w:rPr>
                <w:color w:val="000000" w:themeColor="text1"/>
                <w:sz w:val="24"/>
                <w14:textFill>
                  <w14:solidFill>
                    <w14:schemeClr w14:val="tx1"/>
                  </w14:solidFill>
                </w14:textFill>
              </w:rPr>
              <w:t>人，年工作</w:t>
            </w:r>
            <w:r>
              <w:rPr>
                <w:rFonts w:hint="eastAsia"/>
                <w:color w:val="000000" w:themeColor="text1"/>
                <w:sz w:val="24"/>
                <w14:textFill>
                  <w14:solidFill>
                    <w14:schemeClr w14:val="tx1"/>
                  </w14:solidFill>
                </w14:textFill>
              </w:rPr>
              <w:t>300</w:t>
            </w:r>
            <w:r>
              <w:rPr>
                <w:color w:val="000000" w:themeColor="text1"/>
                <w:sz w:val="24"/>
                <w14:textFill>
                  <w14:solidFill>
                    <w14:schemeClr w14:val="tx1"/>
                  </w14:solidFill>
                </w14:textFill>
              </w:rPr>
              <w:t>天，参照《江苏省林牧渔业、工业、服务业和生活用水定额（2019年修订）》，用水定额按150L/（人·d）计，则生活用水量为</w:t>
            </w:r>
            <w:r>
              <w:rPr>
                <w:rFonts w:hint="eastAsia"/>
                <w:color w:val="000000" w:themeColor="text1"/>
                <w:sz w:val="24"/>
                <w14:textFill>
                  <w14:solidFill>
                    <w14:schemeClr w14:val="tx1"/>
                  </w14:solidFill>
                </w14:textFill>
              </w:rPr>
              <w:t>6750</w:t>
            </w:r>
            <w:r>
              <w:rPr>
                <w:color w:val="000000" w:themeColor="text1"/>
                <w:sz w:val="24"/>
                <w14:textFill>
                  <w14:solidFill>
                    <w14:schemeClr w14:val="tx1"/>
                  </w14:solidFill>
                </w14:textFill>
              </w:rPr>
              <w:t>t/a。</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切削液调配用水</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企业切削液需与水调配使用，比例为1:20，企业年使用切削液9t，则调配用水为180t</w:t>
            </w:r>
            <w:r>
              <w:rPr>
                <w:color w:val="000000" w:themeColor="text1"/>
                <w:sz w:val="24"/>
                <w14:textFill>
                  <w14:solidFill>
                    <w14:schemeClr w14:val="tx1"/>
                  </w14:solidFill>
                </w14:textFill>
              </w:rPr>
              <w:t>。</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热处理用水</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企业热处理工序需用清水，根据企业提供资料，企业年使用清水50t，热处理用水定期补充，不外排。</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（4）脱模剂配比用水</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w:t>
            </w:r>
            <w:r>
              <w:rPr>
                <w:color w:val="000000" w:themeColor="text1"/>
                <w:sz w:val="24"/>
                <w14:textFill>
                  <w14:solidFill>
                    <w14:schemeClr w14:val="tx1"/>
                  </w14:solidFill>
                </w14:textFill>
              </w:rPr>
              <w:t>汽车轻量化配套铝合金零部件</w:t>
            </w:r>
            <w:r>
              <w:rPr>
                <w:rFonts w:hint="eastAsia"/>
                <w:color w:val="000000" w:themeColor="text1"/>
                <w:sz w:val="24"/>
                <w14:textFill>
                  <w14:solidFill>
                    <w14:schemeClr w14:val="tx1"/>
                  </w14:solidFill>
                </w14:textFill>
              </w:rPr>
              <w:t>生产线、高端装备国际配套零部件生产线均使用脱模剂，根据企业提供资料，配比比例为1:10，企业年使用脱模剂1.4t，则调配用水14t/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（5）水溶性淬火剂配比用水</w:t>
            </w:r>
          </w:p>
          <w:p>
            <w:pPr>
              <w:adjustRightIn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企业高端装备国际配套零部件生产线热处理需使用水溶性淬火剂，根据企业提供资料，配比比例为1:10，企业年使用水溶性淬火剂1t，则调配用水10t/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）喷淋洗涤塔废水</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本项目设有</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套喷淋洗涤塔</w:t>
            </w:r>
            <w:r>
              <w:rPr>
                <w:rFonts w:hint="eastAsia"/>
                <w:color w:val="000000" w:themeColor="text1"/>
                <w:sz w:val="24"/>
                <w14:textFill>
                  <w14:solidFill>
                    <w14:schemeClr w14:val="tx1"/>
                  </w14:solidFill>
                </w14:textFill>
              </w:rPr>
              <w:t>、1套碱液喷淋塔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以上喷淋塔均</w:t>
            </w:r>
            <w:r>
              <w:rPr>
                <w:color w:val="000000" w:themeColor="text1"/>
                <w:sz w:val="24"/>
                <w14:textFill>
                  <w14:solidFill>
                    <w14:schemeClr w14:val="tx1"/>
                  </w14:solidFill>
                </w14:textFill>
              </w:rPr>
              <w:t>设计循环水量</w:t>
            </w:r>
            <w:r>
              <w:rPr>
                <w:rFonts w:hint="eastAsia"/>
                <w:color w:val="000000" w:themeColor="text1"/>
                <w:sz w:val="24"/>
                <w14:textFill>
                  <w14:solidFill>
                    <w14:schemeClr w14:val="tx1"/>
                  </w14:solidFill>
                </w14:textFill>
              </w:rPr>
              <w:t>5</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/h，年工作时间</w:t>
            </w:r>
            <w:r>
              <w:rPr>
                <w:rFonts w:hint="eastAsia"/>
                <w:color w:val="000000" w:themeColor="text1"/>
                <w:sz w:val="24"/>
                <w14:textFill>
                  <w14:solidFill>
                    <w14:schemeClr w14:val="tx1"/>
                  </w14:solidFill>
                </w14:textFill>
              </w:rPr>
              <w:t>4800h</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即单个喷淋塔水量24000t/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喷淋塔损耗量按循环量的1%计，补充损耗量约</w:t>
            </w:r>
            <w:r>
              <w:rPr>
                <w:rFonts w:hint="eastAsia"/>
                <w:color w:val="000000" w:themeColor="text1"/>
                <w:sz w:val="24"/>
                <w14:textFill>
                  <w14:solidFill>
                    <w14:schemeClr w14:val="tx1"/>
                  </w14:solidFill>
                </w14:textFill>
              </w:rPr>
              <w:t>240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；洗涤塔配置</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水箱，</w:t>
            </w:r>
            <w:r>
              <w:rPr>
                <w:rFonts w:hint="eastAsia"/>
                <w:color w:val="000000" w:themeColor="text1"/>
                <w:sz w:val="24"/>
                <w14:textFill>
                  <w14:solidFill>
                    <w14:schemeClr w14:val="tx1"/>
                  </w14:solidFill>
                </w14:textFill>
              </w:rPr>
              <w:t>喷淋洗涤塔用水仅添加不外排，年共用水480t/a</w:t>
            </w:r>
            <w:r>
              <w:rPr>
                <w:color w:val="000000" w:themeColor="text1"/>
                <w:sz w:val="24"/>
                <w14:textFill>
                  <w14:solidFill>
                    <w14:schemeClr w14:val="tx1"/>
                  </w14:solidFill>
                </w14:textFill>
              </w:rPr>
              <w:t>。</w:t>
            </w:r>
          </w:p>
          <w:p>
            <w:pPr>
              <w:adjustRightInd w:val="0"/>
              <w:spacing w:line="360" w:lineRule="auto"/>
              <w:ind w:firstLine="480" w:firstLineChars="200"/>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本项目运营期水平衡图见下图。</w:t>
            </w: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349.9pt;width:607.15pt;" o:ole="t" filled="f" o:preferrelative="t" stroked="f" coordsize="21600,21600">
                  <v:path/>
                  <v:fill on="f" focussize="0,0"/>
                  <v:stroke on="f"/>
                  <v:imagedata r:id="rId7" cropright="360f" o:title=""/>
                  <o:lock v:ext="edit" aspectratio="f"/>
                  <w10:wrap type="none"/>
                  <w10:anchorlock/>
                </v:shape>
                <o:OLEObject Type="Embed" ProgID="Visio.Drawing.11" ShapeID="_x0000_i1025" DrawAspect="Content" ObjectID="_1468075725" r:id="rId6">
                  <o:LockedField>false</o:LockedField>
                </o:OLEObject>
              </w:object>
            </w:r>
          </w:p>
          <w:p>
            <w:pPr>
              <w:jc w:val="center"/>
              <w:rPr>
                <w:color w:val="000000" w:themeColor="text1"/>
                <w14:textFill>
                  <w14:solidFill>
                    <w14:schemeClr w14:val="tx1"/>
                  </w14:solidFill>
                </w14:textFill>
              </w:rPr>
            </w:pPr>
            <w:r>
              <w:rPr>
                <w:b/>
                <w:color w:val="000000" w:themeColor="text1"/>
                <w:sz w:val="24"/>
                <w14:textFill>
                  <w14:solidFill>
                    <w14:schemeClr w14:val="tx1"/>
                  </w14:solidFill>
                </w14:textFill>
              </w:rPr>
              <w:t>图2-1  项目运营期水平衡图</w:t>
            </w:r>
            <w:r>
              <w:rPr>
                <w:rStyle w:val="25"/>
                <w:b/>
                <w:color w:val="000000" w:themeColor="text1"/>
                <w:sz w:val="24"/>
                <w14:textFill>
                  <w14:solidFill>
                    <w14:schemeClr w14:val="tx1"/>
                  </w14:solidFill>
                </w14:textFill>
              </w:rPr>
              <w:t>（单</w:t>
            </w:r>
            <w:r>
              <w:rPr>
                <w:b/>
                <w:color w:val="000000" w:themeColor="text1"/>
                <w:sz w:val="24"/>
                <w14:textFill>
                  <w14:solidFill>
                    <w14:schemeClr w14:val="tx1"/>
                  </w14:solidFill>
                </w14:textFill>
              </w:rPr>
              <w:t>位：t/a）</w:t>
            </w:r>
          </w:p>
        </w:tc>
      </w:tr>
    </w:tbl>
    <w:p>
      <w:pPr>
        <w:rPr>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tbl>
      <w:tblPr>
        <w:tblStyle w:val="2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391" w:type="pct"/>
            <w:vAlign w:val="center"/>
          </w:tcPr>
          <w:p>
            <w:pPr>
              <w:pStyle w:val="17"/>
              <w:adjustRightIn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工艺流程和产排污环节</w:t>
            </w:r>
          </w:p>
        </w:tc>
        <w:tc>
          <w:tcPr>
            <w:tcW w:w="4608" w:type="pct"/>
          </w:tcPr>
          <w:p>
            <w:pPr>
              <w:adjustRightInd w:val="0"/>
              <w:snapToGrid w:val="0"/>
              <w:spacing w:before="156" w:beforeLines="50"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一、施工期工艺流程和产排污环节</w:t>
            </w:r>
          </w:p>
          <w:p>
            <w:pPr>
              <w:widowControl/>
              <w:adjustRightInd w:val="0"/>
              <w:snapToGrid w:val="0"/>
              <w:spacing w:line="360" w:lineRule="auto"/>
              <w:ind w:firstLine="480" w:firstLineChars="200"/>
              <w:jc w:val="left"/>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本项目</w:t>
            </w:r>
            <w:r>
              <w:rPr>
                <w:rFonts w:hint="eastAsia"/>
                <w:color w:val="000000" w:themeColor="text1"/>
                <w:sz w:val="24"/>
                <w14:textFill>
                  <w14:solidFill>
                    <w14:schemeClr w14:val="tx1"/>
                  </w14:solidFill>
                </w14:textFill>
              </w:rPr>
              <w:t>整租</w:t>
            </w:r>
            <w:r>
              <w:rPr>
                <w:color w:val="000000" w:themeColor="text1"/>
                <w:sz w:val="24"/>
                <w14:textFill>
                  <w14:solidFill>
                    <w14:schemeClr w14:val="tx1"/>
                  </w14:solidFill>
                </w14:textFill>
              </w:rPr>
              <w:t>泰州豹变智控科技有限公司</w:t>
            </w:r>
            <w:r>
              <w:rPr>
                <w:rFonts w:hint="eastAsia"/>
                <w:color w:val="000000" w:themeColor="text1"/>
                <w:sz w:val="24"/>
                <w14:textFill>
                  <w14:solidFill>
                    <w14:schemeClr w14:val="tx1"/>
                  </w14:solidFill>
                </w14:textFill>
              </w:rPr>
              <w:t>全新</w:t>
            </w:r>
            <w:r>
              <w:rPr>
                <w:color w:val="000000" w:themeColor="text1"/>
                <w:sz w:val="24"/>
                <w14:textFill>
                  <w14:solidFill>
                    <w14:schemeClr w14:val="tx1"/>
                  </w14:solidFill>
                </w14:textFill>
              </w:rPr>
              <w:t>厂房</w:t>
            </w:r>
            <w:r>
              <w:rPr>
                <w:color w:val="000000" w:themeColor="text1"/>
                <w:kern w:val="0"/>
                <w:sz w:val="24"/>
                <w:lang w:bidi="ar"/>
                <w14:textFill>
                  <w14:solidFill>
                    <w14:schemeClr w14:val="tx1"/>
                  </w14:solidFill>
                </w14:textFill>
              </w:rPr>
              <w:t>，</w:t>
            </w:r>
            <w:r>
              <w:rPr>
                <w:rFonts w:hint="eastAsia"/>
                <w:color w:val="000000" w:themeColor="text1"/>
                <w:kern w:val="0"/>
                <w:sz w:val="24"/>
                <w:lang w:bidi="ar"/>
                <w14:textFill>
                  <w14:solidFill>
                    <w14:schemeClr w14:val="tx1"/>
                  </w14:solidFill>
                </w14:textFill>
              </w:rPr>
              <w:t>该厂房目前闲置，自建成后无建设项目投产，</w:t>
            </w:r>
            <w:r>
              <w:rPr>
                <w:color w:val="000000" w:themeColor="text1"/>
                <w:kern w:val="0"/>
                <w:sz w:val="24"/>
                <w:lang w:bidi="ar"/>
                <w14:textFill>
                  <w14:solidFill>
                    <w14:schemeClr w14:val="tx1"/>
                  </w14:solidFill>
                </w14:textFill>
              </w:rPr>
              <w:t>无遗留环境问题。</w:t>
            </w:r>
          </w:p>
          <w:p>
            <w:pPr>
              <w:widowControl/>
              <w:adjustRightInd w:val="0"/>
              <w:snapToGrid w:val="0"/>
              <w:spacing w:line="360" w:lineRule="auto"/>
              <w:ind w:firstLine="480" w:firstLineChars="200"/>
              <w:jc w:val="left"/>
              <w:rPr>
                <w:color w:val="000000" w:themeColor="text1"/>
                <w:kern w:val="0"/>
                <w:sz w:val="24"/>
                <w:lang w:bidi="ar"/>
                <w14:textFill>
                  <w14:solidFill>
                    <w14:schemeClr w14:val="tx1"/>
                  </w14:solidFill>
                </w14:textFill>
              </w:rPr>
            </w:pPr>
            <w:r>
              <w:rPr>
                <w:color w:val="000000" w:themeColor="text1"/>
                <w:kern w:val="0"/>
                <w:sz w:val="24"/>
                <w:lang w:bidi="ar"/>
                <w14:textFill>
                  <w14:solidFill>
                    <w14:schemeClr w14:val="tx1"/>
                  </w14:solidFill>
                </w14:textFill>
              </w:rPr>
              <w:t>施工期间主要建设内容为设备安装、“三废”处置设施的建设等，对周围环境的影响较小，本项目不展开分析。</w:t>
            </w: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adjustRightInd w:val="0"/>
              <w:spacing w:line="360" w:lineRule="auto"/>
              <w:rPr>
                <w:bCs/>
                <w:color w:val="000000" w:themeColor="text1"/>
                <w:szCs w:val="21"/>
                <w14:textFill>
                  <w14:solidFill>
                    <w14:schemeClr w14:val="tx1"/>
                  </w14:solidFill>
                </w14:textFill>
              </w:rPr>
            </w:pPr>
          </w:p>
          <w:p>
            <w:pPr>
              <w:pStyle w:val="8"/>
              <w:rPr>
                <w:bCs/>
                <w:color w:val="000000" w:themeColor="text1"/>
                <w:szCs w:val="21"/>
                <w14:textFill>
                  <w14:solidFill>
                    <w14:schemeClr w14:val="tx1"/>
                  </w14:solidFill>
                </w14:textFill>
              </w:rPr>
            </w:pPr>
          </w:p>
          <w:p>
            <w:pPr>
              <w:rPr>
                <w:color w:val="000000" w:themeColor="text1"/>
                <w14:textFill>
                  <w14:solidFill>
                    <w14:schemeClr w14:val="tx1"/>
                  </w14:solidFill>
                </w14:textFill>
              </w:rPr>
            </w:pPr>
          </w:p>
          <w:p>
            <w:pPr>
              <w:adjustRightInd w:val="0"/>
              <w:snapToGrid w:val="0"/>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二、运营期工艺流程和产排污环节</w:t>
            </w:r>
          </w:p>
          <w:p>
            <w:pPr>
              <w:adjustRightIn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1、工艺流程及产污环节简述</w:t>
            </w:r>
          </w:p>
          <w:p>
            <w:pPr>
              <w:pStyle w:val="17"/>
              <w:adjustRightInd w:val="0"/>
              <w:snapToGrid w:val="0"/>
              <w:spacing w:before="0" w:beforeAutospacing="0" w:after="0" w:afterAutospacing="0"/>
              <w:jc w:val="center"/>
              <w:rPr>
                <w:rFonts w:ascii="Times New Roman" w:hAnsi="Times New Roman"/>
                <w:snapToGrid w:val="0"/>
                <w:color w:val="000000" w:themeColor="text1"/>
                <w:sz w:val="36"/>
                <w:szCs w:val="36"/>
                <w14:textFill>
                  <w14:solidFill>
                    <w14:schemeClr w14:val="tx1"/>
                  </w14:solidFill>
                </w14:textFill>
              </w:rPr>
            </w:pPr>
            <w:r>
              <w:rPr>
                <w:rFonts w:ascii="Times New Roman" w:hAnsi="Times New Roman"/>
                <w:snapToGrid w:val="0"/>
                <w:color w:val="000000" w:themeColor="text1"/>
                <w:sz w:val="36"/>
                <w:szCs w:val="36"/>
                <w14:textFill>
                  <w14:solidFill>
                    <w14:schemeClr w14:val="tx1"/>
                  </w14:solidFill>
                </w14:textFill>
              </w:rPr>
              <w:object>
                <v:shape id="_x0000_i1026" o:spt="75" type="#_x0000_t75" style="height:562.75pt;width:346.9pt;" o:ole="t" filled="f" o:preferrelative="t" stroked="f" coordsize="21600,21600">
                  <v:path/>
                  <v:fill on="f" focussize="0,0"/>
                  <v:stroke on="f"/>
                  <v:imagedata r:id="rId9" o:title=""/>
                  <o:lock v:ext="edit" aspectratio="f"/>
                  <w10:wrap type="none"/>
                  <w10:anchorlock/>
                </v:shape>
                <o:OLEObject Type="Embed" ProgID="Visio.Drawing.15" ShapeID="_x0000_i1026" DrawAspect="Content" ObjectID="_1468075726" r:id="rId8">
                  <o:LockedField>false</o:LockedField>
                </o:OLEObject>
              </w:object>
            </w:r>
          </w:p>
          <w:p>
            <w:pPr>
              <w:pStyle w:val="17"/>
              <w:adjustRightInd w:val="0"/>
              <w:snapToGrid w:val="0"/>
              <w:spacing w:before="0" w:beforeAutospacing="0" w:after="0" w:afterAutospacing="0"/>
              <w:jc w:val="center"/>
              <w:rPr>
                <w:rFonts w:ascii="Times New Roman" w:hAnsi="Times New Roman"/>
                <w:snapToGrid w:val="0"/>
                <w:color w:val="000000" w:themeColor="text1"/>
                <w:sz w:val="36"/>
                <w:szCs w:val="36"/>
                <w14:textFill>
                  <w14:solidFill>
                    <w14:schemeClr w14:val="tx1"/>
                  </w14:solidFill>
                </w14:textFill>
              </w:rPr>
            </w:pPr>
            <w:r>
              <w:rPr>
                <w:rFonts w:ascii="Times New Roman" w:hAnsi="Times New Roman"/>
                <w:b/>
                <w:bCs/>
                <w:color w:val="000000" w:themeColor="text1"/>
                <w14:textFill>
                  <w14:solidFill>
                    <w14:schemeClr w14:val="tx1"/>
                  </w14:solidFill>
                </w14:textFill>
              </w:rPr>
              <w:t>图2-2  汽车轻量化配套铝合金零部件工艺流程图</w:t>
            </w:r>
          </w:p>
          <w:p>
            <w:pPr>
              <w:pStyle w:val="17"/>
              <w:jc w:val="both"/>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工艺流程简述：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（1）检验：对铝锭使用光谱检测仪进行检验，确保铝块符合质量要求；</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（2）熔化、保温：</w:t>
            </w:r>
            <w:r>
              <w:rPr>
                <w:rFonts w:ascii="Times New Roman" w:hAnsi="Times New Roman"/>
                <w:bCs/>
                <w:color w:val="000000" w:themeColor="text1"/>
                <w14:textFill>
                  <w14:solidFill>
                    <w14:schemeClr w14:val="tx1"/>
                  </w14:solidFill>
                </w14:textFill>
              </w:rPr>
              <w:t>将</w:t>
            </w:r>
            <w:r>
              <w:rPr>
                <w:rFonts w:hint="eastAsia" w:ascii="Times New Roman" w:hAnsi="Times New Roman"/>
                <w:bCs/>
                <w:color w:val="000000" w:themeColor="text1"/>
                <w:szCs w:val="24"/>
                <w14:textFill>
                  <w14:solidFill>
                    <w14:schemeClr w14:val="tx1"/>
                  </w14:solidFill>
                </w14:textFill>
              </w:rPr>
              <w:t>检验好的铝锭</w:t>
            </w:r>
            <w:r>
              <w:rPr>
                <w:rFonts w:ascii="Times New Roman" w:hAnsi="Times New Roman"/>
                <w:bCs/>
                <w:color w:val="000000" w:themeColor="text1"/>
                <w14:textFill>
                  <w14:solidFill>
                    <w14:schemeClr w14:val="tx1"/>
                  </w14:solidFill>
                </w14:textFill>
              </w:rPr>
              <w:t>投入</w:t>
            </w:r>
            <w:r>
              <w:rPr>
                <w:color w:val="000000" w:themeColor="text1"/>
                <w:szCs w:val="21"/>
                <w14:textFill>
                  <w14:solidFill>
                    <w14:schemeClr w14:val="tx1"/>
                  </w14:solidFill>
                </w14:textFill>
              </w:rPr>
              <w:t>天然气集中熔铝炉</w:t>
            </w:r>
            <w:r>
              <w:rPr>
                <w:rFonts w:ascii="Times New Roman" w:hAnsi="Times New Roman"/>
                <w:bCs/>
                <w:color w:val="000000" w:themeColor="text1"/>
                <w14:textFill>
                  <w14:solidFill>
                    <w14:schemeClr w14:val="tx1"/>
                  </w14:solidFill>
                </w14:textFill>
              </w:rPr>
              <w:t>中，</w:t>
            </w:r>
            <w:r>
              <w:rPr>
                <w:rFonts w:hint="eastAsia" w:ascii="Times New Roman" w:hAnsi="Times New Roman"/>
                <w:bCs/>
                <w:color w:val="000000" w:themeColor="text1"/>
                <w14:textFill>
                  <w14:solidFill>
                    <w14:schemeClr w14:val="tx1"/>
                  </w14:solidFill>
                </w14:textFill>
              </w:rPr>
              <w:t>天然气</w:t>
            </w:r>
            <w:r>
              <w:rPr>
                <w:rFonts w:ascii="Times New Roman" w:hAnsi="Times New Roman"/>
                <w:bCs/>
                <w:color w:val="000000" w:themeColor="text1"/>
                <w14:textFill>
                  <w14:solidFill>
                    <w14:schemeClr w14:val="tx1"/>
                  </w14:solidFill>
                </w14:textFill>
              </w:rPr>
              <w:t>加热至</w:t>
            </w:r>
            <w:r>
              <w:rPr>
                <w:rFonts w:hint="eastAsia" w:ascii="Times New Roman" w:hAnsi="Times New Roman"/>
                <w:bCs/>
                <w:color w:val="000000" w:themeColor="text1"/>
                <w14:textFill>
                  <w14:solidFill>
                    <w14:schemeClr w14:val="tx1"/>
                  </w14:solidFill>
                </w14:textFill>
              </w:rPr>
              <w:t>550-950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铝锭熔化后进行保温，保温温度为650-750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，保温时间为30min，</w:t>
            </w:r>
            <w:r>
              <w:rPr>
                <w:rFonts w:ascii="Times New Roman" w:hAnsi="Times New Roman"/>
                <w:bCs/>
                <w:color w:val="000000" w:themeColor="text1"/>
                <w14:textFill>
                  <w14:solidFill>
                    <w14:schemeClr w14:val="tx1"/>
                  </w14:solidFill>
                </w14:textFill>
              </w:rPr>
              <w:t>该工序</w:t>
            </w:r>
            <w:r>
              <w:rPr>
                <w:rFonts w:hint="eastAsia" w:ascii="Times New Roman" w:hAnsi="Times New Roman"/>
                <w:bCs/>
                <w:color w:val="000000" w:themeColor="text1"/>
                <w14:textFill>
                  <w14:solidFill>
                    <w14:schemeClr w14:val="tx1"/>
                  </w14:solidFill>
                </w14:textFill>
              </w:rPr>
              <w:t>会</w:t>
            </w:r>
            <w:r>
              <w:rPr>
                <w:rFonts w:ascii="Times New Roman" w:hAnsi="Times New Roman"/>
                <w:bCs/>
                <w:color w:val="000000" w:themeColor="text1"/>
                <w14:textFill>
                  <w14:solidFill>
                    <w14:schemeClr w14:val="tx1"/>
                  </w14:solidFill>
                </w14:textFill>
              </w:rPr>
              <w:t>产生G</w:t>
            </w:r>
            <w:r>
              <w:rPr>
                <w:rFonts w:hint="eastAsia" w:ascii="Times New Roman" w:hAnsi="Times New Roman"/>
                <w:bCs/>
                <w:color w:val="000000" w:themeColor="text1"/>
                <w14:textFill>
                  <w14:solidFill>
                    <w14:schemeClr w14:val="tx1"/>
                  </w14:solidFill>
                </w14:textFill>
              </w:rPr>
              <w:t>1</w:t>
            </w:r>
            <w:r>
              <w:rPr>
                <w:rFonts w:ascii="Times New Roman" w:hAnsi="Times New Roman"/>
                <w:bCs/>
                <w:color w:val="000000" w:themeColor="text1"/>
                <w14:textFill>
                  <w14:solidFill>
                    <w14:schemeClr w14:val="tx1"/>
                  </w14:solidFill>
                </w14:textFill>
              </w:rPr>
              <w:t>-1</w:t>
            </w:r>
            <w:r>
              <w:rPr>
                <w:rFonts w:hint="eastAsia" w:ascii="Times New Roman" w:hAnsi="Times New Roman"/>
                <w:bCs/>
                <w:color w:val="000000" w:themeColor="text1"/>
                <w14:textFill>
                  <w14:solidFill>
                    <w14:schemeClr w14:val="tx1"/>
                  </w14:solidFill>
                </w14:textFill>
              </w:rPr>
              <w:t>天然气燃烧废气、G1-2熔化废气；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（3）铝液净化：熔化后的铝液添加精炼变质剂、清渣覆盖剂，人工搅拌均匀，在除气剂（氮气）的环境下，清除</w:t>
            </w:r>
            <w:r>
              <w:rPr>
                <w:rFonts w:ascii="Times New Roman" w:hAnsi="Times New Roman"/>
                <w:bCs/>
                <w:color w:val="000000" w:themeColor="text1"/>
                <w14:textFill>
                  <w14:solidFill>
                    <w14:schemeClr w14:val="tx1"/>
                  </w14:solidFill>
                </w14:textFill>
              </w:rPr>
              <w:t>铝液中的杂质</w:t>
            </w:r>
            <w:r>
              <w:rPr>
                <w:rFonts w:hint="eastAsia" w:ascii="Times New Roman" w:hAnsi="Times New Roman"/>
                <w:bCs/>
                <w:color w:val="000000" w:themeColor="text1"/>
                <w14:textFill>
                  <w14:solidFill>
                    <w14:schemeClr w14:val="tx1"/>
                  </w14:solidFill>
                </w14:textFill>
              </w:rPr>
              <w:t>，铝液保温温度为650-750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天然气加热），经查精炼变质剂、清渣覆盖剂中的氯化钠、氯化钾、氯化钙、氯化锶等较稳定（氯化钠熔点802℃、沸点1465℃，氯化钾熔点770℃、沸点1420℃，氯化钙熔点782℃、沸点1600℃，氯化锶熔点873℃、沸点1250℃），一般情况下精炼变质剂、清渣覆盖剂中氯化物均不会受热分解，考虑日常生产中，温度未精确控制，达到氯化物熔点，会有氯化物受热分解，该工序会产生G1-3除渣废气、S1-1</w:t>
            </w:r>
            <w:r>
              <w:rPr>
                <w:rFonts w:hint="eastAsia" w:ascii="Times New Roman" w:hAnsi="Times New Roman"/>
                <w:bCs/>
                <w:color w:val="000000" w:themeColor="text1"/>
                <w:lang w:eastAsia="zh-CN"/>
                <w14:textFill>
                  <w14:solidFill>
                    <w14:schemeClr w14:val="tx1"/>
                  </w14:solidFill>
                </w14:textFill>
              </w:rPr>
              <w:t>铝渣</w:t>
            </w:r>
            <w:r>
              <w:rPr>
                <w:rFonts w:hint="eastAsia" w:ascii="Times New Roman" w:hAnsi="Times New Roman"/>
                <w:bCs/>
                <w:color w:val="000000" w:themeColor="text1"/>
                <w14:textFill>
                  <w14:solidFill>
                    <w14:schemeClr w14:val="tx1"/>
                  </w14:solidFill>
                </w14:textFill>
              </w:rPr>
              <w:t>；</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（4）喷脱模剂：将脱模剂与水</w:t>
            </w:r>
            <w:r>
              <w:rPr>
                <w:rFonts w:hint="eastAsia"/>
                <w:color w:val="000000" w:themeColor="text1"/>
                <w14:textFill>
                  <w14:solidFill>
                    <w14:schemeClr w14:val="tx1"/>
                  </w14:solidFill>
                </w14:textFill>
              </w:rPr>
              <w:t>按</w:t>
            </w:r>
            <w:r>
              <w:rPr>
                <w:rFonts w:hint="eastAsia" w:ascii="Times New Roman" w:hAnsi="Times New Roman"/>
                <w:bCs/>
                <w:color w:val="000000" w:themeColor="text1"/>
                <w14:textFill>
                  <w14:solidFill>
                    <w14:schemeClr w14:val="tx1"/>
                  </w14:solidFill>
                </w14:textFill>
              </w:rPr>
              <w:t>1:10混合配比后，将脱模剂以喷洒的形式喷洒在模具上；</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（5）制芯、浇铸：根据客户质量/规格需求，部分工件需使用到</w:t>
            </w:r>
            <w:r>
              <w:rPr>
                <w:rFonts w:ascii="Times New Roman" w:hAnsi="Times New Roman"/>
                <w:bCs/>
                <w:color w:val="000000" w:themeColor="text1"/>
                <w14:textFill>
                  <w14:solidFill>
                    <w14:schemeClr w14:val="tx1"/>
                  </w14:solidFill>
                </w14:textFill>
              </w:rPr>
              <w:t>壳芯机</w:t>
            </w:r>
            <w:r>
              <w:rPr>
                <w:rFonts w:hint="eastAsia" w:ascii="Times New Roman" w:hAnsi="Times New Roman"/>
                <w:bCs/>
                <w:color w:val="000000" w:themeColor="text1"/>
                <w14:textFill>
                  <w14:solidFill>
                    <w14:schemeClr w14:val="tx1"/>
                  </w14:solidFill>
                </w14:textFill>
              </w:rPr>
              <w:t>进行制芯，将</w:t>
            </w:r>
            <w:r>
              <w:rPr>
                <w:rFonts w:ascii="Times New Roman" w:hAnsi="Times New Roman"/>
                <w:color w:val="000000" w:themeColor="text1"/>
                <w14:textFill>
                  <w14:solidFill>
                    <w14:schemeClr w14:val="tx1"/>
                  </w14:solidFill>
                </w14:textFill>
              </w:rPr>
              <w:t>混合好的</w:t>
            </w:r>
            <w:r>
              <w:rPr>
                <w:rFonts w:hint="eastAsia" w:ascii="Times New Roman" w:hAnsi="Times New Roman"/>
                <w:color w:val="000000" w:themeColor="text1"/>
                <w14:textFill>
                  <w14:solidFill>
                    <w14:schemeClr w14:val="tx1"/>
                  </w14:solidFill>
                </w14:textFill>
              </w:rPr>
              <w:t>覆膜砂</w:t>
            </w:r>
            <w:r>
              <w:rPr>
                <w:rFonts w:ascii="Times New Roman" w:hAnsi="Times New Roman"/>
                <w:color w:val="000000" w:themeColor="text1"/>
                <w14:textFill>
                  <w14:solidFill>
                    <w14:schemeClr w14:val="tx1"/>
                  </w14:solidFill>
                </w14:textFill>
              </w:rPr>
              <w:t>注入</w:t>
            </w:r>
            <w:r>
              <w:rPr>
                <w:color w:val="000000" w:themeColor="text1"/>
                <w14:textFill>
                  <w14:solidFill>
                    <w14:schemeClr w14:val="tx1"/>
                  </w14:solidFill>
                </w14:textFill>
              </w:rPr>
              <w:t>砂芯模</w:t>
            </w:r>
            <w:r>
              <w:rPr>
                <w:rFonts w:ascii="Times New Roman" w:hAnsi="Times New Roman"/>
                <w:color w:val="000000" w:themeColor="text1"/>
                <w14:textFill>
                  <w14:solidFill>
                    <w14:schemeClr w14:val="tx1"/>
                  </w14:solidFill>
                </w14:textFill>
              </w:rPr>
              <w:t>，经设备压制成型</w:t>
            </w:r>
            <w:r>
              <w:rPr>
                <w:rFonts w:hint="eastAsia" w:ascii="Times New Roman" w:hAnsi="Times New Roman"/>
                <w:color w:val="000000" w:themeColor="text1"/>
                <w14:textFill>
                  <w14:solidFill>
                    <w14:schemeClr w14:val="tx1"/>
                  </w14:solidFill>
                </w14:textFill>
              </w:rPr>
              <w:t>，压制温度为180-200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，加热形式为电加热，覆膜砂主要成分为天然河沙及少量的酚醛树脂，酚醛树脂受热分解温度</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180-300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，部分酚醛树脂受热分解</w:t>
            </w:r>
            <w:r>
              <w:rPr>
                <w:rFonts w:hint="eastAsia"/>
                <w:color w:val="000000" w:themeColor="text1"/>
                <w14:textFill>
                  <w14:solidFill>
                    <w14:schemeClr w14:val="tx1"/>
                  </w14:solidFill>
                </w14:textFill>
              </w:rPr>
              <w:t>产生甲醛</w:t>
            </w:r>
            <w:r>
              <w:rPr>
                <w:rFonts w:hint="eastAsia" w:ascii="Times New Roman" w:hAnsi="Times New Roman"/>
                <w:bCs/>
                <w:color w:val="000000" w:themeColor="text1"/>
                <w14:textFill>
                  <w14:solidFill>
                    <w14:schemeClr w14:val="tx1"/>
                  </w14:solidFill>
                </w14:textFill>
              </w:rPr>
              <w:t>，覆膜砂在使用过程中，酚醛树脂中游离的酚类逸散，该工序会产生G1-4制芯废气（颗粒物、非甲烷总烃、甲醛）；</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浇铸过程本项目分为两类工艺，一类工艺为使用树脂砂进行浇铸，另一类工艺为重力、低压型浇铸</w:t>
            </w:r>
            <w:r>
              <w:rPr>
                <w:rFonts w:hint="eastAsia"/>
                <w:color w:val="000000" w:themeColor="text1"/>
                <w14:textFill>
                  <w14:solidFill>
                    <w14:schemeClr w14:val="tx1"/>
                  </w14:solidFill>
                </w14:textFill>
              </w:rPr>
              <w:t>，树脂砂浇铸：</w:t>
            </w:r>
            <w:r>
              <w:rPr>
                <w:color w:val="000000" w:themeColor="text1"/>
                <w14:textFill>
                  <w14:solidFill>
                    <w14:schemeClr w14:val="tx1"/>
                  </w14:solidFill>
                </w14:textFill>
              </w:rPr>
              <w:t>砂芯运到浇铸区，放置在金属模具上</w:t>
            </w:r>
            <w:r>
              <w:rPr>
                <w:rFonts w:hint="eastAsia" w:ascii="Times New Roman" w:hAnsi="Times New Roman"/>
                <w:bCs/>
                <w:color w:val="000000" w:themeColor="text1"/>
                <w14:textFill>
                  <w14:solidFill>
                    <w14:schemeClr w14:val="tx1"/>
                  </w14:solidFill>
                </w14:textFill>
              </w:rPr>
              <w:t>，使用铸造机对工件进行浇铸成型，</w:t>
            </w:r>
            <w:r>
              <w:rPr>
                <w:rFonts w:ascii="Times New Roman" w:hAnsi="Times New Roman"/>
                <w:color w:val="000000" w:themeColor="text1"/>
                <w14:textFill>
                  <w14:solidFill>
                    <w14:schemeClr w14:val="tx1"/>
                  </w14:solidFill>
                </w14:textFill>
              </w:rPr>
              <w:t>自动控制系统将</w:t>
            </w:r>
            <w:r>
              <w:rPr>
                <w:rFonts w:hint="eastAsia" w:ascii="Times New Roman" w:hAnsi="Times New Roman"/>
                <w:color w:val="000000" w:themeColor="text1"/>
                <w14:textFill>
                  <w14:solidFill>
                    <w14:schemeClr w14:val="tx1"/>
                  </w14:solidFill>
                </w14:textFill>
              </w:rPr>
              <w:t>铝</w:t>
            </w:r>
            <w:r>
              <w:rPr>
                <w:rFonts w:ascii="Times New Roman" w:hAnsi="Times New Roman"/>
                <w:color w:val="000000" w:themeColor="text1"/>
                <w14:textFill>
                  <w14:solidFill>
                    <w14:schemeClr w14:val="tx1"/>
                  </w14:solidFill>
                </w14:textFill>
              </w:rPr>
              <w:t>水从</w:t>
            </w:r>
            <w:r>
              <w:rPr>
                <w:color w:val="000000" w:themeColor="text1"/>
                <w:szCs w:val="21"/>
                <w14:textFill>
                  <w14:solidFill>
                    <w14:schemeClr w14:val="tx1"/>
                  </w14:solidFill>
                </w14:textFill>
              </w:rPr>
              <w:t>熔铝</w:t>
            </w:r>
            <w:r>
              <w:rPr>
                <w:rFonts w:ascii="Times New Roman" w:hAnsi="Times New Roman"/>
                <w:color w:val="000000" w:themeColor="text1"/>
                <w14:textFill>
                  <w14:solidFill>
                    <w14:schemeClr w14:val="tx1"/>
                  </w14:solidFill>
                </w14:textFill>
              </w:rPr>
              <w:t>炉运至浇注区，从浇注口中利用重力进行浇注，自动成型</w:t>
            </w:r>
            <w:r>
              <w:rPr>
                <w:rFonts w:hint="eastAsia" w:ascii="Times New Roman" w:hAnsi="Times New Roman"/>
                <w:bCs/>
                <w:color w:val="000000" w:themeColor="text1"/>
                <w14:textFill>
                  <w14:solidFill>
                    <w14:schemeClr w14:val="tx1"/>
                  </w14:solidFill>
                </w14:textFill>
              </w:rPr>
              <w:t>，浇铸温度为700-800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（天然气加热），</w:t>
            </w:r>
            <w:r>
              <w:rPr>
                <w:color w:val="000000" w:themeColor="text1"/>
                <w14:textFill>
                  <w14:solidFill>
                    <w14:schemeClr w14:val="tx1"/>
                  </w14:solidFill>
                </w14:textFill>
              </w:rPr>
              <w:t>由于</w:t>
            </w:r>
            <w:r>
              <w:rPr>
                <w:rFonts w:hint="eastAsia"/>
                <w:color w:val="000000" w:themeColor="text1"/>
                <w14:textFill>
                  <w14:solidFill>
                    <w14:schemeClr w14:val="tx1"/>
                  </w14:solidFill>
                </w14:textFill>
              </w:rPr>
              <w:t>铝水</w:t>
            </w:r>
            <w:r>
              <w:rPr>
                <w:color w:val="000000" w:themeColor="text1"/>
                <w14:textFill>
                  <w14:solidFill>
                    <w14:schemeClr w14:val="tx1"/>
                  </w14:solidFill>
                </w14:textFill>
              </w:rPr>
              <w:t>的温度</w:t>
            </w:r>
            <w:r>
              <w:rPr>
                <w:rFonts w:hint="eastAsia"/>
                <w:color w:val="000000" w:themeColor="text1"/>
                <w14:textFill>
                  <w14:solidFill>
                    <w14:schemeClr w14:val="tx1"/>
                  </w14:solidFill>
                </w14:textFill>
              </w:rPr>
              <w:t>较高</w:t>
            </w:r>
            <w:r>
              <w:rPr>
                <w:color w:val="000000" w:themeColor="text1"/>
                <w14:textFill>
                  <w14:solidFill>
                    <w14:schemeClr w14:val="tx1"/>
                  </w14:solidFill>
                </w14:textFill>
              </w:rPr>
              <w:t>，砂芯含</w:t>
            </w:r>
            <w:r>
              <w:rPr>
                <w:rFonts w:hint="eastAsia"/>
                <w:color w:val="000000" w:themeColor="text1"/>
                <w14:textFill>
                  <w14:solidFill>
                    <w14:schemeClr w14:val="tx1"/>
                  </w14:solidFill>
                </w14:textFill>
              </w:rPr>
              <w:t>有</w:t>
            </w:r>
            <w:r>
              <w:rPr>
                <w:color w:val="000000" w:themeColor="text1"/>
                <w14:textFill>
                  <w14:solidFill>
                    <w14:schemeClr w14:val="tx1"/>
                  </w14:solidFill>
                </w14:textFill>
              </w:rPr>
              <w:t>的酚醛树脂</w:t>
            </w:r>
            <w:r>
              <w:rPr>
                <w:rFonts w:hint="eastAsia"/>
                <w:color w:val="000000" w:themeColor="text1"/>
                <w14:textFill>
                  <w14:solidFill>
                    <w14:schemeClr w14:val="tx1"/>
                  </w14:solidFill>
                </w14:textFill>
              </w:rPr>
              <w:t>，脱模剂中有机成分</w:t>
            </w:r>
            <w:r>
              <w:rPr>
                <w:color w:val="000000" w:themeColor="text1"/>
                <w14:textFill>
                  <w14:solidFill>
                    <w14:schemeClr w14:val="tx1"/>
                  </w14:solidFill>
                </w14:textFill>
              </w:rPr>
              <w:t>会受热分解产生一定量的有机废气</w:t>
            </w:r>
            <w:r>
              <w:rPr>
                <w:rFonts w:hint="eastAsia"/>
                <w:color w:val="000000" w:themeColor="text1"/>
                <w14:textFill>
                  <w14:solidFill>
                    <w14:schemeClr w14:val="tx1"/>
                  </w14:solidFill>
                </w14:textFill>
              </w:rPr>
              <w:t>；重力、低压型浇铸：利用重力铸造机</w:t>
            </w:r>
            <w:r>
              <w:rPr>
                <w:rFonts w:hint="eastAsia" w:ascii="Times New Roman" w:hAnsi="Times New Roman"/>
                <w:bCs/>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自动控制系统将</w:t>
            </w:r>
            <w:r>
              <w:rPr>
                <w:rFonts w:hint="eastAsia" w:ascii="Times New Roman" w:hAnsi="Times New Roman"/>
                <w:color w:val="000000" w:themeColor="text1"/>
                <w14:textFill>
                  <w14:solidFill>
                    <w14:schemeClr w14:val="tx1"/>
                  </w14:solidFill>
                </w14:textFill>
              </w:rPr>
              <w:t>铝</w:t>
            </w:r>
            <w:r>
              <w:rPr>
                <w:rFonts w:ascii="Times New Roman" w:hAnsi="Times New Roman"/>
                <w:color w:val="000000" w:themeColor="text1"/>
                <w14:textFill>
                  <w14:solidFill>
                    <w14:schemeClr w14:val="tx1"/>
                  </w14:solidFill>
                </w14:textFill>
              </w:rPr>
              <w:t>水从</w:t>
            </w:r>
            <w:r>
              <w:rPr>
                <w:color w:val="000000" w:themeColor="text1"/>
                <w:szCs w:val="21"/>
                <w14:textFill>
                  <w14:solidFill>
                    <w14:schemeClr w14:val="tx1"/>
                  </w14:solidFill>
                </w14:textFill>
              </w:rPr>
              <w:t>熔铝</w:t>
            </w:r>
            <w:r>
              <w:rPr>
                <w:rFonts w:ascii="Times New Roman" w:hAnsi="Times New Roman"/>
                <w:color w:val="000000" w:themeColor="text1"/>
                <w14:textFill>
                  <w14:solidFill>
                    <w14:schemeClr w14:val="tx1"/>
                  </w14:solidFill>
                </w14:textFill>
              </w:rPr>
              <w:t>炉运至浇注区，从浇注口中利用重力进行浇注，自动成型</w:t>
            </w:r>
            <w:r>
              <w:rPr>
                <w:rFonts w:hint="eastAsia" w:ascii="Times New Roman" w:hAnsi="Times New Roman"/>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浇铸温度为700-800</w:t>
            </w:r>
            <w:r>
              <w:rPr>
                <w:rFonts w:ascii="Times New Roman" w:hAnsi="Times New Roman"/>
                <w:bCs/>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（天然气加热），浇铸后</w:t>
            </w:r>
            <w:r>
              <w:rPr>
                <w:rFonts w:ascii="Times New Roman" w:hAnsi="Times New Roman"/>
                <w:color w:val="000000" w:themeColor="text1"/>
                <w:szCs w:val="24"/>
                <w14:textFill>
                  <w14:solidFill>
                    <w14:schemeClr w14:val="tx1"/>
                  </w14:solidFill>
                </w14:textFill>
              </w:rPr>
              <w:t>自然冷却至室温</w:t>
            </w:r>
            <w:r>
              <w:rPr>
                <w:rFonts w:hint="eastAsia" w:ascii="Times New Roman" w:hAnsi="Times New Roman"/>
                <w:color w:val="000000" w:themeColor="text1"/>
                <w:szCs w:val="24"/>
                <w14:textFill>
                  <w14:solidFill>
                    <w14:schemeClr w14:val="tx1"/>
                  </w14:solidFill>
                </w14:textFill>
              </w:rPr>
              <w:t>，该工序会产生G1-5浇铸废气（树脂砂浇铸：非甲烷总烃、颗粒物、重力、低压型浇铸：颗粒物）；</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（6）脱模、除砂芯：将工件从模具中取出，进行脱模，有制芯工序的工件脱模后除去工件表面的砂芯，该工序会产生S1-2废砂芯、N噪声，废砂芯厂家回收后再生；</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（7）切割浇冒口、打磨：使用锯床</w:t>
            </w:r>
            <w:r>
              <w:rPr>
                <w:rFonts w:ascii="Times New Roman" w:hAnsi="Times New Roman"/>
                <w:bCs/>
                <w:color w:val="000000" w:themeColor="text1"/>
                <w14:textFill>
                  <w14:solidFill>
                    <w14:schemeClr w14:val="tx1"/>
                  </w14:solidFill>
                </w14:textFill>
              </w:rPr>
              <w:t>切除铸件毛坯上的浇口和冒口等多余材料</w:t>
            </w:r>
            <w:r>
              <w:rPr>
                <w:rFonts w:hint="eastAsia" w:ascii="Times New Roman" w:hAnsi="Times New Roman"/>
                <w:bCs/>
                <w:color w:val="000000" w:themeColor="text1"/>
                <w14:textFill>
                  <w14:solidFill>
                    <w14:schemeClr w14:val="tx1"/>
                  </w14:solidFill>
                </w14:textFill>
              </w:rPr>
              <w:t>，锯床使用切削液，该工序会产生S1-3废边角料、S1-4废切削液；</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切割后的工件，工人使用砂带枪对其进行修正，该工序会产生G1-6打磨粉尘、N噪声；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（8）热处理：铝合金淬火炉（固溶）、铝合金时效炉加热至500~550</w:t>
            </w:r>
            <w:r>
              <w:rPr>
                <w:rFonts w:hint="eastAsia"/>
                <w:bCs/>
                <w:color w:val="000000" w:themeColor="text1"/>
                <w14:textFill>
                  <w14:solidFill>
                    <w14:schemeClr w14:val="tx1"/>
                  </w14:solidFill>
                </w14:textFill>
              </w:rPr>
              <w:t>℃，使其保温，</w:t>
            </w:r>
            <w:r>
              <w:rPr>
                <w:rFonts w:hint="eastAsia" w:ascii="Times New Roman" w:hAnsi="Times New Roman"/>
                <w:bCs/>
                <w:color w:val="000000" w:themeColor="text1"/>
                <w14:textFill>
                  <w14:solidFill>
                    <w14:schemeClr w14:val="tx1"/>
                  </w14:solidFill>
                </w14:textFill>
              </w:rPr>
              <w:t>将修正后的工件放入淬火炉中冷却，</w:t>
            </w:r>
            <w:r>
              <w:rPr>
                <w:rFonts w:hint="eastAsia" w:ascii="Times New Roman" w:hAnsi="Times New Roman"/>
                <w:color w:val="000000" w:themeColor="text1"/>
                <w14:textFill>
                  <w14:solidFill>
                    <w14:schemeClr w14:val="tx1"/>
                  </w14:solidFill>
                </w14:textFill>
              </w:rPr>
              <w:t>提高</w:t>
            </w:r>
            <w:r>
              <w:rPr>
                <w:rFonts w:ascii="Times New Roman" w:hAnsi="Times New Roman"/>
                <w:color w:val="000000" w:themeColor="text1"/>
                <w14:textFill>
                  <w14:solidFill>
                    <w14:schemeClr w14:val="tx1"/>
                  </w14:solidFill>
                </w14:textFill>
              </w:rPr>
              <w:t>机械性能</w:t>
            </w:r>
            <w:r>
              <w:rPr>
                <w:rFonts w:hint="eastAsia" w:ascii="Times New Roman" w:hAnsi="Times New Roman"/>
                <w:color w:val="000000" w:themeColor="text1"/>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热处理介质为清水，铝合金淬火炉（固溶）、铝合金时效炉均为电加热，该工序会产生G1-7水蒸气；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（9）抛丸：热处理后的工件通过抛丸机去除工件表面毛刺，该工序产生抛丸粉尘G1-8、废钢丸S1-5、噪声N；</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（10）射线探伤、检验：使用射线探伤仪器</w:t>
            </w:r>
            <w:r>
              <w:rPr>
                <w:rFonts w:ascii="Times New Roman" w:hAnsi="Times New Roman"/>
                <w:bCs/>
                <w:color w:val="000000" w:themeColor="text1"/>
                <w14:textFill>
                  <w14:solidFill>
                    <w14:schemeClr w14:val="tx1"/>
                  </w14:solidFill>
                </w14:textFill>
              </w:rPr>
              <w:t>对铸件内部缺陷进行数字成像检测</w:t>
            </w:r>
            <w:r>
              <w:rPr>
                <w:rFonts w:hint="eastAsia" w:ascii="Times New Roman" w:hAnsi="Times New Roman"/>
                <w:bCs/>
                <w:color w:val="000000" w:themeColor="text1"/>
                <w14:textFill>
                  <w14:solidFill>
                    <w14:schemeClr w14:val="tx1"/>
                  </w14:solidFill>
                </w14:textFill>
              </w:rPr>
              <w:t>，成像检测后使用拉力试验机、金相显微镜、三坐标对工件外部进行检测，射线探伤仪涉及辐射需另行评价；</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11）机械加工：根据客户要求进行选择性机械加工，包括车床、加工中心等使之符合产品要求，加工过程中使用切削液、导轨油冷却润滑，切削液、导轨油循环使用定期更换，该工序会产生S1-6废切削液、S1-7导轨油、S1-8废边角料、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（12）成品检验：对机械加工后的工件三坐标等检测仪器进行尺寸和外观检验；</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（13）清洗、入库；检验后的工件</w:t>
            </w:r>
            <w:r>
              <w:rPr>
                <w:rFonts w:ascii="Times New Roman" w:hAnsi="Times New Roman"/>
                <w:color w:val="000000" w:themeColor="text1"/>
                <w:szCs w:val="24"/>
                <w14:textFill>
                  <w14:solidFill>
                    <w14:schemeClr w14:val="tx1"/>
                  </w14:solidFill>
                </w14:textFill>
              </w:rPr>
              <w:t>在</w:t>
            </w:r>
            <w:r>
              <w:rPr>
                <w:rFonts w:hint="eastAsia" w:ascii="Times New Roman" w:hAnsi="Times New Roman"/>
                <w:color w:val="000000" w:themeColor="text1"/>
                <w:szCs w:val="24"/>
                <w14:textFill>
                  <w14:solidFill>
                    <w14:schemeClr w14:val="tx1"/>
                  </w14:solidFill>
                </w14:textFill>
              </w:rPr>
              <w:t>40</w:t>
            </w:r>
            <w:r>
              <w:rPr>
                <w:rFonts w:ascii="Times New Roman" w:hAnsi="Times New Roman"/>
                <w:bCs/>
                <w:color w:val="000000" w:themeColor="text1"/>
                <w14:textFill>
                  <w14:solidFill>
                    <w14:schemeClr w14:val="tx1"/>
                  </w14:solidFill>
                </w14:textFill>
              </w:rPr>
              <w:t>℃</w:t>
            </w:r>
            <w:r>
              <w:rPr>
                <w:rFonts w:ascii="Times New Roman" w:hAnsi="Times New Roman"/>
                <w:color w:val="000000" w:themeColor="text1"/>
                <w:szCs w:val="24"/>
                <w14:textFill>
                  <w14:solidFill>
                    <w14:schemeClr w14:val="tx1"/>
                  </w14:solidFill>
                </w14:textFill>
              </w:rPr>
              <w:t>下使用</w:t>
            </w:r>
            <w:r>
              <w:rPr>
                <w:rFonts w:hint="eastAsia" w:ascii="Times New Roman" w:hAnsi="Times New Roman"/>
                <w:color w:val="000000" w:themeColor="text1"/>
                <w:szCs w:val="24"/>
                <w14:textFill>
                  <w14:solidFill>
                    <w14:schemeClr w14:val="tx1"/>
                  </w14:solidFill>
                </w14:textFill>
              </w:rPr>
              <w:t>清洗剂</w:t>
            </w:r>
            <w:r>
              <w:rPr>
                <w:rFonts w:ascii="Times New Roman" w:hAnsi="Times New Roman"/>
                <w:color w:val="000000" w:themeColor="text1"/>
                <w:szCs w:val="24"/>
                <w14:textFill>
                  <w14:solidFill>
                    <w14:schemeClr w14:val="tx1"/>
                  </w14:solidFill>
                </w14:textFill>
              </w:rPr>
              <w:t>进行超声波清洗</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去除工件表面的油渍，清洗剂循环使用不外排；少数不适合在超声波清洗机处理的样件，在煤油清洗槽里使用煤油进行清洗，清洗槽槽底会产生S1-9清洗残渣，清洗过程中会产生G1-9清洗废气。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清洗后的工件即成品入库待运输。</w:t>
            </w:r>
          </w:p>
          <w:p>
            <w:pPr>
              <w:pStyle w:val="17"/>
              <w:jc w:val="center"/>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object>
                <v:shape id="_x0000_i1027" o:spt="75" type="#_x0000_t75" style="height:540.25pt;width:317pt;" o:ole="t" filled="f" o:preferrelative="t" stroked="f" coordsize="21600,21600">
                  <v:path/>
                  <v:fill on="f" focussize="0,0"/>
                  <v:stroke on="f" joinstyle="miter"/>
                  <v:imagedata r:id="rId11" o:title=""/>
                  <o:lock v:ext="edit" aspectratio="f"/>
                  <w10:wrap type="none"/>
                  <w10:anchorlock/>
                </v:shape>
                <o:OLEObject Type="Embed" ProgID="Visio.Drawing.15" ShapeID="_x0000_i1027" DrawAspect="Content" ObjectID="_1468075727" r:id="rId10">
                  <o:LockedField>false</o:LockedField>
                </o:OLEObject>
              </w:object>
            </w:r>
          </w:p>
          <w:p>
            <w:pPr>
              <w:adjustRightInd w:val="0"/>
              <w:snapToGrid w:val="0"/>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图2-3  高端装备国际配套零部件工艺流程图</w:t>
            </w:r>
          </w:p>
          <w:p>
            <w:pPr>
              <w:pStyle w:val="17"/>
              <w:jc w:val="both"/>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工艺流程简述：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（1）下料切割：来料的圆钢、铝合金铸棒按客户要求对其进行切割，切割机床需使用切削液冷却润滑，该工序会产生S2-1废切削液、S2-2废边角料、N噪声；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（2）加热：对切割后的圆钢、铝合金铸棒分别使用</w:t>
            </w:r>
            <w:r>
              <w:rPr>
                <w:rFonts w:hint="eastAsia"/>
                <w:color w:val="000000" w:themeColor="text1"/>
                <w:szCs w:val="21"/>
                <w14:textFill>
                  <w14:solidFill>
                    <w14:schemeClr w14:val="tx1"/>
                  </w14:solidFill>
                </w14:textFill>
              </w:rPr>
              <w:t>感应加热炉、网带炉等进行加热，圆钢加热使用天然气感应加热炉，加热温度为</w:t>
            </w:r>
            <w:r>
              <w:rPr>
                <w:rFonts w:hint="eastAsia" w:ascii="Times New Roman" w:hAnsi="Times New Roman"/>
                <w:bCs/>
                <w:color w:val="000000" w:themeColor="text1"/>
                <w14:textFill>
                  <w14:solidFill>
                    <w14:schemeClr w14:val="tx1"/>
                  </w14:solidFill>
                </w14:textFill>
              </w:rPr>
              <w:t>1000-1300℃；铝合金铸棒使用</w:t>
            </w:r>
            <w:r>
              <w:rPr>
                <w:rFonts w:hint="eastAsia"/>
                <w:color w:val="000000" w:themeColor="text1"/>
                <w:szCs w:val="21"/>
                <w14:textFill>
                  <w14:solidFill>
                    <w14:schemeClr w14:val="tx1"/>
                  </w14:solidFill>
                </w14:textFill>
              </w:rPr>
              <w:t>天然气</w:t>
            </w:r>
            <w:r>
              <w:rPr>
                <w:rFonts w:hint="eastAsia" w:ascii="Times New Roman" w:hAnsi="Times New Roman"/>
                <w:bCs/>
                <w:color w:val="000000" w:themeColor="text1"/>
                <w14:textFill>
                  <w14:solidFill>
                    <w14:schemeClr w14:val="tx1"/>
                  </w14:solidFill>
                </w14:textFill>
              </w:rPr>
              <w:t>网带加热炉，加热温度为450-550℃，该工序会产生G2-1天然气燃烧废气；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（3）喷脱模剂：将脱模剂与水以1:10比例</w:t>
            </w:r>
            <w:r>
              <w:rPr>
                <w:rFonts w:hint="eastAsia"/>
                <w:bCs/>
                <w:color w:val="000000" w:themeColor="text1"/>
                <w14:textFill>
                  <w14:solidFill>
                    <w14:schemeClr w14:val="tx1"/>
                  </w14:solidFill>
                </w14:textFill>
              </w:rPr>
              <w:t>混合</w:t>
            </w:r>
            <w:r>
              <w:rPr>
                <w:rFonts w:hint="eastAsia" w:ascii="Times New Roman" w:hAnsi="Times New Roman"/>
                <w:bCs/>
                <w:color w:val="000000" w:themeColor="text1"/>
                <w14:textFill>
                  <w14:solidFill>
                    <w14:schemeClr w14:val="tx1"/>
                  </w14:solidFill>
                </w14:textFill>
              </w:rPr>
              <w:t>，以喷洒形式均匀地覆在加热后的</w:t>
            </w:r>
            <w:r>
              <w:rPr>
                <w:rFonts w:hint="eastAsia"/>
                <w:color w:val="000000" w:themeColor="text1"/>
                <w:szCs w:val="21"/>
                <w14:textFill>
                  <w14:solidFill>
                    <w14:schemeClr w14:val="tx1"/>
                  </w14:solidFill>
                </w14:textFill>
              </w:rPr>
              <w:t>圆钢</w:t>
            </w:r>
            <w:r>
              <w:rPr>
                <w:rFonts w:hint="eastAsia" w:ascii="Times New Roman" w:hAnsi="Times New Roman"/>
                <w:bCs/>
                <w:color w:val="000000" w:themeColor="text1"/>
                <w14:textFill>
                  <w14:solidFill>
                    <w14:schemeClr w14:val="tx1"/>
                  </w14:solidFill>
                </w14:textFill>
              </w:rPr>
              <w:t>上，防止工件锻压时衍生伸长、开裂等现象，圆钢加热后温度为1000-1300℃，温度较高，脱模剂喷洒会产生G2-2水蒸气；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（4）锻压：使用电动螺旋压力机、液压机、电液锤对工件进行锻压形变至指定形状，该工序会产生N噪声；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（5）冲孔：锻压后的工件自然冷却至室温后，利用</w:t>
            </w:r>
            <w:r>
              <w:rPr>
                <w:color w:val="000000" w:themeColor="text1"/>
                <w:szCs w:val="21"/>
                <w14:textFill>
                  <w14:solidFill>
                    <w14:schemeClr w14:val="tx1"/>
                  </w14:solidFill>
                </w14:textFill>
              </w:rPr>
              <w:t>冲床</w:t>
            </w:r>
            <w:r>
              <w:rPr>
                <w:rFonts w:hint="eastAsia"/>
                <w:color w:val="000000" w:themeColor="text1"/>
                <w:szCs w:val="21"/>
                <w14:textFill>
                  <w14:solidFill>
                    <w14:schemeClr w14:val="tx1"/>
                  </w14:solidFill>
                </w14:textFill>
              </w:rPr>
              <w:t>打孔</w:t>
            </w:r>
            <w:r>
              <w:rPr>
                <w:rFonts w:hint="eastAsia" w:ascii="Times New Roman" w:hAnsi="Times New Roman"/>
                <w:bCs/>
                <w:color w:val="000000" w:themeColor="text1"/>
                <w14:textFill>
                  <w14:solidFill>
                    <w14:schemeClr w14:val="tx1"/>
                  </w14:solidFill>
                </w14:textFill>
              </w:rPr>
              <w:t>，该工序会产生N噪声；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（6）热处理：工件</w:t>
            </w:r>
            <w:r>
              <w:rPr>
                <w:rFonts w:ascii="Times New Roman" w:hAnsi="Times New Roman"/>
                <w:bCs/>
                <w:color w:val="000000" w:themeColor="text1"/>
                <w14:textFill>
                  <w14:solidFill>
                    <w14:schemeClr w14:val="tx1"/>
                  </w14:solidFill>
                </w14:textFill>
              </w:rPr>
              <w:t>需要进行</w:t>
            </w:r>
            <w:r>
              <w:rPr>
                <w:rFonts w:hint="eastAsia" w:ascii="Times New Roman" w:hAnsi="Times New Roman"/>
                <w:bCs/>
                <w:color w:val="000000" w:themeColor="text1"/>
                <w14:textFill>
                  <w14:solidFill>
                    <w14:schemeClr w14:val="tx1"/>
                  </w14:solidFill>
                </w14:textFill>
              </w:rPr>
              <w:t>热处理</w:t>
            </w:r>
            <w:r>
              <w:rPr>
                <w:rFonts w:ascii="Times New Roman" w:hAnsi="Times New Roman"/>
                <w:bCs/>
                <w:color w:val="000000" w:themeColor="text1"/>
                <w14:textFill>
                  <w14:solidFill>
                    <w14:schemeClr w14:val="tx1"/>
                  </w14:solidFill>
                </w14:textFill>
              </w:rPr>
              <w:t>提高机械性能</w:t>
            </w:r>
            <w:r>
              <w:rPr>
                <w:rFonts w:hint="eastAsia" w:ascii="Times New Roman" w:hAnsi="Times New Roman"/>
                <w:bCs/>
                <w:color w:val="000000" w:themeColor="text1"/>
                <w14:textFill>
                  <w14:solidFill>
                    <w14:schemeClr w14:val="tx1"/>
                  </w14:solidFill>
                </w14:textFill>
              </w:rPr>
              <w:t>，利用台车式淬火炉、回火炉对其进行热处理。台车式淬火炉、回火炉均为电加热，台式淬火炉使用清水作为介质（部分工件采用水溶性淬火剂配水作为介质），温度为800-1100℃，保温时间为4小时；回火过程中回火温度为600-700℃，保温时间为6-8小时，该工序会产生G2-3水蒸气、G2-4有机废气；</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（7）抛丸：热处理后的工件通过抛丸机去除工件表面毛刺，该工序产生G2-5抛丸粉尘、S2-3废钢丸、噪声N</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（8）探伤、检验：使用探伤仪器对抛丸后的工件进行内部检测、检验，确保其内部无破损；</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9）机械加工：根据客户要求进行选择性机械加工，包括车床、加工中心等使之符合产品要求，加工过程中使用切削液、导轨油冷却润滑，切削液、导轨油循环使用定期更换，该工序会产生S2-4废切削液、S2-5废导轨油、S2-6废边角料、N噪声；</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（10）成品检验：对机械加工后的工件三坐标等检测仪器进行尺寸和外观检验；</w:t>
            </w:r>
          </w:p>
          <w:p>
            <w:pPr>
              <w:pStyle w:val="17"/>
              <w:adjustRightInd w:val="0"/>
              <w:snapToGrid w:val="0"/>
              <w:spacing w:before="0" w:beforeAutospacing="0" w:after="0" w:afterAutospacing="0" w:line="360" w:lineRule="auto"/>
              <w:ind w:firstLine="480" w:firstLineChars="200"/>
              <w:jc w:val="both"/>
              <w:rPr>
                <w:rFonts w:ascii="Times New Roman" w:hAnsi="Times New Roman"/>
                <w:bCs/>
                <w:color w:val="000000" w:themeColor="text1"/>
                <w14:textFill>
                  <w14:solidFill>
                    <w14:schemeClr w14:val="tx1"/>
                  </w14:solidFill>
                </w14:textFill>
              </w:rPr>
            </w:pPr>
            <w:r>
              <w:rPr>
                <w:rFonts w:hint="eastAsia" w:ascii="Times New Roman" w:hAnsi="Times New Roman"/>
                <w:bCs/>
                <w:color w:val="000000" w:themeColor="text1"/>
                <w14:textFill>
                  <w14:solidFill>
                    <w14:schemeClr w14:val="tx1"/>
                  </w14:solidFill>
                </w14:textFill>
              </w:rPr>
              <w:t>（11）清洗、入库：检验后的工件</w:t>
            </w:r>
            <w:r>
              <w:rPr>
                <w:rFonts w:ascii="Times New Roman" w:hAnsi="Times New Roman"/>
                <w:color w:val="000000" w:themeColor="text1"/>
                <w:szCs w:val="24"/>
                <w14:textFill>
                  <w14:solidFill>
                    <w14:schemeClr w14:val="tx1"/>
                  </w14:solidFill>
                </w14:textFill>
              </w:rPr>
              <w:t>在</w:t>
            </w:r>
            <w:r>
              <w:rPr>
                <w:rFonts w:hint="eastAsia" w:ascii="Times New Roman" w:hAnsi="Times New Roman"/>
                <w:color w:val="000000" w:themeColor="text1"/>
                <w:szCs w:val="24"/>
                <w14:textFill>
                  <w14:solidFill>
                    <w14:schemeClr w14:val="tx1"/>
                  </w14:solidFill>
                </w14:textFill>
              </w:rPr>
              <w:t>40</w:t>
            </w:r>
            <w:r>
              <w:rPr>
                <w:rFonts w:ascii="Times New Roman" w:hAnsi="Times New Roman"/>
                <w:bCs/>
                <w:color w:val="000000" w:themeColor="text1"/>
                <w14:textFill>
                  <w14:solidFill>
                    <w14:schemeClr w14:val="tx1"/>
                  </w14:solidFill>
                </w14:textFill>
              </w:rPr>
              <w:t>℃</w:t>
            </w:r>
            <w:r>
              <w:rPr>
                <w:rFonts w:ascii="Times New Roman" w:hAnsi="Times New Roman"/>
                <w:color w:val="000000" w:themeColor="text1"/>
                <w:szCs w:val="24"/>
                <w14:textFill>
                  <w14:solidFill>
                    <w14:schemeClr w14:val="tx1"/>
                  </w14:solidFill>
                </w14:textFill>
              </w:rPr>
              <w:t>下使用</w:t>
            </w:r>
            <w:r>
              <w:rPr>
                <w:rFonts w:hint="eastAsia" w:ascii="Times New Roman" w:hAnsi="Times New Roman"/>
                <w:color w:val="000000" w:themeColor="text1"/>
                <w:szCs w:val="24"/>
                <w14:textFill>
                  <w14:solidFill>
                    <w14:schemeClr w14:val="tx1"/>
                  </w14:solidFill>
                </w14:textFill>
              </w:rPr>
              <w:t>清洗剂</w:t>
            </w:r>
            <w:r>
              <w:rPr>
                <w:rFonts w:ascii="Times New Roman" w:hAnsi="Times New Roman"/>
                <w:color w:val="000000" w:themeColor="text1"/>
                <w:szCs w:val="24"/>
                <w14:textFill>
                  <w14:solidFill>
                    <w14:schemeClr w14:val="tx1"/>
                  </w14:solidFill>
                </w14:textFill>
              </w:rPr>
              <w:t>进行超声波清洗</w:t>
            </w:r>
            <w:r>
              <w:rPr>
                <w:rFonts w:hint="eastAsia" w:ascii="Times New Roman" w:hAnsi="Times New Roman"/>
                <w:color w:val="000000" w:themeColor="text1"/>
                <w:szCs w:val="24"/>
                <w14:textFill>
                  <w14:solidFill>
                    <w14:schemeClr w14:val="tx1"/>
                  </w14:solidFill>
                </w14:textFill>
              </w:rPr>
              <w:t>，</w:t>
            </w:r>
            <w:r>
              <w:rPr>
                <w:rFonts w:hint="eastAsia" w:ascii="Times New Roman" w:hAnsi="Times New Roman"/>
                <w:bCs/>
                <w:color w:val="000000" w:themeColor="text1"/>
                <w14:textFill>
                  <w14:solidFill>
                    <w14:schemeClr w14:val="tx1"/>
                  </w14:solidFill>
                </w14:textFill>
              </w:rPr>
              <w:t>去除工件表面的油渍，清洗剂循环使用不外排，少数工件在2台超声波清洗机均工作的情况下，在煤油槽里使用煤油进行清洗，清洗槽槽底会产生S2-9清洗残渣，清洗过程中会产生G2-6清洗废气，清洗后的工件即成品入库待运输。</w:t>
            </w:r>
          </w:p>
          <w:p>
            <w:pPr>
              <w:adjustRightInd w:val="0"/>
              <w:spacing w:line="360" w:lineRule="auto"/>
              <w:ind w:firstLine="482" w:firstLineChars="200"/>
              <w:rPr>
                <w:bCs/>
                <w:color w:val="000000" w:themeColor="text1"/>
                <w:sz w:val="24"/>
                <w14:textFill>
                  <w14:solidFill>
                    <w14:schemeClr w14:val="tx1"/>
                  </w14:solidFill>
                </w14:textFill>
              </w:rPr>
            </w:pPr>
            <w:r>
              <w:rPr>
                <w:b/>
                <w:color w:val="000000" w:themeColor="text1"/>
                <w:sz w:val="24"/>
                <w14:textFill>
                  <w14:solidFill>
                    <w14:schemeClr w14:val="tx1"/>
                  </w14:solidFill>
                </w14:textFill>
              </w:rPr>
              <w:t>2、产污环节分析</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建设项目产污环节汇总详见下表。</w:t>
            </w:r>
          </w:p>
          <w:p>
            <w:pPr>
              <w:pStyle w:val="17"/>
              <w:adjustRightInd w:val="0"/>
              <w:snapToGrid w:val="0"/>
              <w:spacing w:before="0" w:beforeAutospacing="0" w:after="0" w:afterAutospacing="0"/>
              <w:jc w:val="center"/>
              <w:rPr>
                <w:rFonts w:ascii="Times New Roman" w:hAnsi="Times New Roman"/>
                <w:bCs/>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表2-</w:t>
            </w:r>
            <w:r>
              <w:rPr>
                <w:rFonts w:hint="eastAsia" w:ascii="Times New Roman" w:hAnsi="Times New Roman"/>
                <w:b/>
                <w:color w:val="000000" w:themeColor="text1"/>
                <w14:textFill>
                  <w14:solidFill>
                    <w14:schemeClr w14:val="tx1"/>
                  </w14:solidFill>
                </w14:textFill>
              </w:rPr>
              <w:t>6</w:t>
            </w:r>
            <w:r>
              <w:rPr>
                <w:rFonts w:ascii="Times New Roman" w:hAnsi="Times New Roman"/>
                <w:b/>
                <w:color w:val="000000" w:themeColor="text1"/>
                <w14:textFill>
                  <w14:solidFill>
                    <w14:schemeClr w14:val="tx1"/>
                  </w14:solidFill>
                </w14:textFill>
              </w:rPr>
              <w:t xml:space="preserve">  项目工艺产污环节汇总一览表</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92"/>
              <w:gridCol w:w="918"/>
              <w:gridCol w:w="1083"/>
              <w:gridCol w:w="1419"/>
              <w:gridCol w:w="30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污染源</w:t>
                  </w:r>
                </w:p>
              </w:tc>
              <w:tc>
                <w:tcPr>
                  <w:tcW w:w="601"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污染类型</w:t>
                  </w:r>
                </w:p>
              </w:tc>
              <w:tc>
                <w:tcPr>
                  <w:tcW w:w="709"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产污编号</w:t>
                  </w:r>
                </w:p>
              </w:tc>
              <w:tc>
                <w:tcPr>
                  <w:tcW w:w="929"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产污环节</w:t>
                  </w:r>
                </w:p>
              </w:tc>
              <w:tc>
                <w:tcPr>
                  <w:tcW w:w="1979"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主要污染因子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restart"/>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汽车轻量化配套铝合金零部件</w:t>
                  </w:r>
                  <w:r>
                    <w:rPr>
                      <w:rFonts w:hint="eastAsia"/>
                      <w:color w:val="000000" w:themeColor="text1"/>
                      <w:szCs w:val="21"/>
                      <w14:textFill>
                        <w14:solidFill>
                          <w14:schemeClr w14:val="tx1"/>
                        </w14:solidFill>
                      </w14:textFill>
                    </w:rPr>
                    <w:t>生产线</w:t>
                  </w:r>
                </w:p>
              </w:tc>
              <w:tc>
                <w:tcPr>
                  <w:tcW w:w="601" w:type="pct"/>
                  <w:vMerge w:val="restar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废气</w:t>
                  </w: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G1-1</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熔化、保温</w:t>
                  </w:r>
                </w:p>
              </w:tc>
              <w:tc>
                <w:tcPr>
                  <w:tcW w:w="1979" w:type="pct"/>
                  <w:vAlign w:val="center"/>
                </w:tcPr>
                <w:p>
                  <w:pPr>
                    <w:widowControl/>
                    <w:jc w:val="center"/>
                    <w:textAlignment w:val="center"/>
                    <w:rPr>
                      <w:color w:val="000000" w:themeColor="text1"/>
                      <w:szCs w:val="21"/>
                      <w14:textFill>
                        <w14:solidFill>
                          <w14:schemeClr w14:val="tx1"/>
                        </w14:solidFill>
                      </w14:textFill>
                    </w:rPr>
                  </w:pPr>
                  <w:r>
                    <w:rPr>
                      <w:color w:val="000000" w:themeColor="text1"/>
                      <w14:textFill>
                        <w14:solidFill>
                          <w14:schemeClr w14:val="tx1"/>
                        </w14:solidFill>
                      </w14:textFill>
                    </w:rPr>
                    <w:t>颗粒物、</w:t>
                  </w:r>
                  <w:r>
                    <w:rPr>
                      <w:rFonts w:hint="eastAsia"/>
                      <w:color w:val="000000" w:themeColor="text1"/>
                      <w14:textFill>
                        <w14:solidFill>
                          <w14:schemeClr w14:val="tx1"/>
                        </w14:solidFill>
                      </w14:textFill>
                    </w:rPr>
                    <w:t>SO</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NOx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G1-2</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熔化</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G1-3</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铝液净化</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G1-4</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制芯</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r>
                    <w:rPr>
                      <w:rFonts w:hint="eastAsia"/>
                      <w:color w:val="000000" w:themeColor="text1"/>
                      <w14:textFill>
                        <w14:solidFill>
                          <w14:schemeClr w14:val="tx1"/>
                        </w14:solidFill>
                      </w14:textFill>
                    </w:rPr>
                    <w:t>、非甲烷总烃、甲醛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G1-5</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浇铸</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G1-6</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打磨</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G1-7</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热处理</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水蒸气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G1-8</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抛丸</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G1-9</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清洗</w:t>
                  </w:r>
                </w:p>
              </w:tc>
              <w:tc>
                <w:tcPr>
                  <w:tcW w:w="1979" w:type="pct"/>
                  <w:vAlign w:val="center"/>
                </w:tcPr>
                <w:p>
                  <w:pPr>
                    <w:widowControl/>
                    <w:jc w:val="center"/>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restar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固废</w:t>
                  </w: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S1-1</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铝液净化</w:t>
                  </w:r>
                </w:p>
              </w:tc>
              <w:tc>
                <w:tcPr>
                  <w:tcW w:w="1979" w:type="pct"/>
                  <w:vAlign w:val="center"/>
                </w:tcPr>
                <w:p>
                  <w:pPr>
                    <w:widowControl/>
                    <w:jc w:val="center"/>
                    <w:textAlignment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铝渣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S1-2</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除砂芯</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废砂芯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S1-3</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切割浇冒口</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废边角料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S1-4</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切割浇冒口</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废切削液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S1-5</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抛丸</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废钢丸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S1-6</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机械加工</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废切削液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S1-7</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机械加工</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废导轨油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S1-8</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机械加工</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废边角料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S1-9</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清洗</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清洗残渣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709" w:type="pct"/>
                  <w:vAlign w:val="center"/>
                </w:tcPr>
                <w:p>
                  <w:pPr>
                    <w:jc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N</w:t>
                  </w:r>
                </w:p>
              </w:tc>
              <w:tc>
                <w:tcPr>
                  <w:tcW w:w="2908" w:type="pct"/>
                  <w:gridSpan w:val="2"/>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切割浇冒口、打磨、抛丸、机械加工等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高端装备国际配套零部件</w:t>
                  </w:r>
                  <w:r>
                    <w:rPr>
                      <w:rFonts w:hint="eastAsia"/>
                      <w:color w:val="000000" w:themeColor="text1"/>
                      <w:szCs w:val="21"/>
                      <w14:textFill>
                        <w14:solidFill>
                          <w14:schemeClr w14:val="tx1"/>
                        </w14:solidFill>
                      </w14:textFill>
                    </w:rPr>
                    <w:t>生产线</w:t>
                  </w:r>
                </w:p>
              </w:tc>
              <w:tc>
                <w:tcPr>
                  <w:tcW w:w="601" w:type="pct"/>
                  <w:vMerge w:val="restart"/>
                  <w:vAlign w:val="center"/>
                </w:tcPr>
                <w:p>
                  <w:pPr>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废气</w:t>
                  </w: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G2-1</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加热</w:t>
                  </w:r>
                </w:p>
              </w:tc>
              <w:tc>
                <w:tcPr>
                  <w:tcW w:w="1979" w:type="pct"/>
                  <w:vAlign w:val="center"/>
                </w:tcPr>
                <w:p>
                  <w:pPr>
                    <w:widowControl/>
                    <w:jc w:val="center"/>
                    <w:textAlignment w:val="center"/>
                    <w:rPr>
                      <w:color w:val="000000" w:themeColor="text1"/>
                      <w:szCs w:val="21"/>
                      <w14:textFill>
                        <w14:solidFill>
                          <w14:schemeClr w14:val="tx1"/>
                        </w14:solidFill>
                      </w14:textFill>
                    </w:rPr>
                  </w:pPr>
                  <w:r>
                    <w:rPr>
                      <w:color w:val="000000" w:themeColor="text1"/>
                      <w14:textFill>
                        <w14:solidFill>
                          <w14:schemeClr w14:val="tx1"/>
                        </w14:solidFill>
                      </w14:textFill>
                    </w:rPr>
                    <w:t>颗粒物、</w:t>
                  </w:r>
                  <w:r>
                    <w:rPr>
                      <w:rFonts w:hint="eastAsia"/>
                      <w:color w:val="000000" w:themeColor="text1"/>
                      <w14:textFill>
                        <w14:solidFill>
                          <w14:schemeClr w14:val="tx1"/>
                        </w14:solidFill>
                      </w14:textFill>
                    </w:rPr>
                    <w:t>SO</w:t>
                  </w:r>
                  <w:r>
                    <w:rPr>
                      <w:rFonts w:hint="eastAsia"/>
                      <w:color w:val="000000" w:themeColor="text1"/>
                      <w:vertAlign w:val="subscript"/>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NOx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G2-2</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喷脱模剂</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水蒸气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G2-3</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热处理</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水蒸气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G2-4</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热处理</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G2-5</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抛丸</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G2-6</w:t>
                  </w:r>
                </w:p>
              </w:tc>
              <w:tc>
                <w:tcPr>
                  <w:tcW w:w="92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清洗</w:t>
                  </w:r>
                </w:p>
              </w:tc>
              <w:tc>
                <w:tcPr>
                  <w:tcW w:w="1979"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固废</w:t>
                  </w: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S2-1</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下料切割</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S2-2</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下料切割</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S2-3</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抛丸</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S2-4</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机械加工</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S2-5</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机械加工</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废导轨油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S2-6</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机械加工</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S2-7</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噪声</w:t>
                  </w: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N</w:t>
                  </w:r>
                </w:p>
              </w:tc>
              <w:tc>
                <w:tcPr>
                  <w:tcW w:w="2908" w:type="pct"/>
                  <w:gridSpan w:val="2"/>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下料切割、锻压、冲孔、抛丸、机械加工等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601" w:type="pct"/>
                  <w:vAlign w:val="center"/>
                </w:tcPr>
                <w:p>
                  <w:pPr>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废水</w:t>
                  </w:r>
                </w:p>
              </w:tc>
              <w:tc>
                <w:tcPr>
                  <w:tcW w:w="1638" w:type="pct"/>
                  <w:gridSpan w:val="2"/>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1979" w:type="pct"/>
                  <w:vAlign w:val="center"/>
                </w:tcPr>
                <w:p>
                  <w:pPr>
                    <w:widowControl/>
                    <w:jc w:val="center"/>
                    <w:textAlignment w:val="center"/>
                    <w:rPr>
                      <w:color w:val="000000" w:themeColor="text1"/>
                      <w:szCs w:val="21"/>
                      <w14:textFill>
                        <w14:solidFill>
                          <w14:schemeClr w14:val="tx1"/>
                        </w14:solidFill>
                      </w14:textFill>
                    </w:rPr>
                  </w:pPr>
                  <w:r>
                    <w:rPr>
                      <w:color w:val="000000" w:themeColor="text1"/>
                      <w14:textFill>
                        <w14:solidFill>
                          <w14:schemeClr w14:val="tx1"/>
                        </w14:solidFill>
                      </w14:textFill>
                    </w:rPr>
                    <w:t>COD、SS、NH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-N、TP、TN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restart"/>
                  <w:vAlign w:val="center"/>
                </w:tcPr>
                <w:p>
                  <w:pPr>
                    <w:jc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固废</w:t>
                  </w: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废气设备</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废气设备</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rFonts w:hint="eastAsia"/>
                      <w:color w:val="000000" w:themeColor="text1"/>
                      <w:kern w:val="0"/>
                      <w:szCs w:val="21"/>
                      <w:lang w:bidi="ar"/>
                      <w14:textFill>
                        <w14:solidFill>
                          <w14:schemeClr w14:val="tx1"/>
                        </w14:solidFill>
                      </w14:textFill>
                    </w:rPr>
                  </w:pPr>
                </w:p>
              </w:tc>
              <w:tc>
                <w:tcPr>
                  <w:tcW w:w="929" w:type="pct"/>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ascii="Times New Roman" w:hAnsi="Times New Roman"/>
                      <w:kern w:val="0"/>
                      <w:szCs w:val="21"/>
                      <w:lang w:val="en-US" w:eastAsia="zh-CN" w:bidi="ar"/>
                    </w:rPr>
                    <w:t>布袋除尘收尘</w:t>
                  </w:r>
                </w:p>
              </w:tc>
              <w:tc>
                <w:tcPr>
                  <w:tcW w:w="1979" w:type="pct"/>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ascii="Times New Roman" w:hAnsi="Times New Roman"/>
                      <w:kern w:val="0"/>
                      <w:szCs w:val="21"/>
                      <w:lang w:val="en-US" w:eastAsia="zh-CN" w:bidi="ar"/>
                    </w:rPr>
                    <w:t>铝灰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废气设备</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喷淋残液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jc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检维修</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废液压油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jc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检维修</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废抹布、手套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80" w:type="pct"/>
                  <w:vMerge w:val="continue"/>
                  <w:vAlign w:val="center"/>
                </w:tcPr>
                <w:p>
                  <w:pPr>
                    <w:jc w:val="center"/>
                    <w:rPr>
                      <w:color w:val="000000" w:themeColor="text1"/>
                      <w:szCs w:val="21"/>
                      <w14:textFill>
                        <w14:solidFill>
                          <w14:schemeClr w14:val="tx1"/>
                        </w14:solidFill>
                      </w14:textFill>
                    </w:rPr>
                  </w:pPr>
                </w:p>
              </w:tc>
              <w:tc>
                <w:tcPr>
                  <w:tcW w:w="601" w:type="pct"/>
                  <w:vMerge w:val="continue"/>
                  <w:vAlign w:val="center"/>
                </w:tcPr>
                <w:p>
                  <w:pPr>
                    <w:jc w:val="center"/>
                    <w:rPr>
                      <w:color w:val="000000" w:themeColor="text1"/>
                      <w:szCs w:val="21"/>
                      <w14:textFill>
                        <w14:solidFill>
                          <w14:schemeClr w14:val="tx1"/>
                        </w14:solidFill>
                      </w14:textFill>
                    </w:rPr>
                  </w:pPr>
                </w:p>
              </w:tc>
              <w:tc>
                <w:tcPr>
                  <w:tcW w:w="709" w:type="pct"/>
                  <w:vAlign w:val="center"/>
                </w:tcPr>
                <w:p>
                  <w:pPr>
                    <w:jc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92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职工生活</w:t>
                  </w:r>
                </w:p>
              </w:tc>
              <w:tc>
                <w:tcPr>
                  <w:tcW w:w="1979"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生活垃圾</w:t>
                  </w:r>
                </w:p>
              </w:tc>
            </w:tr>
          </w:tbl>
          <w:p>
            <w:pPr>
              <w:spacing w:line="360" w:lineRule="auto"/>
              <w:ind w:firstLine="420" w:firstLineChars="20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0" w:hRule="atLeast"/>
        </w:trPr>
        <w:tc>
          <w:tcPr>
            <w:tcW w:w="391" w:type="pct"/>
            <w:vAlign w:val="center"/>
          </w:tcPr>
          <w:p>
            <w:pPr>
              <w:pStyle w:val="17"/>
              <w:adjustRightIn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bCs/>
                <w:color w:val="000000" w:themeColor="text1"/>
                <w:kern w:val="2"/>
                <w:szCs w:val="24"/>
                <w14:textFill>
                  <w14:solidFill>
                    <w14:schemeClr w14:val="tx1"/>
                  </w14:solidFill>
                </w14:textFill>
              </w:rPr>
              <w:t>与项目有关的原有环境污染问题</w:t>
            </w:r>
          </w:p>
        </w:tc>
        <w:tc>
          <w:tcPr>
            <w:tcW w:w="4608" w:type="pct"/>
          </w:tcPr>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r>
              <w:rPr>
                <w:rFonts w:hint="eastAsia" w:ascii="Times New Roman" w:hAnsi="Times New Roman"/>
                <w:color w:val="000000" w:themeColor="text1"/>
                <w:szCs w:val="24"/>
                <w:lang w:bidi="ar"/>
                <w14:textFill>
                  <w14:solidFill>
                    <w14:schemeClr w14:val="tx1"/>
                  </w14:solidFill>
                </w14:textFill>
              </w:rPr>
              <w:t>本项目整租</w:t>
            </w:r>
            <w:r>
              <w:rPr>
                <w:rFonts w:ascii="Times New Roman" w:hAnsi="Times New Roman"/>
                <w:color w:val="000000" w:themeColor="text1"/>
                <w:szCs w:val="24"/>
                <w:lang w:bidi="ar"/>
                <w14:textFill>
                  <w14:solidFill>
                    <w14:schemeClr w14:val="tx1"/>
                  </w14:solidFill>
                </w14:textFill>
              </w:rPr>
              <w:t>泰州豹变智控科技有限公司</w:t>
            </w:r>
            <w:r>
              <w:rPr>
                <w:rFonts w:hint="eastAsia" w:ascii="Times New Roman" w:hAnsi="Times New Roman"/>
                <w:color w:val="000000" w:themeColor="text1"/>
                <w:szCs w:val="24"/>
                <w:lang w:bidi="ar"/>
                <w14:textFill>
                  <w14:solidFill>
                    <w14:schemeClr w14:val="tx1"/>
                  </w14:solidFill>
                </w14:textFill>
              </w:rPr>
              <w:t>全新</w:t>
            </w:r>
            <w:r>
              <w:rPr>
                <w:rFonts w:ascii="Times New Roman" w:hAnsi="Times New Roman"/>
                <w:color w:val="000000" w:themeColor="text1"/>
                <w:szCs w:val="24"/>
                <w:lang w:bidi="ar"/>
                <w14:textFill>
                  <w14:solidFill>
                    <w14:schemeClr w14:val="tx1"/>
                  </w14:solidFill>
                </w14:textFill>
              </w:rPr>
              <w:t>厂房</w:t>
            </w:r>
            <w:r>
              <w:rPr>
                <w:rFonts w:hint="eastAsia" w:ascii="Times New Roman" w:hAnsi="Times New Roman"/>
                <w:color w:val="000000" w:themeColor="text1"/>
                <w:szCs w:val="24"/>
                <w:lang w:bidi="ar"/>
                <w14:textFill>
                  <w14:solidFill>
                    <w14:schemeClr w14:val="tx1"/>
                  </w14:solidFill>
                </w14:textFill>
              </w:rPr>
              <w:t>，该厂房目前闲置，自建成后无建设项目投产，故</w:t>
            </w:r>
            <w:r>
              <w:rPr>
                <w:rFonts w:ascii="Times New Roman" w:hAnsi="Times New Roman"/>
                <w:color w:val="000000" w:themeColor="text1"/>
                <w:szCs w:val="24"/>
                <w:lang w:bidi="ar"/>
                <w14:textFill>
                  <w14:solidFill>
                    <w14:schemeClr w14:val="tx1"/>
                  </w14:solidFill>
                </w14:textFill>
              </w:rPr>
              <w:t>无原有环境问题</w:t>
            </w:r>
            <w:r>
              <w:rPr>
                <w:rFonts w:hint="eastAsia" w:ascii="Times New Roman" w:hAnsi="Times New Roman"/>
                <w:color w:val="000000" w:themeColor="text1"/>
                <w:szCs w:val="24"/>
                <w:lang w:bidi="ar"/>
                <w14:textFill>
                  <w14:solidFill>
                    <w14:schemeClr w14:val="tx1"/>
                  </w14:solidFill>
                </w14:textFill>
              </w:rPr>
              <w:t>，后续租赁期间厂房环境责任主体为泰州英格伟精密机械有限公司。</w:t>
            </w: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p>
            <w:pPr>
              <w:pStyle w:val="17"/>
              <w:adjustRightInd w:val="0"/>
              <w:snapToGrid w:val="0"/>
              <w:spacing w:before="0" w:beforeAutospacing="0" w:after="0" w:afterAutospacing="0" w:line="360" w:lineRule="auto"/>
              <w:ind w:firstLine="480" w:firstLineChars="200"/>
              <w:rPr>
                <w:rFonts w:ascii="Times New Roman" w:hAnsi="Times New Roman"/>
                <w:color w:val="000000" w:themeColor="text1"/>
                <w:szCs w:val="24"/>
                <w:lang w:bidi="ar"/>
                <w14:textFill>
                  <w14:solidFill>
                    <w14:schemeClr w14:val="tx1"/>
                  </w14:solidFill>
                </w14:textFill>
              </w:rPr>
            </w:pPr>
          </w:p>
        </w:tc>
      </w:tr>
    </w:tbl>
    <w:p>
      <w:pPr>
        <w:rPr>
          <w:snapToGrid w:val="0"/>
          <w:color w:val="000000" w:themeColor="text1"/>
          <w:sz w:val="30"/>
          <w:szCs w:val="30"/>
          <w14:textFill>
            <w14:solidFill>
              <w14:schemeClr w14:val="tx1"/>
            </w14:solidFill>
          </w14:textFill>
        </w:rPr>
      </w:pPr>
      <w:r>
        <w:rPr>
          <w:snapToGrid w:val="0"/>
          <w:color w:val="000000" w:themeColor="text1"/>
          <w:sz w:val="30"/>
          <w:szCs w:val="30"/>
          <w14:textFill>
            <w14:solidFill>
              <w14:schemeClr w14:val="tx1"/>
            </w14:solidFill>
          </w14:textFill>
        </w:rPr>
        <w:br w:type="page"/>
      </w:r>
    </w:p>
    <w:p>
      <w:pPr>
        <w:pStyle w:val="17"/>
        <w:jc w:val="center"/>
        <w:outlineLvl w:val="0"/>
        <w:rPr>
          <w:rFonts w:ascii="Times New Roman" w:hAnsi="Times New Roman"/>
          <w:snapToGrid w:val="0"/>
          <w:color w:val="000000" w:themeColor="text1"/>
          <w:sz w:val="30"/>
          <w:szCs w:val="30"/>
          <w14:textFill>
            <w14:solidFill>
              <w14:schemeClr w14:val="tx1"/>
            </w14:solidFill>
          </w14:textFill>
        </w:rPr>
      </w:pPr>
      <w:r>
        <w:rPr>
          <w:rFonts w:ascii="Times New Roman" w:hAnsi="Times New Roman"/>
          <w:snapToGrid w:val="0"/>
          <w:color w:val="000000" w:themeColor="text1"/>
          <w:sz w:val="30"/>
          <w:szCs w:val="30"/>
          <w14:textFill>
            <w14:solidFill>
              <w14:schemeClr w14:val="tx1"/>
            </w14:solidFill>
          </w14:textFill>
        </w:rPr>
        <w:t>三、区域环境质量现状、环境保护目标及评价标准</w:t>
      </w:r>
    </w:p>
    <w:tbl>
      <w:tblPr>
        <w:tblStyle w:val="19"/>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1"/>
        <w:gridCol w:w="7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2" w:hRule="atLeast"/>
          <w:jc w:val="center"/>
        </w:trPr>
        <w:tc>
          <w:tcPr>
            <w:tcW w:w="388" w:type="pct"/>
            <w:vAlign w:val="center"/>
          </w:tcPr>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区域</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质量</w:t>
            </w:r>
          </w:p>
          <w:p>
            <w:pPr>
              <w:adjustRightInd w:val="0"/>
              <w:spacing w:line="360" w:lineRule="auto"/>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现状</w:t>
            </w:r>
          </w:p>
        </w:tc>
        <w:tc>
          <w:tcPr>
            <w:tcW w:w="4611" w:type="pct"/>
            <w:vAlign w:val="center"/>
          </w:tcPr>
          <w:p>
            <w:pPr>
              <w:pStyle w:val="15"/>
              <w:wordWrap w:val="0"/>
              <w:topLinePunct/>
              <w:adjustRightInd w:val="0"/>
              <w:snapToGrid w:val="0"/>
              <w:spacing w:before="0" w:line="360" w:lineRule="auto"/>
              <w:ind w:firstLineChars="200"/>
              <w:jc w:val="both"/>
              <w:rPr>
                <w:rFonts w:ascii="Times New Roman" w:hAnsi="Times New Roman" w:eastAsia="宋体"/>
                <w:b/>
                <w:bCs/>
                <w:color w:val="000000" w:themeColor="text1"/>
                <w:sz w:val="24"/>
                <w:szCs w:val="24"/>
                <w14:textFill>
                  <w14:solidFill>
                    <w14:schemeClr w14:val="tx1"/>
                  </w14:solidFill>
                </w14:textFill>
              </w:rPr>
            </w:pPr>
            <w:r>
              <w:rPr>
                <w:rFonts w:ascii="Times New Roman" w:hAnsi="Times New Roman" w:eastAsia="宋体"/>
                <w:b/>
                <w:bCs/>
                <w:color w:val="000000" w:themeColor="text1"/>
                <w:sz w:val="24"/>
                <w:szCs w:val="24"/>
                <w14:textFill>
                  <w14:solidFill>
                    <w14:schemeClr w14:val="tx1"/>
                  </w14:solidFill>
                </w14:textFill>
              </w:rPr>
              <w:t>一、区域环境质量现状</w:t>
            </w:r>
          </w:p>
          <w:p>
            <w:pPr>
              <w:pStyle w:val="15"/>
              <w:wordWrap w:val="0"/>
              <w:topLinePunct/>
              <w:adjustRightInd w:val="0"/>
              <w:snapToGrid w:val="0"/>
              <w:spacing w:before="0" w:line="360" w:lineRule="auto"/>
              <w:ind w:firstLineChars="200"/>
              <w:jc w:val="both"/>
              <w:rPr>
                <w:rFonts w:ascii="Times New Roman" w:hAnsi="Times New Roman" w:eastAsia="宋体"/>
                <w:b/>
                <w:bCs/>
                <w:color w:val="000000" w:themeColor="text1"/>
                <w:sz w:val="24"/>
                <w:szCs w:val="24"/>
                <w14:textFill>
                  <w14:solidFill>
                    <w14:schemeClr w14:val="tx1"/>
                  </w14:solidFill>
                </w14:textFill>
              </w:rPr>
            </w:pPr>
            <w:r>
              <w:rPr>
                <w:rFonts w:ascii="Times New Roman" w:hAnsi="Times New Roman" w:eastAsia="宋体"/>
                <w:b/>
                <w:bCs/>
                <w:color w:val="000000" w:themeColor="text1"/>
                <w:sz w:val="24"/>
                <w:szCs w:val="24"/>
                <w14:textFill>
                  <w14:solidFill>
                    <w14:schemeClr w14:val="tx1"/>
                  </w14:solidFill>
                </w14:textFill>
              </w:rPr>
              <w:t>1、大气环境质量现状</w:t>
            </w:r>
          </w:p>
          <w:p>
            <w:pPr>
              <w:pStyle w:val="15"/>
              <w:wordWrap w:val="0"/>
              <w:topLinePunct/>
              <w:adjustRightInd w:val="0"/>
              <w:snapToGrid w:val="0"/>
              <w:spacing w:before="0" w:line="360" w:lineRule="auto"/>
              <w:ind w:firstLine="480" w:firstLineChars="200"/>
              <w:jc w:val="both"/>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（1）空气质量达标区判定</w:t>
            </w:r>
          </w:p>
          <w:p>
            <w:pPr>
              <w:wordWrap w:val="0"/>
              <w:topLinePunct/>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根据《2022年泰州市环境状况公报》：全市空气环境质量持续改善，优良天数为290天，优良率为79.5%，PM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平均浓度为32μg/m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，同比持平。其中：国控点（国家考核点位）优良天数为295天，优良率为80.8%，PM</w:t>
            </w:r>
            <w:r>
              <w:rPr>
                <w:color w:val="000000" w:themeColor="text1"/>
                <w:sz w:val="24"/>
                <w:vertAlign w:val="subscript"/>
                <w14:textFill>
                  <w14:solidFill>
                    <w14:schemeClr w14:val="tx1"/>
                  </w14:solidFill>
                </w14:textFill>
              </w:rPr>
              <w:t>2.5</w:t>
            </w:r>
            <w:r>
              <w:rPr>
                <w:color w:val="000000" w:themeColor="text1"/>
                <w:sz w:val="24"/>
                <w14:textFill>
                  <w14:solidFill>
                    <w14:schemeClr w14:val="tx1"/>
                  </w14:solidFill>
                </w14:textFill>
              </w:rPr>
              <w:t>平均浓度为32μg/m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，同比下降3.0%。</w:t>
            </w:r>
          </w:p>
          <w:p>
            <w:pPr>
              <w:wordWrap w:val="0"/>
              <w:topLinePunct/>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因此，项目所在区域为环境空气质量为不达标区。</w:t>
            </w:r>
          </w:p>
          <w:p>
            <w:pPr>
              <w:pStyle w:val="15"/>
              <w:wordWrap w:val="0"/>
              <w:topLinePunct/>
              <w:adjustRightInd w:val="0"/>
              <w:snapToGrid w:val="0"/>
              <w:spacing w:before="0" w:line="360" w:lineRule="auto"/>
              <w:ind w:firstLine="480" w:firstLineChars="200"/>
              <w:jc w:val="both"/>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（2）基本污染物环境质量现状评价</w:t>
            </w:r>
          </w:p>
          <w:p>
            <w:pPr>
              <w:wordWrap w:val="0"/>
              <w:topLinePunct/>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根据《环境影响评价技术导则 大气环境》（HJ2.2-2018），采用评价范围内国家或地方环境空气质量监测网中评价基准年连续1年的监测数据，或采用生态环境主管部门公开发布的环境空气质量现状数据。</w:t>
            </w:r>
          </w:p>
          <w:p>
            <w:pPr>
              <w:wordWrap w:val="0"/>
              <w:topLinePunct/>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项目区域</w:t>
            </w:r>
            <w:r>
              <w:rPr>
                <w:rFonts w:hint="eastAsia"/>
                <w:color w:val="000000" w:themeColor="text1"/>
                <w:sz w:val="24"/>
                <w14:textFill>
                  <w14:solidFill>
                    <w14:schemeClr w14:val="tx1"/>
                  </w14:solidFill>
                </w14:textFill>
              </w:rPr>
              <w:t>2022年</w:t>
            </w:r>
            <w:r>
              <w:rPr>
                <w:color w:val="000000" w:themeColor="text1"/>
                <w:sz w:val="24"/>
                <w14:textFill>
                  <w14:solidFill>
                    <w14:schemeClr w14:val="tx1"/>
                  </w14:solidFill>
                </w14:textFill>
              </w:rPr>
              <w:t>各评价因子现状如下表所示。</w:t>
            </w:r>
          </w:p>
          <w:p>
            <w:pPr>
              <w:autoSpaceDE w:val="0"/>
              <w:autoSpaceDN w:val="0"/>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表3-1  基本污染物环境质量现状</w:t>
            </w:r>
          </w:p>
          <w:tbl>
            <w:tblPr>
              <w:tblStyle w:val="1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198"/>
              <w:gridCol w:w="1341"/>
              <w:gridCol w:w="1211"/>
              <w:gridCol w:w="958"/>
              <w:gridCol w:w="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污染物</w:t>
                  </w:r>
                </w:p>
              </w:tc>
              <w:tc>
                <w:tcPr>
                  <w:tcW w:w="1438"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年评价指标</w:t>
                  </w:r>
                </w:p>
              </w:tc>
              <w:tc>
                <w:tcPr>
                  <w:tcW w:w="877"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现状浓度(</w:t>
                  </w:r>
                  <w:r>
                    <w:rPr>
                      <w:b/>
                      <w:bCs/>
                      <w:color w:val="000000" w:themeColor="text1"/>
                      <w:szCs w:val="21"/>
                      <w14:textFill>
                        <w14:solidFill>
                          <w14:schemeClr w14:val="tx1"/>
                        </w14:solidFill>
                      </w14:textFill>
                    </w:rPr>
                    <w:t>μg/m</w:t>
                  </w:r>
                  <w:r>
                    <w:rPr>
                      <w:b/>
                      <w:bCs/>
                      <w:color w:val="000000" w:themeColor="text1"/>
                      <w:szCs w:val="21"/>
                      <w:vertAlign w:val="superscript"/>
                      <w14:textFill>
                        <w14:solidFill>
                          <w14:schemeClr w14:val="tx1"/>
                        </w14:solidFill>
                      </w14:textFill>
                    </w:rPr>
                    <w:t>3</w:t>
                  </w:r>
                  <w:r>
                    <w:rPr>
                      <w:b/>
                      <w:bCs/>
                      <w:color w:val="000000" w:themeColor="text1"/>
                      <w:kern w:val="0"/>
                      <w:szCs w:val="21"/>
                      <w14:textFill>
                        <w14:solidFill>
                          <w14:schemeClr w14:val="tx1"/>
                        </w14:solidFill>
                      </w14:textFill>
                    </w:rPr>
                    <w:t>)</w:t>
                  </w:r>
                </w:p>
              </w:tc>
              <w:tc>
                <w:tcPr>
                  <w:tcW w:w="793"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标准值(</w:t>
                  </w:r>
                  <w:r>
                    <w:rPr>
                      <w:b/>
                      <w:bCs/>
                      <w:color w:val="000000" w:themeColor="text1"/>
                      <w:szCs w:val="21"/>
                      <w14:textFill>
                        <w14:solidFill>
                          <w14:schemeClr w14:val="tx1"/>
                        </w14:solidFill>
                      </w14:textFill>
                    </w:rPr>
                    <w:t>μg/m</w:t>
                  </w:r>
                  <w:r>
                    <w:rPr>
                      <w:b/>
                      <w:bCs/>
                      <w:color w:val="000000" w:themeColor="text1"/>
                      <w:szCs w:val="21"/>
                      <w:vertAlign w:val="superscript"/>
                      <w14:textFill>
                        <w14:solidFill>
                          <w14:schemeClr w14:val="tx1"/>
                        </w14:solidFill>
                      </w14:textFill>
                    </w:rPr>
                    <w:t>3</w:t>
                  </w:r>
                  <w:r>
                    <w:rPr>
                      <w:b/>
                      <w:bCs/>
                      <w:color w:val="000000" w:themeColor="text1"/>
                      <w:kern w:val="0"/>
                      <w:szCs w:val="21"/>
                      <w14:textFill>
                        <w14:solidFill>
                          <w14:schemeClr w14:val="tx1"/>
                        </w14:solidFill>
                      </w14:textFill>
                    </w:rPr>
                    <w:t>)</w:t>
                  </w:r>
                </w:p>
              </w:tc>
              <w:tc>
                <w:tcPr>
                  <w:tcW w:w="627"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占标率(%)</w:t>
                  </w:r>
                </w:p>
              </w:tc>
              <w:tc>
                <w:tcPr>
                  <w:tcW w:w="641" w:type="pct"/>
                  <w:vAlign w:val="center"/>
                </w:tcPr>
                <w:p>
                  <w:pPr>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SO</w:t>
                  </w:r>
                  <w:r>
                    <w:rPr>
                      <w:color w:val="000000" w:themeColor="text1"/>
                      <w:kern w:val="0"/>
                      <w:szCs w:val="21"/>
                      <w:vertAlign w:val="subscript"/>
                      <w14:textFill>
                        <w14:solidFill>
                          <w14:schemeClr w14:val="tx1"/>
                        </w14:solidFill>
                      </w14:textFill>
                    </w:rPr>
                    <w:t>2</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年平均质量浓度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60</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11.7</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NO</w:t>
                  </w:r>
                  <w:r>
                    <w:rPr>
                      <w:color w:val="000000" w:themeColor="text1"/>
                      <w:kern w:val="0"/>
                      <w:szCs w:val="21"/>
                      <w:vertAlign w:val="subscript"/>
                      <w14:textFill>
                        <w14:solidFill>
                          <w14:schemeClr w14:val="tx1"/>
                        </w14:solidFill>
                      </w14:textFill>
                    </w:rPr>
                    <w:t>2</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年平均质量浓度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21</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52.5</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PM</w:t>
                  </w:r>
                  <w:r>
                    <w:rPr>
                      <w:color w:val="000000" w:themeColor="text1"/>
                      <w:kern w:val="0"/>
                      <w:szCs w:val="21"/>
                      <w:vertAlign w:val="subscript"/>
                      <w14:textFill>
                        <w14:solidFill>
                          <w14:schemeClr w14:val="tx1"/>
                        </w14:solidFill>
                      </w14:textFill>
                    </w:rPr>
                    <w:t>10</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年平均质量浓度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0</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70</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71.4</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PM</w:t>
                  </w:r>
                  <w:r>
                    <w:rPr>
                      <w:color w:val="000000" w:themeColor="text1"/>
                      <w:kern w:val="0"/>
                      <w:szCs w:val="21"/>
                      <w:vertAlign w:val="subscript"/>
                      <w14:textFill>
                        <w14:solidFill>
                          <w14:schemeClr w14:val="tx1"/>
                        </w14:solidFill>
                      </w14:textFill>
                    </w:rPr>
                    <w:t>2.5</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年平均质量浓度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33</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35</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94.3</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CO</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第95百分位数日平均质量浓度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100</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4000</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27.5</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O</w:t>
                  </w:r>
                  <w:r>
                    <w:rPr>
                      <w:color w:val="000000" w:themeColor="text1"/>
                      <w:kern w:val="0"/>
                      <w:szCs w:val="21"/>
                      <w:vertAlign w:val="subscript"/>
                      <w14:textFill>
                        <w14:solidFill>
                          <w14:schemeClr w14:val="tx1"/>
                        </w14:solidFill>
                      </w14:textFill>
                    </w:rPr>
                    <w:t>3</w:t>
                  </w:r>
                </w:p>
              </w:tc>
              <w:tc>
                <w:tcPr>
                  <w:tcW w:w="1438"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第90百分位数浓度</w:t>
                  </w:r>
                </w:p>
              </w:tc>
              <w:tc>
                <w:tcPr>
                  <w:tcW w:w="877"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172</w:t>
                  </w:r>
                </w:p>
              </w:tc>
              <w:tc>
                <w:tcPr>
                  <w:tcW w:w="793"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160</w:t>
                  </w:r>
                </w:p>
              </w:tc>
              <w:tc>
                <w:tcPr>
                  <w:tcW w:w="627"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107.5</w:t>
                  </w:r>
                </w:p>
              </w:tc>
              <w:tc>
                <w:tcPr>
                  <w:tcW w:w="641" w:type="pct"/>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不达标</w:t>
                  </w:r>
                </w:p>
              </w:tc>
            </w:tr>
          </w:tbl>
          <w:p>
            <w:pPr>
              <w:pStyle w:val="15"/>
              <w:wordWrap w:val="0"/>
              <w:topLinePunct/>
              <w:adjustRightInd w:val="0"/>
              <w:snapToGrid w:val="0"/>
              <w:spacing w:before="0" w:line="360" w:lineRule="auto"/>
              <w:ind w:firstLine="480" w:firstLineChars="200"/>
              <w:jc w:val="both"/>
              <w:rPr>
                <w:rFonts w:ascii="Times New Roman" w:hAnsi="Times New Roman" w:eastAsia="宋体"/>
                <w:color w:val="000000" w:themeColor="text1"/>
                <w:sz w:val="24"/>
                <w:szCs w:val="24"/>
                <w14:textFill>
                  <w14:solidFill>
                    <w14:schemeClr w14:val="tx1"/>
                  </w14:solidFill>
                </w14:textFill>
              </w:rPr>
            </w:pPr>
            <w:r>
              <w:rPr>
                <w:rFonts w:ascii="Times New Roman" w:hAnsi="Times New Roman" w:eastAsia="宋体"/>
                <w:color w:val="000000" w:themeColor="text1"/>
                <w:sz w:val="24"/>
                <w:szCs w:val="24"/>
                <w14:textFill>
                  <w14:solidFill>
                    <w14:schemeClr w14:val="tx1"/>
                  </w14:solidFill>
                </w14:textFill>
              </w:rPr>
              <w:t>综上所述，2022年泰州市环境空气质量主要污染物年评价指标中除臭氧外，其余主要污染物均能满足《环境空气质量标准》（GB4145-2012）二级标准限值要求。</w:t>
            </w:r>
          </w:p>
          <w:p>
            <w:pPr>
              <w:pStyle w:val="26"/>
              <w:shd w:val="clear" w:color="auto" w:fill="auto"/>
              <w:wordWrap w:val="0"/>
              <w:topLinePunct/>
              <w:autoSpaceDE/>
              <w:autoSpaceDN/>
              <w:adjustRightInd/>
              <w:spacing w:line="360" w:lineRule="auto"/>
              <w:ind w:firstLine="480" w:firstLineChars="200"/>
              <w:contextualSpacing/>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14:textFill>
                  <w14:solidFill>
                    <w14:schemeClr w14:val="tx1"/>
                  </w14:solidFill>
                </w14:textFill>
              </w:rPr>
              <w:t>目前泰州市正在编制大气环境达标规划，其达标规划目标为“PM</w:t>
            </w:r>
            <w:r>
              <w:rPr>
                <w:rFonts w:ascii="Times New Roman" w:hAnsi="Times New Roman" w:cs="Times New Roman"/>
                <w:color w:val="000000" w:themeColor="text1"/>
                <w:vertAlign w:val="subscript"/>
                <w14:textFill>
                  <w14:solidFill>
                    <w14:schemeClr w14:val="tx1"/>
                  </w14:solidFill>
                </w14:textFill>
              </w:rPr>
              <w:t>2.5</w:t>
            </w:r>
            <w:r>
              <w:rPr>
                <w:rFonts w:ascii="Times New Roman" w:hAnsi="Times New Roman" w:cs="Times New Roman"/>
                <w:color w:val="000000" w:themeColor="text1"/>
                <w14:textFill>
                  <w14:solidFill>
                    <w14:schemeClr w14:val="tx1"/>
                  </w14:solidFill>
                </w14:textFill>
              </w:rPr>
              <w:t>浓度以2018年监测数据为基础，通过规划的实施，分近、远期逐步削减大气污染物排放量，以细颗粒物年均浓度达标为核心，全面改善环境空气质量，2025年实现全市环境空气质量达标。到2025年，环境空气质量六项指标（PM</w:t>
            </w:r>
            <w:r>
              <w:rPr>
                <w:rFonts w:ascii="Times New Roman" w:hAnsi="Times New Roman" w:cs="Times New Roman"/>
                <w:color w:val="000000" w:themeColor="text1"/>
                <w:vertAlign w:val="subscript"/>
                <w14:textFill>
                  <w14:solidFill>
                    <w14:schemeClr w14:val="tx1"/>
                  </w14:solidFill>
                </w14:textFill>
              </w:rPr>
              <w:t>2.5</w:t>
            </w:r>
            <w:r>
              <w:rPr>
                <w:rFonts w:ascii="Times New Roman" w:hAnsi="Times New Roman" w:cs="Times New Roman"/>
                <w:color w:val="000000" w:themeColor="text1"/>
                <w14:textFill>
                  <w14:solidFill>
                    <w14:schemeClr w14:val="tx1"/>
                  </w14:solidFill>
                </w14:textFill>
              </w:rPr>
              <w:t>、PM</w:t>
            </w:r>
            <w:r>
              <w:rPr>
                <w:rFonts w:ascii="Times New Roman" w:hAnsi="Times New Roman" w:cs="Times New Roman"/>
                <w:color w:val="000000" w:themeColor="text1"/>
                <w:vertAlign w:val="subscript"/>
                <w14:textFill>
                  <w14:solidFill>
                    <w14:schemeClr w14:val="tx1"/>
                  </w14:solidFill>
                </w14:textFill>
              </w:rPr>
              <w:t>10</w:t>
            </w:r>
            <w:r>
              <w:rPr>
                <w:rFonts w:ascii="Times New Roman" w:hAnsi="Times New Roman" w:cs="Times New Roman"/>
                <w:color w:val="000000" w:themeColor="text1"/>
                <w14:textFill>
                  <w14:solidFill>
                    <w14:schemeClr w14:val="tx1"/>
                  </w14:solidFill>
                </w14:textFill>
              </w:rPr>
              <w:t>、SO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、NO</w:t>
            </w:r>
            <w:r>
              <w:rPr>
                <w:rFonts w:ascii="Times New Roman" w:hAnsi="Times New Roman" w:cs="Times New Roman"/>
                <w:color w:val="000000" w:themeColor="text1"/>
                <w:vertAlign w:val="subscript"/>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、O</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-8h、CO）年均浓度均达标，PM</w:t>
            </w:r>
            <w:r>
              <w:rPr>
                <w:rFonts w:ascii="Times New Roman" w:hAnsi="Times New Roman" w:cs="Times New Roman"/>
                <w:color w:val="000000" w:themeColor="text1"/>
                <w:vertAlign w:val="subscript"/>
                <w14:textFill>
                  <w14:solidFill>
                    <w14:schemeClr w14:val="tx1"/>
                  </w14:solidFill>
                </w14:textFill>
              </w:rPr>
              <w:t>2.5</w:t>
            </w:r>
            <w:r>
              <w:rPr>
                <w:rFonts w:ascii="Times New Roman" w:hAnsi="Times New Roman" w:cs="Times New Roman"/>
                <w:color w:val="000000" w:themeColor="text1"/>
                <w14:textFill>
                  <w14:solidFill>
                    <w14:schemeClr w14:val="tx1"/>
                  </w14:solidFill>
                </w14:textFill>
              </w:rPr>
              <w:t>低于35μg/m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，空气质量优良天数保持大于320天”</w:t>
            </w:r>
            <w:r>
              <w:rPr>
                <w:rFonts w:ascii="Times New Roman" w:hAnsi="Times New Roman" w:cs="Times New Roman"/>
                <w:color w:val="000000" w:themeColor="text1"/>
                <w:kern w:val="0"/>
                <w14:textFill>
                  <w14:solidFill>
                    <w14:schemeClr w14:val="tx1"/>
                  </w14:solidFill>
                </w14:textFill>
              </w:rPr>
              <w:t>。</w:t>
            </w:r>
          </w:p>
          <w:p>
            <w:pPr>
              <w:pStyle w:val="26"/>
              <w:shd w:val="clear" w:color="auto" w:fill="auto"/>
              <w:wordWrap w:val="0"/>
              <w:topLinePunct/>
              <w:autoSpaceDE/>
              <w:autoSpaceDN/>
              <w:adjustRightInd/>
              <w:spacing w:line="360" w:lineRule="auto"/>
              <w:ind w:firstLine="480" w:firstLineChars="20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（3）其他污染物环境质量现状</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本次环境空气非甲烷总烃</w:t>
            </w:r>
            <w:r>
              <w:rPr>
                <w:rFonts w:hint="eastAsia"/>
                <w:color w:val="000000" w:themeColor="text1"/>
                <w:sz w:val="24"/>
                <w14:textFill>
                  <w14:solidFill>
                    <w14:schemeClr w14:val="tx1"/>
                  </w14:solidFill>
                </w14:textFill>
              </w:rPr>
              <w:t>、氯化氢</w:t>
            </w:r>
            <w:r>
              <w:rPr>
                <w:color w:val="000000" w:themeColor="text1"/>
                <w:sz w:val="24"/>
                <w14:textFill>
                  <w14:solidFill>
                    <w14:schemeClr w14:val="tx1"/>
                  </w14:solidFill>
                </w14:textFill>
              </w:rPr>
              <w:t>评价指标引用《江苏泰州海陵工业园区（市级园区）开发建设规划（2021-2035）环境影响报告书》中院庄大气监测点位监测数据，引用监测点在项目周边5km范围内，监测时间是近3年（2021.6.30~2021.7.6），引用数据在有效期内，引用该监测数据具有代表性、可行性</w:t>
            </w:r>
            <w:r>
              <w:rPr>
                <w:rFonts w:hint="eastAsia"/>
                <w:color w:val="000000" w:themeColor="text1"/>
                <w:sz w:val="24"/>
                <w14:textFill>
                  <w14:solidFill>
                    <w14:schemeClr w14:val="tx1"/>
                  </w14:solidFill>
                </w14:textFill>
              </w:rPr>
              <w:t>，项目所在地甲醛因子为实测，检测单位为江苏正康检测技术有限公司，监测时间为2024年1月26日</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2024年2月1日</w:t>
            </w:r>
            <w:r>
              <w:rPr>
                <w:color w:val="000000" w:themeColor="text1"/>
                <w:sz w:val="24"/>
                <w14:textFill>
                  <w14:solidFill>
                    <w14:schemeClr w14:val="tx1"/>
                  </w14:solidFill>
                </w14:textFill>
              </w:rPr>
              <w:t>。</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表3-2  其他污染物监测点位表</w:t>
            </w:r>
          </w:p>
          <w:tbl>
            <w:tblPr>
              <w:tblStyle w:val="19"/>
              <w:tblW w:w="49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949"/>
              <w:gridCol w:w="862"/>
              <w:gridCol w:w="919"/>
              <w:gridCol w:w="1266"/>
              <w:gridCol w:w="1154"/>
              <w:gridCol w:w="767"/>
              <w:gridCol w:w="720"/>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 w:type="pct"/>
                  <w:vMerge w:val="restart"/>
                  <w:tcBorders>
                    <w:top w:val="single" w:color="auto" w:sz="12" w:space="0"/>
                    <w:left w:val="nil"/>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测点</w:t>
                  </w:r>
                </w:p>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编号</w:t>
                  </w:r>
                </w:p>
              </w:tc>
              <w:tc>
                <w:tcPr>
                  <w:tcW w:w="632" w:type="pct"/>
                  <w:vMerge w:val="restart"/>
                  <w:tcBorders>
                    <w:top w:val="single" w:color="auto" w:sz="12" w:space="0"/>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监测点位置</w:t>
                  </w:r>
                </w:p>
              </w:tc>
              <w:tc>
                <w:tcPr>
                  <w:tcW w:w="1184" w:type="pct"/>
                  <w:gridSpan w:val="2"/>
                  <w:tcBorders>
                    <w:top w:val="single" w:color="auto" w:sz="12" w:space="0"/>
                    <w:tl2br w:val="nil"/>
                    <w:tr2bl w:val="nil"/>
                  </w:tcBorders>
                  <w:vAlign w:val="center"/>
                </w:tcPr>
                <w:p>
                  <w:pPr>
                    <w:pStyle w:val="45"/>
                    <w:adjustRightInd w:val="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测点坐标</w:t>
                  </w:r>
                </w:p>
              </w:tc>
              <w:tc>
                <w:tcPr>
                  <w:tcW w:w="843" w:type="pct"/>
                  <w:vMerge w:val="restart"/>
                  <w:tcBorders>
                    <w:top w:val="single" w:color="auto" w:sz="12" w:space="0"/>
                    <w:tl2br w:val="nil"/>
                    <w:tr2bl w:val="nil"/>
                  </w:tcBorders>
                  <w:vAlign w:val="center"/>
                </w:tcPr>
                <w:p>
                  <w:pPr>
                    <w:pStyle w:val="45"/>
                    <w:adjustRightInd w:val="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监测因子</w:t>
                  </w:r>
                </w:p>
              </w:tc>
              <w:tc>
                <w:tcPr>
                  <w:tcW w:w="768" w:type="pct"/>
                  <w:vMerge w:val="restart"/>
                  <w:tcBorders>
                    <w:top w:val="single" w:color="auto" w:sz="12" w:space="0"/>
                    <w:tl2br w:val="nil"/>
                    <w:tr2bl w:val="nil"/>
                  </w:tcBorders>
                  <w:vAlign w:val="center"/>
                </w:tcPr>
                <w:p>
                  <w:pPr>
                    <w:pStyle w:val="45"/>
                    <w:adjustRightInd w:val="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监测时段</w:t>
                  </w:r>
                </w:p>
              </w:tc>
              <w:tc>
                <w:tcPr>
                  <w:tcW w:w="510" w:type="pct"/>
                  <w:vMerge w:val="restart"/>
                  <w:tcBorders>
                    <w:top w:val="single" w:color="auto" w:sz="12" w:space="0"/>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相对厂址方位</w:t>
                  </w:r>
                </w:p>
              </w:tc>
              <w:tc>
                <w:tcPr>
                  <w:tcW w:w="480" w:type="pct"/>
                  <w:vMerge w:val="restart"/>
                  <w:tcBorders>
                    <w:top w:val="single" w:color="auto" w:sz="12" w:space="0"/>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相对厂址距离/m</w:t>
                  </w:r>
                </w:p>
              </w:tc>
              <w:tc>
                <w:tcPr>
                  <w:tcW w:w="284" w:type="pct"/>
                  <w:vMerge w:val="restart"/>
                  <w:tcBorders>
                    <w:top w:val="single" w:color="auto" w:sz="12" w:space="0"/>
                    <w:right w:val="nil"/>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 w:type="pct"/>
                  <w:vMerge w:val="continue"/>
                  <w:tcBorders>
                    <w:left w:val="nil"/>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632"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573" w:type="pct"/>
                  <w:tcBorders>
                    <w:tl2br w:val="nil"/>
                    <w:tr2bl w:val="nil"/>
                  </w:tcBorders>
                  <w:vAlign w:val="center"/>
                </w:tcPr>
                <w:p>
                  <w:pPr>
                    <w:pStyle w:val="45"/>
                    <w:adjustRightInd w:val="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经度</w:t>
                  </w:r>
                </w:p>
              </w:tc>
              <w:tc>
                <w:tcPr>
                  <w:tcW w:w="610" w:type="pct"/>
                  <w:tcBorders>
                    <w:tl2br w:val="nil"/>
                    <w:tr2bl w:val="nil"/>
                  </w:tcBorders>
                  <w:vAlign w:val="center"/>
                </w:tcPr>
                <w:p>
                  <w:pPr>
                    <w:pStyle w:val="45"/>
                    <w:adjustRightInd w:val="0"/>
                    <w:spacing w:line="240" w:lineRule="auto"/>
                    <w:rPr>
                      <w:rFonts w:ascii="Times New Roman" w:hAnsi="Times New Roman"/>
                      <w:b/>
                      <w:bCs/>
                      <w:color w:val="000000" w:themeColor="text1"/>
                      <w:sz w:val="21"/>
                      <w:szCs w:val="21"/>
                      <w14:textFill>
                        <w14:solidFill>
                          <w14:schemeClr w14:val="tx1"/>
                        </w14:solidFill>
                      </w14:textFill>
                    </w:rPr>
                  </w:pPr>
                  <w:r>
                    <w:rPr>
                      <w:rFonts w:ascii="Times New Roman" w:hAnsi="Times New Roman"/>
                      <w:b/>
                      <w:bCs/>
                      <w:color w:val="000000" w:themeColor="text1"/>
                      <w:sz w:val="21"/>
                      <w:szCs w:val="21"/>
                      <w14:textFill>
                        <w14:solidFill>
                          <w14:schemeClr w14:val="tx1"/>
                        </w14:solidFill>
                      </w14:textFill>
                    </w:rPr>
                    <w:t>纬度</w:t>
                  </w:r>
                </w:p>
              </w:tc>
              <w:tc>
                <w:tcPr>
                  <w:tcW w:w="843" w:type="pct"/>
                  <w:vMerge w:val="continue"/>
                  <w:tcBorders>
                    <w:tl2br w:val="nil"/>
                    <w:tr2bl w:val="nil"/>
                  </w:tcBorders>
                  <w:vAlign w:val="center"/>
                </w:tcPr>
                <w:p>
                  <w:pPr>
                    <w:pStyle w:val="45"/>
                    <w:adjustRightInd w:val="0"/>
                    <w:spacing w:line="240" w:lineRule="auto"/>
                    <w:rPr>
                      <w:rFonts w:ascii="Times New Roman" w:hAnsi="Times New Roman"/>
                      <w:color w:val="000000" w:themeColor="text1"/>
                      <w:sz w:val="21"/>
                      <w:szCs w:val="21"/>
                      <w14:textFill>
                        <w14:solidFill>
                          <w14:schemeClr w14:val="tx1"/>
                        </w14:solidFill>
                      </w14:textFill>
                    </w:rPr>
                  </w:pPr>
                </w:p>
              </w:tc>
              <w:tc>
                <w:tcPr>
                  <w:tcW w:w="768" w:type="pct"/>
                  <w:vMerge w:val="continue"/>
                  <w:tcBorders>
                    <w:tl2br w:val="nil"/>
                    <w:tr2bl w:val="nil"/>
                  </w:tcBorders>
                  <w:vAlign w:val="center"/>
                </w:tcPr>
                <w:p>
                  <w:pPr>
                    <w:pStyle w:val="45"/>
                    <w:adjustRightInd w:val="0"/>
                    <w:spacing w:line="240" w:lineRule="auto"/>
                    <w:rPr>
                      <w:rFonts w:ascii="Times New Roman" w:hAnsi="Times New Roman"/>
                      <w:color w:val="000000" w:themeColor="text1"/>
                      <w:sz w:val="21"/>
                      <w:szCs w:val="21"/>
                      <w14:textFill>
                        <w14:solidFill>
                          <w14:schemeClr w14:val="tx1"/>
                        </w14:solidFill>
                      </w14:textFill>
                    </w:rPr>
                  </w:pPr>
                </w:p>
              </w:tc>
              <w:tc>
                <w:tcPr>
                  <w:tcW w:w="510"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480" w:type="pct"/>
                  <w:vMerge w:val="continue"/>
                  <w:tcBorders>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284" w:type="pct"/>
                  <w:vMerge w:val="continue"/>
                  <w:tcBorders>
                    <w:right w:val="nil"/>
                    <w:tl2br w:val="nil"/>
                    <w:tr2bl w:val="nil"/>
                  </w:tcBorders>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 w:type="pct"/>
                  <w:tcBorders>
                    <w:left w:val="nil"/>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G1</w:t>
                  </w:r>
                </w:p>
              </w:tc>
              <w:tc>
                <w:tcPr>
                  <w:tcW w:w="632"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项目所在地</w:t>
                  </w:r>
                </w:p>
              </w:tc>
              <w:tc>
                <w:tcPr>
                  <w:tcW w:w="57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119.978278</w:t>
                  </w:r>
                </w:p>
              </w:tc>
              <w:tc>
                <w:tcPr>
                  <w:tcW w:w="610"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32.471025</w:t>
                  </w:r>
                </w:p>
              </w:tc>
              <w:tc>
                <w:tcPr>
                  <w:tcW w:w="843"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甲醛</w:t>
                  </w:r>
                </w:p>
              </w:tc>
              <w:tc>
                <w:tcPr>
                  <w:tcW w:w="768"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2024.1.26-2024.2.1</w:t>
                  </w:r>
                </w:p>
              </w:tc>
              <w:tc>
                <w:tcPr>
                  <w:tcW w:w="510"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80"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84" w:type="pct"/>
                  <w:tcBorders>
                    <w:right w:val="nil"/>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 w:type="pct"/>
                  <w:vMerge w:val="restart"/>
                  <w:tcBorders>
                    <w:left w:val="nil"/>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G2</w:t>
                  </w:r>
                </w:p>
              </w:tc>
              <w:tc>
                <w:tcPr>
                  <w:tcW w:w="632"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院庄</w:t>
                  </w:r>
                </w:p>
              </w:tc>
              <w:tc>
                <w:tcPr>
                  <w:tcW w:w="573"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119.987784</w:t>
                  </w:r>
                </w:p>
              </w:tc>
              <w:tc>
                <w:tcPr>
                  <w:tcW w:w="610"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32.458826</w:t>
                  </w:r>
                </w:p>
              </w:tc>
              <w:tc>
                <w:tcPr>
                  <w:tcW w:w="843"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768"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2021.6.30-2021.7.6</w:t>
                  </w:r>
                </w:p>
              </w:tc>
              <w:tc>
                <w:tcPr>
                  <w:tcW w:w="510"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SE</w:t>
                  </w:r>
                </w:p>
              </w:tc>
              <w:tc>
                <w:tcPr>
                  <w:tcW w:w="480"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1500</w:t>
                  </w:r>
                </w:p>
              </w:tc>
              <w:tc>
                <w:tcPr>
                  <w:tcW w:w="284" w:type="pct"/>
                  <w:vMerge w:val="restart"/>
                  <w:tcBorders>
                    <w:right w:val="nil"/>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4" w:type="pct"/>
                  <w:vMerge w:val="continue"/>
                  <w:tcBorders>
                    <w:left w:val="nil"/>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632"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573"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610"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843" w:type="pct"/>
                  <w:tcBorders>
                    <w:bottom w:val="single" w:color="auto" w:sz="12" w:space="0"/>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w:t>
                  </w:r>
                </w:p>
              </w:tc>
              <w:tc>
                <w:tcPr>
                  <w:tcW w:w="768"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510"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480" w:type="pct"/>
                  <w:vMerge w:val="continue"/>
                  <w:tcBorders>
                    <w:bottom w:val="single" w:color="auto" w:sz="12" w:space="0"/>
                    <w:tl2br w:val="nil"/>
                    <w:tr2bl w:val="nil"/>
                  </w:tcBorders>
                  <w:vAlign w:val="center"/>
                </w:tcPr>
                <w:p>
                  <w:pPr>
                    <w:adjustRightInd w:val="0"/>
                    <w:snapToGrid w:val="0"/>
                    <w:jc w:val="center"/>
                    <w:rPr>
                      <w:color w:val="000000" w:themeColor="text1"/>
                      <w:szCs w:val="21"/>
                      <w14:textFill>
                        <w14:solidFill>
                          <w14:schemeClr w14:val="tx1"/>
                        </w14:solidFill>
                      </w14:textFill>
                    </w:rPr>
                  </w:pPr>
                </w:p>
              </w:tc>
              <w:tc>
                <w:tcPr>
                  <w:tcW w:w="284" w:type="pct"/>
                  <w:vMerge w:val="continue"/>
                  <w:tcBorders>
                    <w:bottom w:val="single" w:color="auto" w:sz="12" w:space="0"/>
                    <w:right w:val="nil"/>
                    <w:tl2br w:val="nil"/>
                    <w:tr2bl w:val="nil"/>
                  </w:tcBorders>
                  <w:vAlign w:val="center"/>
                </w:tcPr>
                <w:p>
                  <w:pPr>
                    <w:adjustRightInd w:val="0"/>
                    <w:snapToGrid w:val="0"/>
                    <w:jc w:val="center"/>
                    <w:rPr>
                      <w:color w:val="000000" w:themeColor="text1"/>
                      <w:szCs w:val="21"/>
                      <w14:textFill>
                        <w14:solidFill>
                          <w14:schemeClr w14:val="tx1"/>
                        </w14:solidFill>
                      </w14:textFill>
                    </w:rPr>
                  </w:pPr>
                </w:p>
              </w:tc>
            </w:tr>
          </w:tbl>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表3-3  环境空气监测结果统计及评价结果</w:t>
            </w:r>
          </w:p>
          <w:tbl>
            <w:tblPr>
              <w:tblStyle w:val="19"/>
              <w:tblW w:w="49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10"/>
              <w:gridCol w:w="1028"/>
              <w:gridCol w:w="902"/>
              <w:gridCol w:w="676"/>
              <w:gridCol w:w="791"/>
              <w:gridCol w:w="908"/>
              <w:gridCol w:w="631"/>
              <w:gridCol w:w="631"/>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2" w:type="pct"/>
                  <w:vMerge w:val="restart"/>
                  <w:tcBorders>
                    <w:top w:val="single" w:color="auto" w:sz="12" w:space="0"/>
                    <w:left w:val="nil"/>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点位名称</w:t>
                  </w:r>
                </w:p>
              </w:tc>
              <w:tc>
                <w:tcPr>
                  <w:tcW w:w="1280" w:type="pct"/>
                  <w:gridSpan w:val="2"/>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监测点坐标</w:t>
                  </w:r>
                </w:p>
              </w:tc>
              <w:tc>
                <w:tcPr>
                  <w:tcW w:w="596"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tc>
              <w:tc>
                <w:tcPr>
                  <w:tcW w:w="447"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平均时间</w:t>
                  </w:r>
                </w:p>
              </w:tc>
              <w:tc>
                <w:tcPr>
                  <w:tcW w:w="523"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评价标准</w:t>
                  </w:r>
                </w:p>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mg/m</w:t>
                  </w:r>
                  <w:r>
                    <w:rPr>
                      <w:b/>
                      <w:color w:val="000000" w:themeColor="text1"/>
                      <w:szCs w:val="21"/>
                      <w:vertAlign w:val="superscript"/>
                      <w14:textFill>
                        <w14:solidFill>
                          <w14:schemeClr w14:val="tx1"/>
                        </w14:solidFill>
                      </w14:textFill>
                    </w:rPr>
                    <w:t>3</w:t>
                  </w:r>
                </w:p>
              </w:tc>
              <w:tc>
                <w:tcPr>
                  <w:tcW w:w="600"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现状浓度</w:t>
                  </w:r>
                </w:p>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mg/m</w:t>
                  </w:r>
                  <w:r>
                    <w:rPr>
                      <w:b/>
                      <w:color w:val="000000" w:themeColor="text1"/>
                      <w:szCs w:val="21"/>
                      <w:vertAlign w:val="superscript"/>
                      <w14:textFill>
                        <w14:solidFill>
                          <w14:schemeClr w14:val="tx1"/>
                        </w14:solidFill>
                      </w14:textFill>
                    </w:rPr>
                    <w:t>3</w:t>
                  </w:r>
                </w:p>
              </w:tc>
              <w:tc>
                <w:tcPr>
                  <w:tcW w:w="417"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最大浓度占标率%</w:t>
                  </w:r>
                </w:p>
              </w:tc>
              <w:tc>
                <w:tcPr>
                  <w:tcW w:w="417" w:type="pct"/>
                  <w:vMerge w:val="restart"/>
                  <w:tcBorders>
                    <w:top w:val="single" w:color="auto" w:sz="12" w:space="0"/>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超标频率%</w:t>
                  </w:r>
                </w:p>
              </w:tc>
              <w:tc>
                <w:tcPr>
                  <w:tcW w:w="285" w:type="pct"/>
                  <w:vMerge w:val="restart"/>
                  <w:tcBorders>
                    <w:top w:val="single" w:color="auto" w:sz="12" w:space="0"/>
                    <w:right w:val="nil"/>
                    <w:tl2br w:val="nil"/>
                    <w:tr2bl w:val="nil"/>
                  </w:tcBorders>
                  <w:vAlign w:val="center"/>
                </w:tcPr>
                <w:p>
                  <w:pPr>
                    <w:autoSpaceDE w:val="0"/>
                    <w:autoSpaceDN w:val="0"/>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32" w:type="pct"/>
                  <w:vMerge w:val="continue"/>
                  <w:tcBorders>
                    <w:left w:val="nil"/>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601"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经度</w:t>
                  </w:r>
                </w:p>
              </w:tc>
              <w:tc>
                <w:tcPr>
                  <w:tcW w:w="679" w:type="pct"/>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纬度</w:t>
                  </w:r>
                </w:p>
              </w:tc>
              <w:tc>
                <w:tcPr>
                  <w:tcW w:w="596"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447"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523"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600"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417"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417" w:type="pct"/>
                  <w:vMerge w:val="continue"/>
                  <w:tcBorders>
                    <w:tl2br w:val="nil"/>
                    <w:tr2bl w:val="nil"/>
                  </w:tcBorders>
                  <w:vAlign w:val="center"/>
                </w:tcPr>
                <w:p>
                  <w:pPr>
                    <w:adjustRightInd w:val="0"/>
                    <w:snapToGrid w:val="0"/>
                    <w:jc w:val="center"/>
                    <w:rPr>
                      <w:b/>
                      <w:color w:val="000000" w:themeColor="text1"/>
                      <w:szCs w:val="21"/>
                      <w14:textFill>
                        <w14:solidFill>
                          <w14:schemeClr w14:val="tx1"/>
                        </w14:solidFill>
                      </w14:textFill>
                    </w:rPr>
                  </w:pPr>
                </w:p>
              </w:tc>
              <w:tc>
                <w:tcPr>
                  <w:tcW w:w="285" w:type="pct"/>
                  <w:vMerge w:val="continue"/>
                  <w:tcBorders>
                    <w:right w:val="nil"/>
                    <w:tl2br w:val="nil"/>
                    <w:tr2bl w:val="nil"/>
                  </w:tcBorders>
                  <w:vAlign w:val="center"/>
                </w:tcPr>
                <w:p>
                  <w:pPr>
                    <w:adjustRightInd w:val="0"/>
                    <w:snapToGrid w:val="0"/>
                    <w:jc w:val="center"/>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32" w:type="pct"/>
                  <w:tcBorders>
                    <w:lef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G1</w:t>
                  </w:r>
                </w:p>
              </w:tc>
              <w:tc>
                <w:tcPr>
                  <w:tcW w:w="601"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119.978278</w:t>
                  </w:r>
                </w:p>
              </w:tc>
              <w:tc>
                <w:tcPr>
                  <w:tcW w:w="679"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32.471025</w:t>
                  </w:r>
                </w:p>
              </w:tc>
              <w:tc>
                <w:tcPr>
                  <w:tcW w:w="596"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甲醛</w:t>
                  </w:r>
                </w:p>
              </w:tc>
              <w:tc>
                <w:tcPr>
                  <w:tcW w:w="44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小时</w:t>
                  </w:r>
                </w:p>
              </w:tc>
              <w:tc>
                <w:tcPr>
                  <w:tcW w:w="523"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0.05</w:t>
                  </w:r>
                </w:p>
              </w:tc>
              <w:tc>
                <w:tcPr>
                  <w:tcW w:w="600"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ND</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w:t>
                  </w:r>
                </w:p>
              </w:tc>
              <w:tc>
                <w:tcPr>
                  <w:tcW w:w="285" w:type="pct"/>
                  <w:tcBorders>
                    <w:righ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 w:type="pct"/>
                  <w:vMerge w:val="restart"/>
                  <w:tcBorders>
                    <w:lef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G2</w:t>
                  </w:r>
                </w:p>
              </w:tc>
              <w:tc>
                <w:tcPr>
                  <w:tcW w:w="601"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119.987784</w:t>
                  </w:r>
                </w:p>
              </w:tc>
              <w:tc>
                <w:tcPr>
                  <w:tcW w:w="679" w:type="pct"/>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32.458826</w:t>
                  </w:r>
                </w:p>
              </w:tc>
              <w:tc>
                <w:tcPr>
                  <w:tcW w:w="596" w:type="pct"/>
                  <w:tcBorders>
                    <w:tl2br w:val="nil"/>
                    <w:tr2bl w:val="nil"/>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44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小时</w:t>
                  </w:r>
                </w:p>
              </w:tc>
              <w:tc>
                <w:tcPr>
                  <w:tcW w:w="523"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2.0</w:t>
                  </w:r>
                </w:p>
              </w:tc>
              <w:tc>
                <w:tcPr>
                  <w:tcW w:w="600"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0.4-0.59</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29.5</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w:t>
                  </w:r>
                </w:p>
              </w:tc>
              <w:tc>
                <w:tcPr>
                  <w:tcW w:w="285" w:type="pct"/>
                  <w:tcBorders>
                    <w:righ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2" w:type="pct"/>
                  <w:vMerge w:val="continue"/>
                  <w:tcBorders>
                    <w:lef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p>
              </w:tc>
              <w:tc>
                <w:tcPr>
                  <w:tcW w:w="601" w:type="pct"/>
                  <w:vMerge w:val="continue"/>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p>
              </w:tc>
              <w:tc>
                <w:tcPr>
                  <w:tcW w:w="679" w:type="pct"/>
                  <w:vMerge w:val="continue"/>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p>
              </w:tc>
              <w:tc>
                <w:tcPr>
                  <w:tcW w:w="596" w:type="pct"/>
                  <w:tcBorders>
                    <w:tl2br w:val="nil"/>
                    <w:tr2bl w:val="nil"/>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氯化氢</w:t>
                  </w:r>
                </w:p>
              </w:tc>
              <w:tc>
                <w:tcPr>
                  <w:tcW w:w="44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小时</w:t>
                  </w:r>
                </w:p>
              </w:tc>
              <w:tc>
                <w:tcPr>
                  <w:tcW w:w="523"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0.05</w:t>
                  </w:r>
                </w:p>
              </w:tc>
              <w:tc>
                <w:tcPr>
                  <w:tcW w:w="600"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ND</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w:t>
                  </w:r>
                </w:p>
              </w:tc>
              <w:tc>
                <w:tcPr>
                  <w:tcW w:w="417" w:type="pct"/>
                  <w:tcBorders>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0</w:t>
                  </w:r>
                </w:p>
              </w:tc>
              <w:tc>
                <w:tcPr>
                  <w:tcW w:w="285" w:type="pct"/>
                  <w:tcBorders>
                    <w:right w:val="nil"/>
                    <w:tl2br w:val="nil"/>
                    <w:tr2bl w:val="nil"/>
                  </w:tcBorders>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10"/>
                  <w:tcBorders>
                    <w:left w:val="nil"/>
                    <w:bottom w:val="single" w:color="auto" w:sz="12" w:space="0"/>
                    <w:right w:val="nil"/>
                    <w:tl2br w:val="nil"/>
                    <w:tr2bl w:val="nil"/>
                  </w:tcBorders>
                  <w:vAlign w:val="center"/>
                </w:tcPr>
                <w:p>
                  <w:pPr>
                    <w:adjustRightInd w:val="0"/>
                    <w:snapToGrid w:val="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注: “ND”表示未检出。</w:t>
                  </w:r>
                </w:p>
              </w:tc>
            </w:tr>
          </w:tbl>
          <w:p>
            <w:pPr>
              <w:adjustRightInd w:val="0"/>
              <w:snapToGrid w:val="0"/>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由上表可知，</w:t>
            </w:r>
            <w:r>
              <w:rPr>
                <w:color w:val="000000" w:themeColor="text1"/>
                <w:sz w:val="24"/>
                <w:lang w:val="zh-CN"/>
                <w14:textFill>
                  <w14:solidFill>
                    <w14:schemeClr w14:val="tx1"/>
                  </w14:solidFill>
                </w14:textFill>
              </w:rPr>
              <w:t>项目评价区域监测点位</w:t>
            </w:r>
            <w:r>
              <w:rPr>
                <w:rFonts w:hint="eastAsia"/>
                <w:color w:val="000000" w:themeColor="text1"/>
                <w:sz w:val="24"/>
                <w14:textFill>
                  <w14:solidFill>
                    <w14:schemeClr w14:val="tx1"/>
                  </w14:solidFill>
                </w14:textFill>
              </w:rPr>
              <w:t>非甲烷总烃小时值能满足《大气污染物综合排放标准详解》中标准要求，甲醛、氯化氢小时值满足《环境影响评价技术导则 大气环境》（HJ2.2-2018）附录D中标准要求。</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2、地表水环境质量现状</w:t>
            </w:r>
          </w:p>
          <w:p>
            <w:pPr>
              <w:pStyle w:val="8"/>
              <w:snapToGrid/>
              <w:spacing w:before="0" w:after="0" w:line="360" w:lineRule="auto"/>
              <w:ind w:right="0"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本项目废水主要为生活污水，生活污水经化粪池</w:t>
            </w:r>
            <w:r>
              <w:rPr>
                <w:rFonts w:hint="eastAsia"/>
                <w:color w:val="000000" w:themeColor="text1"/>
                <w:sz w:val="24"/>
                <w:szCs w:val="24"/>
                <w14:textFill>
                  <w14:solidFill>
                    <w14:schemeClr w14:val="tx1"/>
                  </w14:solidFill>
                </w14:textFill>
              </w:rPr>
              <w:t>预</w:t>
            </w:r>
            <w:r>
              <w:rPr>
                <w:color w:val="000000" w:themeColor="text1"/>
                <w:sz w:val="24"/>
                <w:szCs w:val="24"/>
                <w14:textFill>
                  <w14:solidFill>
                    <w14:schemeClr w14:val="tx1"/>
                  </w14:solidFill>
                </w14:textFill>
              </w:rPr>
              <w:t>处理</w:t>
            </w:r>
            <w:r>
              <w:rPr>
                <w:rFonts w:hint="eastAsia"/>
                <w:color w:val="000000" w:themeColor="text1"/>
                <w:sz w:val="24"/>
                <w:szCs w:val="24"/>
                <w:lang w:val="en-US" w:eastAsia="zh-CN"/>
                <w14:textFill>
                  <w14:solidFill>
                    <w14:schemeClr w14:val="tx1"/>
                  </w14:solidFill>
                </w14:textFill>
              </w:rPr>
              <w:t>达接管标准后</w:t>
            </w:r>
            <w:r>
              <w:rPr>
                <w:rFonts w:hint="eastAsia"/>
                <w:color w:val="000000" w:themeColor="text1"/>
                <w:sz w:val="24"/>
                <w:szCs w:val="24"/>
                <w14:textFill>
                  <w14:solidFill>
                    <w14:schemeClr w14:val="tx1"/>
                  </w14:solidFill>
                </w14:textFill>
              </w:rPr>
              <w:t>接管</w:t>
            </w:r>
            <w:r>
              <w:rPr>
                <w:rFonts w:hint="eastAsia"/>
                <w:color w:val="000000" w:themeColor="text1"/>
                <w:sz w:val="24"/>
                <w:szCs w:val="24"/>
                <w:lang w:eastAsia="zh-CN"/>
                <w14:textFill>
                  <w14:solidFill>
                    <w14:schemeClr w14:val="tx1"/>
                  </w14:solidFill>
                </w14:textFill>
              </w:rPr>
              <w:t>启迪浦华（泰州）水务有限公司</w:t>
            </w:r>
            <w:r>
              <w:rPr>
                <w:color w:val="000000" w:themeColor="text1"/>
                <w:sz w:val="24"/>
                <w:szCs w:val="24"/>
                <w14:textFill>
                  <w14:solidFill>
                    <w14:schemeClr w14:val="tx1"/>
                  </w14:solidFill>
                </w14:textFill>
              </w:rPr>
              <w:t>，尾水经许郑河，最终排入新通扬运河。</w:t>
            </w:r>
          </w:p>
          <w:p>
            <w:pPr>
              <w:pStyle w:val="8"/>
              <w:snapToGrid/>
              <w:spacing w:before="0" w:after="0" w:line="360" w:lineRule="auto"/>
              <w:ind w:right="0"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本次评价</w:t>
            </w:r>
            <w:r>
              <w:rPr>
                <w:rFonts w:hint="eastAsia"/>
                <w:color w:val="000000" w:themeColor="text1"/>
                <w:sz w:val="24"/>
                <w:szCs w:val="24"/>
                <w14:textFill>
                  <w14:solidFill>
                    <w14:schemeClr w14:val="tx1"/>
                  </w14:solidFill>
                </w14:textFill>
              </w:rPr>
              <w:t>新通扬运河</w:t>
            </w:r>
            <w:r>
              <w:rPr>
                <w:color w:val="000000" w:themeColor="text1"/>
                <w:sz w:val="24"/>
                <w:szCs w:val="24"/>
                <w14:textFill>
                  <w14:solidFill>
                    <w14:schemeClr w14:val="tx1"/>
                  </w14:solidFill>
                </w14:textFill>
              </w:rPr>
              <w:t>水环境质量监测数据引自《蓝思二园三期消费类电子产品精密部件生产项目（二期）环境影响报告书》中新通扬运河断面（W1许郑河入新通扬运河口上游500米、W2许郑河入新通扬运河口和W3许郑河入新通扬运河口下游2000米）的监测数据，监测时间为2021年8月19日至8月21日，引用数据在有效期内，监测点位在本项目地表水评价范围内，引用该监测数据具有代表性、可行性。</w:t>
            </w:r>
          </w:p>
          <w:p>
            <w:pPr>
              <w:jc w:val="center"/>
              <w:rPr>
                <w:b/>
                <w:color w:val="000000" w:themeColor="text1"/>
                <w:sz w:val="24"/>
                <w14:textFill>
                  <w14:solidFill>
                    <w14:schemeClr w14:val="tx1"/>
                  </w14:solidFill>
                </w14:textFill>
              </w:rPr>
            </w:pPr>
            <w:bookmarkStart w:id="6" w:name="OLE_LINK1"/>
            <w:r>
              <w:rPr>
                <w:b/>
                <w:color w:val="000000" w:themeColor="text1"/>
                <w:sz w:val="24"/>
                <w14:textFill>
                  <w14:solidFill>
                    <w14:schemeClr w14:val="tx1"/>
                  </w14:solidFill>
                </w14:textFill>
              </w:rPr>
              <w:t>表3-4  地表水环境监测断面具体位置一览表</w:t>
            </w:r>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716"/>
              <w:gridCol w:w="3471"/>
              <w:gridCol w:w="21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pct"/>
                  <w:vAlign w:val="center"/>
                </w:tcPr>
                <w:p>
                  <w:pPr>
                    <w:pStyle w:val="8"/>
                    <w:snapToGrid/>
                    <w:spacing w:before="0" w:after="0" w:line="240" w:lineRule="auto"/>
                    <w:ind w:right="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水体名称</w:t>
                  </w:r>
                </w:p>
              </w:tc>
              <w:tc>
                <w:tcPr>
                  <w:tcW w:w="468" w:type="pct"/>
                  <w:vAlign w:val="center"/>
                </w:tcPr>
                <w:p>
                  <w:pPr>
                    <w:pStyle w:val="8"/>
                    <w:snapToGrid/>
                    <w:spacing w:before="0" w:after="0" w:line="240" w:lineRule="auto"/>
                    <w:ind w:right="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编号</w:t>
                  </w:r>
                </w:p>
              </w:tc>
              <w:tc>
                <w:tcPr>
                  <w:tcW w:w="2271" w:type="pct"/>
                  <w:vAlign w:val="center"/>
                </w:tcPr>
                <w:p>
                  <w:pPr>
                    <w:pStyle w:val="8"/>
                    <w:snapToGrid/>
                    <w:spacing w:before="0" w:after="0" w:line="240" w:lineRule="auto"/>
                    <w:ind w:right="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断面位置</w:t>
                  </w:r>
                </w:p>
              </w:tc>
              <w:tc>
                <w:tcPr>
                  <w:tcW w:w="1430" w:type="pct"/>
                  <w:vAlign w:val="center"/>
                </w:tcPr>
                <w:p>
                  <w:pPr>
                    <w:pStyle w:val="8"/>
                    <w:snapToGrid/>
                    <w:spacing w:before="0" w:after="0" w:line="240" w:lineRule="auto"/>
                    <w:ind w:right="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8" w:type="pct"/>
                  <w:vMerge w:val="restar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新通扬运河</w:t>
                  </w:r>
                </w:p>
              </w:tc>
              <w:tc>
                <w:tcPr>
                  <w:tcW w:w="4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W1</w:t>
                  </w:r>
                </w:p>
              </w:tc>
              <w:tc>
                <w:tcPr>
                  <w:tcW w:w="2271"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许郑河入新通扬运河口上游500米</w:t>
                  </w:r>
                </w:p>
              </w:tc>
              <w:tc>
                <w:tcPr>
                  <w:tcW w:w="1430" w:type="pct"/>
                  <w:vMerge w:val="restar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pH、COD、氨氮、总磷、石油类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8"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c>
                <w:tcPr>
                  <w:tcW w:w="4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W2</w:t>
                  </w:r>
                </w:p>
              </w:tc>
              <w:tc>
                <w:tcPr>
                  <w:tcW w:w="2271"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许郑河入新通扬运河口</w:t>
                  </w:r>
                </w:p>
              </w:tc>
              <w:tc>
                <w:tcPr>
                  <w:tcW w:w="1430"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28"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c>
                <w:tcPr>
                  <w:tcW w:w="4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W3</w:t>
                  </w:r>
                </w:p>
              </w:tc>
              <w:tc>
                <w:tcPr>
                  <w:tcW w:w="2271"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许郑河入新通扬运河口下游2000米</w:t>
                  </w:r>
                </w:p>
              </w:tc>
              <w:tc>
                <w:tcPr>
                  <w:tcW w:w="1430"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r>
            <w:bookmarkEnd w:id="6"/>
          </w:tbl>
          <w:p>
            <w:pPr>
              <w:adjustRightInd w:val="0"/>
              <w:snapToGrid w:val="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表3-5  水环境质量监测结果表（mg/L,pH 无量纲，水温℃）</w:t>
            </w:r>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43"/>
              <w:gridCol w:w="1064"/>
              <w:gridCol w:w="739"/>
              <w:gridCol w:w="1231"/>
              <w:gridCol w:w="1233"/>
              <w:gridCol w:w="10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监测断面</w:t>
                  </w:r>
                </w:p>
              </w:tc>
              <w:tc>
                <w:tcPr>
                  <w:tcW w:w="1074"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项目</w:t>
                  </w:r>
                </w:p>
              </w:tc>
              <w:tc>
                <w:tcPr>
                  <w:tcW w:w="696"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pH</w:t>
                  </w:r>
                </w:p>
              </w:tc>
              <w:tc>
                <w:tcPr>
                  <w:tcW w:w="483"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COD</w:t>
                  </w:r>
                </w:p>
              </w:tc>
              <w:tc>
                <w:tcPr>
                  <w:tcW w:w="806"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氨氮</w:t>
                  </w:r>
                </w:p>
              </w:tc>
              <w:tc>
                <w:tcPr>
                  <w:tcW w:w="807"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总磷</w:t>
                  </w:r>
                </w:p>
              </w:tc>
              <w:tc>
                <w:tcPr>
                  <w:tcW w:w="668" w:type="pct"/>
                  <w:vAlign w:val="center"/>
                </w:tcPr>
                <w:p>
                  <w:pPr>
                    <w:autoSpaceDE w:val="0"/>
                    <w:autoSpaceDN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3" w:type="pct"/>
                  <w:vMerge w:val="restar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W1</w:t>
                  </w: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浓度监测值</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7.18-7.22</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13-16</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0.487-0.593</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0.085-0.157</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最大水质指数</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0.11</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0.59</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0.79</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Merge w:val="restar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w:t>
                  </w:r>
                  <w:r>
                    <w:rPr>
                      <w:rFonts w:hint="eastAsia"/>
                      <w:color w:val="000000" w:themeColor="text1"/>
                      <w:sz w:val="21"/>
                      <w:szCs w:val="21"/>
                      <w14:textFill>
                        <w14:solidFill>
                          <w14:schemeClr w14:val="tx1"/>
                        </w14:solidFill>
                      </w14:textFill>
                    </w:rPr>
                    <w:t>2</w:t>
                  </w: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浓度监测值</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7.17-7.21</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13-19</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0.511-0.548</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0.092-0.174</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最大水质指数</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0.11</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0.59</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0.55</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0.87</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Merge w:val="restar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w:t>
                  </w:r>
                  <w:r>
                    <w:rPr>
                      <w:rFonts w:hint="eastAsia"/>
                      <w:color w:val="000000" w:themeColor="text1"/>
                      <w:sz w:val="21"/>
                      <w:szCs w:val="21"/>
                      <w14:textFill>
                        <w14:solidFill>
                          <w14:schemeClr w14:val="tx1"/>
                        </w14:solidFill>
                      </w14:textFill>
                    </w:rPr>
                    <w:t>3</w:t>
                  </w: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浓度监测值</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7.18-7.22</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12-17</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0.473-0.572</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0.080-0.147</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0.03-0.04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3" w:type="pct"/>
                  <w:vMerge w:val="continue"/>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p>
              </w:tc>
              <w:tc>
                <w:tcPr>
                  <w:tcW w:w="1074"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最大水质指数</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0.1</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0.85</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0.57</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0.74</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38" w:type="pct"/>
                  <w:gridSpan w:val="2"/>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Ⅲ</w:t>
                  </w:r>
                  <w:r>
                    <w:rPr>
                      <w:color w:val="000000" w:themeColor="text1"/>
                      <w:sz w:val="21"/>
                      <w:szCs w:val="21"/>
                      <w14:textFill>
                        <w14:solidFill>
                          <w14:schemeClr w14:val="tx1"/>
                        </w14:solidFill>
                      </w14:textFill>
                    </w:rPr>
                    <w:t>类标准值</w:t>
                  </w:r>
                </w:p>
              </w:tc>
              <w:tc>
                <w:tcPr>
                  <w:tcW w:w="69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w:t>
                  </w:r>
                </w:p>
              </w:tc>
              <w:tc>
                <w:tcPr>
                  <w:tcW w:w="483"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20</w:t>
                  </w:r>
                </w:p>
              </w:tc>
              <w:tc>
                <w:tcPr>
                  <w:tcW w:w="806"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1.0</w:t>
                  </w:r>
                </w:p>
              </w:tc>
              <w:tc>
                <w:tcPr>
                  <w:tcW w:w="807"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0.2</w:t>
                  </w:r>
                </w:p>
              </w:tc>
              <w:tc>
                <w:tcPr>
                  <w:tcW w:w="668" w:type="pct"/>
                  <w:vAlign w:val="center"/>
                </w:tcPr>
                <w:p>
                  <w:pPr>
                    <w:pStyle w:val="8"/>
                    <w:snapToGrid/>
                    <w:spacing w:before="0" w:after="0" w:line="240" w:lineRule="auto"/>
                    <w:ind w:right="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0.05</w:t>
                  </w:r>
                </w:p>
              </w:tc>
            </w:tr>
          </w:tbl>
          <w:p>
            <w:pPr>
              <w:pStyle w:val="8"/>
              <w:snapToGrid/>
              <w:spacing w:before="0" w:after="0" w:line="360" w:lineRule="auto"/>
              <w:ind w:right="0"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根据上表监测结果表明，新通扬运河各监测断面监测因子均满足《地表水环境质量标准》（GB3838-2002）中Ⅲ类水质标准要求。</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3、声环境质量现状</w:t>
            </w:r>
          </w:p>
          <w:p>
            <w:pPr>
              <w:pStyle w:val="26"/>
              <w:shd w:val="clear" w:color="auto" w:fill="auto"/>
              <w:spacing w:line="360" w:lineRule="auto"/>
              <w:ind w:firstLine="480" w:firstLineChars="200"/>
              <w:contextualSpacing/>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本项目厂界50m范围内不存在声环境保护目标，因此无需监测声环境质量现状。</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4、地下水、土壤现状</w:t>
            </w:r>
          </w:p>
          <w:p>
            <w:pPr>
              <w:pStyle w:val="26"/>
              <w:shd w:val="clear" w:color="auto" w:fill="auto"/>
              <w:wordWrap w:val="0"/>
              <w:topLinePunct/>
              <w:autoSpaceDE/>
              <w:autoSpaceDN/>
              <w:adjustRightInd/>
              <w:spacing w:line="360" w:lineRule="auto"/>
              <w:ind w:firstLine="480" w:firstLineChars="200"/>
              <w:contextualSpacing/>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根据《建设项目环境影响报告表编制技术指南（污染影响类）（试行）》，地下水、土壤环境原则上不开展环境质量现状调查。项目位于海陵工业园区，厂区地面按照相应规范进行分区防治，不存在土壤、地下水环境污染途径，无需开展环境质量现状调查。</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5、生态环境</w:t>
            </w:r>
          </w:p>
          <w:p>
            <w:pPr>
              <w:pStyle w:val="3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根据《建设项目环境影响报告表编制技术指南（污染影响类）》（试行）中：“产业园区外建设项目新增用地且用地范围内含有生态环境保护目标时，应进行生态现状调查”。</w:t>
            </w:r>
          </w:p>
          <w:p>
            <w:pPr>
              <w:pStyle w:val="33"/>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本项目属于产业园区内项目，且周边无生态环境保护目标，故不进行生态现状调查。</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二、环境质量标准</w:t>
            </w:r>
          </w:p>
          <w:p>
            <w:pPr>
              <w:pStyle w:val="26"/>
              <w:shd w:val="clear" w:color="auto" w:fill="auto"/>
              <w:wordWrap w:val="0"/>
              <w:topLinePunct/>
              <w:autoSpaceDE/>
              <w:autoSpaceDN/>
              <w:adjustRightInd/>
              <w:spacing w:line="360" w:lineRule="auto"/>
              <w:ind w:firstLine="482" w:firstLineChars="200"/>
              <w:contextualSpacing/>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1、大气环境</w:t>
            </w:r>
          </w:p>
          <w:p>
            <w:pPr>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评价区SO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、CO、O</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10</w:t>
            </w:r>
            <w:r>
              <w:rPr>
                <w:color w:val="000000" w:themeColor="text1"/>
                <w:sz w:val="24"/>
                <w14:textFill>
                  <w14:solidFill>
                    <w14:schemeClr w14:val="tx1"/>
                  </w14:solidFill>
                </w14:textFill>
              </w:rPr>
              <w:t>、PM</w:t>
            </w:r>
            <w:r>
              <w:rPr>
                <w:color w:val="000000" w:themeColor="text1"/>
                <w:sz w:val="24"/>
                <w:vertAlign w:val="subscript"/>
                <w14:textFill>
                  <w14:solidFill>
                    <w14:schemeClr w14:val="tx1"/>
                  </w14:solidFill>
                </w14:textFill>
              </w:rPr>
              <w:t>2.5</w:t>
            </w:r>
            <w:r>
              <w:rPr>
                <w:rFonts w:hint="eastAsia"/>
                <w:color w:val="000000" w:themeColor="text1"/>
                <w:sz w:val="24"/>
                <w14:textFill>
                  <w14:solidFill>
                    <w14:schemeClr w14:val="tx1"/>
                  </w14:solidFill>
                </w14:textFill>
              </w:rPr>
              <w:t>、NO</w:t>
            </w:r>
            <w:r>
              <w:rPr>
                <w:rFonts w:hint="eastAsia"/>
                <w:color w:val="000000" w:themeColor="text1"/>
                <w:sz w:val="24"/>
                <w:vertAlign w:val="subscript"/>
                <w14:textFill>
                  <w14:solidFill>
                    <w14:schemeClr w14:val="tx1"/>
                  </w14:solidFill>
                </w14:textFill>
              </w:rPr>
              <w:t>X</w:t>
            </w:r>
            <w:r>
              <w:rPr>
                <w:color w:val="000000" w:themeColor="text1"/>
                <w:sz w:val="24"/>
                <w14:textFill>
                  <w14:solidFill>
                    <w14:schemeClr w14:val="tx1"/>
                  </w14:solidFill>
                </w14:textFill>
              </w:rPr>
              <w:t>执行《环境空气质量标准》（GB4145-2012）中二级标准，非甲烷总烃参考执行《大气污染物综合排放标准详解》中标准值</w:t>
            </w:r>
            <w:r>
              <w:rPr>
                <w:rFonts w:hint="eastAsia"/>
                <w:color w:val="000000" w:themeColor="text1"/>
                <w:sz w:val="24"/>
                <w14:textFill>
                  <w14:solidFill>
                    <w14:schemeClr w14:val="tx1"/>
                  </w14:solidFill>
                </w14:textFill>
              </w:rPr>
              <w:t>，氯化氢、甲醛参考执行《环境影响评价技术导则 大气环境》（HJ2.2-2018）附录D中标准值</w:t>
            </w:r>
            <w:r>
              <w:rPr>
                <w:color w:val="000000" w:themeColor="text1"/>
                <w:sz w:val="24"/>
                <w14:textFill>
                  <w14:solidFill>
                    <w14:schemeClr w14:val="tx1"/>
                  </w14:solidFill>
                </w14:textFill>
              </w:rPr>
              <w:t>。</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环境空气质量标准</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118"/>
              <w:gridCol w:w="1804"/>
              <w:gridCol w:w="24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8" w:hRule="atLeast"/>
                <w:tblHeader/>
                <w:jc w:val="center"/>
              </w:trPr>
              <w:tc>
                <w:tcPr>
                  <w:tcW w:w="834" w:type="pct"/>
                  <w:vAlign w:val="center"/>
                </w:tcPr>
                <w:p>
                  <w:pPr>
                    <w:adjustRightInd w:val="0"/>
                    <w:snapToGrid w:val="0"/>
                    <w:spacing w:line="320" w:lineRule="exact"/>
                    <w:jc w:val="center"/>
                    <w:textAlignment w:val="baseline"/>
                    <w:rPr>
                      <w:b/>
                      <w:color w:val="000000" w:themeColor="text1"/>
                      <w:spacing w:val="4"/>
                      <w:szCs w:val="21"/>
                      <w14:textFill>
                        <w14:solidFill>
                          <w14:schemeClr w14:val="tx1"/>
                        </w14:solidFill>
                      </w14:textFill>
                    </w:rPr>
                  </w:pPr>
                  <w:r>
                    <w:rPr>
                      <w:b/>
                      <w:color w:val="000000" w:themeColor="text1"/>
                      <w:spacing w:val="4"/>
                      <w:szCs w:val="21"/>
                      <w14:textFill>
                        <w14:solidFill>
                          <w14:schemeClr w14:val="tx1"/>
                        </w14:solidFill>
                      </w14:textFill>
                    </w:rPr>
                    <w:t>污染物名称</w:t>
                  </w:r>
                </w:p>
              </w:tc>
              <w:tc>
                <w:tcPr>
                  <w:tcW w:w="1385" w:type="pct"/>
                  <w:vAlign w:val="center"/>
                </w:tcPr>
                <w:p>
                  <w:pPr>
                    <w:adjustRightInd w:val="0"/>
                    <w:snapToGrid w:val="0"/>
                    <w:spacing w:line="320" w:lineRule="exact"/>
                    <w:jc w:val="center"/>
                    <w:textAlignment w:val="baseline"/>
                    <w:rPr>
                      <w:b/>
                      <w:color w:val="000000" w:themeColor="text1"/>
                      <w:spacing w:val="4"/>
                      <w:szCs w:val="21"/>
                      <w14:textFill>
                        <w14:solidFill>
                          <w14:schemeClr w14:val="tx1"/>
                        </w14:solidFill>
                      </w14:textFill>
                    </w:rPr>
                  </w:pPr>
                  <w:r>
                    <w:rPr>
                      <w:b/>
                      <w:color w:val="000000" w:themeColor="text1"/>
                      <w:spacing w:val="4"/>
                      <w:szCs w:val="21"/>
                      <w14:textFill>
                        <w14:solidFill>
                          <w14:schemeClr w14:val="tx1"/>
                        </w14:solidFill>
                      </w14:textFill>
                    </w:rPr>
                    <w:t>平均时段</w:t>
                  </w:r>
                </w:p>
              </w:tc>
              <w:tc>
                <w:tcPr>
                  <w:tcW w:w="1180" w:type="pct"/>
                  <w:vAlign w:val="center"/>
                </w:tcPr>
                <w:p>
                  <w:pPr>
                    <w:adjustRightInd w:val="0"/>
                    <w:snapToGrid w:val="0"/>
                    <w:spacing w:line="320" w:lineRule="exact"/>
                    <w:jc w:val="center"/>
                    <w:textAlignment w:val="baseline"/>
                    <w:rPr>
                      <w:b/>
                      <w:color w:val="000000" w:themeColor="text1"/>
                      <w:spacing w:val="4"/>
                      <w:szCs w:val="21"/>
                      <w14:textFill>
                        <w14:solidFill>
                          <w14:schemeClr w14:val="tx1"/>
                        </w14:solidFill>
                      </w14:textFill>
                    </w:rPr>
                  </w:pPr>
                  <w:r>
                    <w:rPr>
                      <w:b/>
                      <w:color w:val="000000" w:themeColor="text1"/>
                      <w:spacing w:val="4"/>
                      <w:szCs w:val="21"/>
                      <w14:textFill>
                        <w14:solidFill>
                          <w14:schemeClr w14:val="tx1"/>
                        </w14:solidFill>
                      </w14:textFill>
                    </w:rPr>
                    <w:t>标准值（</w:t>
                  </w:r>
                  <w:r>
                    <w:rPr>
                      <w:b/>
                      <w:bCs/>
                      <w:color w:val="000000" w:themeColor="text1"/>
                      <w:szCs w:val="21"/>
                      <w14:textFill>
                        <w14:solidFill>
                          <w14:schemeClr w14:val="tx1"/>
                        </w14:solidFill>
                      </w14:textFill>
                    </w:rPr>
                    <w:t>μ</w:t>
                  </w:r>
                  <w:r>
                    <w:rPr>
                      <w:b/>
                      <w:snapToGrid w:val="0"/>
                      <w:color w:val="000000" w:themeColor="text1"/>
                      <w:spacing w:val="4"/>
                      <w:kern w:val="18"/>
                      <w:szCs w:val="21"/>
                      <w14:textFill>
                        <w14:solidFill>
                          <w14:schemeClr w14:val="tx1"/>
                        </w14:solidFill>
                      </w14:textFill>
                    </w:rPr>
                    <w:t>g/Nm</w:t>
                  </w:r>
                  <w:r>
                    <w:rPr>
                      <w:b/>
                      <w:snapToGrid w:val="0"/>
                      <w:color w:val="000000" w:themeColor="text1"/>
                      <w:spacing w:val="4"/>
                      <w:kern w:val="18"/>
                      <w:szCs w:val="21"/>
                      <w:vertAlign w:val="superscript"/>
                      <w14:textFill>
                        <w14:solidFill>
                          <w14:schemeClr w14:val="tx1"/>
                        </w14:solidFill>
                      </w14:textFill>
                    </w:rPr>
                    <w:t>3</w:t>
                  </w:r>
                  <w:r>
                    <w:rPr>
                      <w:b/>
                      <w:color w:val="000000" w:themeColor="text1"/>
                      <w:spacing w:val="4"/>
                      <w:szCs w:val="21"/>
                      <w14:textFill>
                        <w14:solidFill>
                          <w14:schemeClr w14:val="tx1"/>
                        </w14:solidFill>
                      </w14:textFill>
                    </w:rPr>
                    <w:t>）</w:t>
                  </w:r>
                </w:p>
              </w:tc>
              <w:tc>
                <w:tcPr>
                  <w:tcW w:w="1599" w:type="pct"/>
                  <w:vAlign w:val="center"/>
                </w:tcPr>
                <w:p>
                  <w:pPr>
                    <w:adjustRightInd w:val="0"/>
                    <w:snapToGrid w:val="0"/>
                    <w:spacing w:line="320" w:lineRule="exact"/>
                    <w:jc w:val="center"/>
                    <w:textAlignment w:val="baseline"/>
                    <w:rPr>
                      <w:b/>
                      <w:color w:val="000000" w:themeColor="text1"/>
                      <w:spacing w:val="4"/>
                      <w:szCs w:val="21"/>
                      <w14:textFill>
                        <w14:solidFill>
                          <w14:schemeClr w14:val="tx1"/>
                        </w14:solidFill>
                      </w14:textFill>
                    </w:rPr>
                  </w:pPr>
                  <w:r>
                    <w:rPr>
                      <w:b/>
                      <w:color w:val="000000" w:themeColor="text1"/>
                      <w:spacing w:val="4"/>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SO</w:t>
                  </w:r>
                  <w:r>
                    <w:rPr>
                      <w:color w:val="000000" w:themeColor="text1"/>
                      <w:spacing w:val="4"/>
                      <w:szCs w:val="21"/>
                      <w:vertAlign w:val="subscript"/>
                      <w14:textFill>
                        <w14:solidFill>
                          <w14:schemeClr w14:val="tx1"/>
                        </w14:solidFill>
                      </w14:textFill>
                    </w:rPr>
                    <w:t>2</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年平均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1599"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《环境空气质量标准》（GB4145-2012）中</w:t>
                  </w:r>
                </w:p>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NO</w:t>
                  </w:r>
                  <w:r>
                    <w:rPr>
                      <w:color w:val="000000" w:themeColor="text1"/>
                      <w:spacing w:val="4"/>
                      <w:szCs w:val="21"/>
                      <w:vertAlign w:val="subscript"/>
                      <w14:textFill>
                        <w14:solidFill>
                          <w14:schemeClr w14:val="tx1"/>
                        </w14:solidFill>
                      </w14:textFill>
                    </w:rPr>
                    <w:t>2</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年平均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NOx</w:t>
                  </w:r>
                </w:p>
              </w:tc>
              <w:tc>
                <w:tcPr>
                  <w:tcW w:w="1385" w:type="pc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年平均</w:t>
                  </w:r>
                </w:p>
              </w:tc>
              <w:tc>
                <w:tcPr>
                  <w:tcW w:w="1180"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PM</w:t>
                  </w:r>
                  <w:r>
                    <w:rPr>
                      <w:color w:val="000000" w:themeColor="text1"/>
                      <w:spacing w:val="4"/>
                      <w:szCs w:val="21"/>
                      <w:vertAlign w:val="subscript"/>
                      <w14:textFill>
                        <w14:solidFill>
                          <w14:schemeClr w14:val="tx1"/>
                        </w14:solidFill>
                      </w14:textFill>
                    </w:rPr>
                    <w:t>10</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年平均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PM</w:t>
                  </w:r>
                  <w:r>
                    <w:rPr>
                      <w:color w:val="000000" w:themeColor="text1"/>
                      <w:spacing w:val="4"/>
                      <w:szCs w:val="21"/>
                      <w:vertAlign w:val="subscript"/>
                      <w14:textFill>
                        <w14:solidFill>
                          <w14:schemeClr w14:val="tx1"/>
                        </w14:solidFill>
                      </w14:textFill>
                    </w:rPr>
                    <w:t>2.5</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年平均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CO</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24小时平均</w:t>
                  </w:r>
                </w:p>
              </w:tc>
              <w:tc>
                <w:tcPr>
                  <w:tcW w:w="1180"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rFonts w:hint="eastAsia"/>
                      <w:color w:val="000000" w:themeColor="text1"/>
                      <w:szCs w:val="21"/>
                      <w14:textFill>
                        <w14:solidFill>
                          <w14:schemeClr w14:val="tx1"/>
                        </w14:solidFill>
                      </w14:textFill>
                    </w:rPr>
                    <w:t>4000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rFonts w:hint="eastAsia"/>
                      <w:color w:val="000000" w:themeColor="text1"/>
                      <w:szCs w:val="21"/>
                      <w14:textFill>
                        <w14:solidFill>
                          <w14:schemeClr w14:val="tx1"/>
                        </w14:solidFill>
                      </w14:textFill>
                    </w:rPr>
                    <w:t>10000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O</w:t>
                  </w:r>
                  <w:r>
                    <w:rPr>
                      <w:color w:val="000000" w:themeColor="text1"/>
                      <w:spacing w:val="4"/>
                      <w:szCs w:val="21"/>
                      <w:vertAlign w:val="subscript"/>
                      <w14:textFill>
                        <w14:solidFill>
                          <w14:schemeClr w14:val="tx1"/>
                        </w14:solidFill>
                      </w14:textFill>
                    </w:rPr>
                    <w:t>3</w:t>
                  </w: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日最大8小时平均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非甲烷总烃</w:t>
                  </w:r>
                </w:p>
              </w:tc>
              <w:tc>
                <w:tcPr>
                  <w:tcW w:w="1385" w:type="pct"/>
                  <w:vAlign w:val="center"/>
                </w:tcPr>
                <w:p>
                  <w:pPr>
                    <w:adjustRightInd w:val="0"/>
                    <w:snapToGrid w:val="0"/>
                    <w:spacing w:line="320" w:lineRule="exact"/>
                    <w:jc w:val="center"/>
                    <w:textAlignment w:val="baseline"/>
                    <w:rPr>
                      <w:color w:val="000000" w:themeColor="text1"/>
                      <w:spacing w:val="10"/>
                      <w:szCs w:val="21"/>
                      <w14:textFill>
                        <w14:solidFill>
                          <w14:schemeClr w14:val="tx1"/>
                        </w14:solidFill>
                      </w14:textFill>
                    </w:rPr>
                  </w:pPr>
                  <w:r>
                    <w:rPr>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2000</w:t>
                  </w:r>
                </w:p>
              </w:tc>
              <w:tc>
                <w:tcPr>
                  <w:tcW w:w="1599"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《大气污染物综合排放标准详解》选用标准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rFonts w:hint="eastAsia"/>
                      <w:color w:val="000000" w:themeColor="text1"/>
                      <w:spacing w:val="4"/>
                      <w:szCs w:val="21"/>
                      <w14:textFill>
                        <w14:solidFill>
                          <w14:schemeClr w14:val="tx1"/>
                        </w14:solidFill>
                      </w14:textFill>
                    </w:rPr>
                    <w:t>氯化氢</w:t>
                  </w:r>
                </w:p>
              </w:tc>
              <w:tc>
                <w:tcPr>
                  <w:tcW w:w="1385" w:type="pct"/>
                  <w:vAlign w:val="center"/>
                </w:tcPr>
                <w:p>
                  <w:pPr>
                    <w:adjustRightInd w:val="0"/>
                    <w:snapToGrid w:val="0"/>
                    <w:spacing w:line="320" w:lineRule="exact"/>
                    <w:jc w:val="center"/>
                    <w:textAlignment w:val="baseline"/>
                    <w:rPr>
                      <w:color w:val="000000" w:themeColor="text1"/>
                      <w:spacing w:val="10"/>
                      <w:szCs w:val="21"/>
                      <w14:textFill>
                        <w14:solidFill>
                          <w14:schemeClr w14:val="tx1"/>
                        </w14:solidFill>
                      </w14:textFill>
                    </w:rPr>
                  </w:pPr>
                  <w:r>
                    <w:rPr>
                      <w:rFonts w:hint="eastAsia"/>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599" w:type="pct"/>
                  <w:vMerge w:val="restar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zCs w:val="21"/>
                      <w14:textFill>
                        <w14:solidFill>
                          <w14:schemeClr w14:val="tx1"/>
                        </w14:solidFill>
                      </w14:textFill>
                    </w:rPr>
                    <w:t>《环境影响评价技术导则 大气环境》（HJ2.2-2018）附录D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c>
                <w:tcPr>
                  <w:tcW w:w="1385" w:type="pct"/>
                  <w:vAlign w:val="center"/>
                </w:tcPr>
                <w:p>
                  <w:pPr>
                    <w:adjustRightInd w:val="0"/>
                    <w:snapToGrid w:val="0"/>
                    <w:spacing w:line="320" w:lineRule="exact"/>
                    <w:jc w:val="center"/>
                    <w:textAlignment w:val="baseline"/>
                    <w:rPr>
                      <w:color w:val="000000" w:themeColor="text1"/>
                      <w:spacing w:val="10"/>
                      <w:szCs w:val="21"/>
                      <w14:textFill>
                        <w14:solidFill>
                          <w14:schemeClr w14:val="tx1"/>
                        </w14:solidFill>
                      </w14:textFill>
                    </w:rPr>
                  </w:pPr>
                  <w:r>
                    <w:rPr>
                      <w:rFonts w:hint="eastAsia"/>
                      <w:color w:val="000000" w:themeColor="text1"/>
                      <w:spacing w:val="10"/>
                      <w:szCs w:val="21"/>
                      <w14:textFill>
                        <w14:solidFill>
                          <w14:schemeClr w14:val="tx1"/>
                        </w14:solidFill>
                      </w14:textFill>
                    </w:rPr>
                    <w:t>日平均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4" w:type="pct"/>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甲醛</w:t>
                  </w:r>
                </w:p>
              </w:tc>
              <w:tc>
                <w:tcPr>
                  <w:tcW w:w="1385" w:type="pct"/>
                  <w:vAlign w:val="center"/>
                </w:tcPr>
                <w:p>
                  <w:pPr>
                    <w:adjustRightInd w:val="0"/>
                    <w:snapToGrid w:val="0"/>
                    <w:spacing w:line="320" w:lineRule="exact"/>
                    <w:jc w:val="center"/>
                    <w:textAlignment w:val="baseline"/>
                    <w:rPr>
                      <w:color w:val="000000" w:themeColor="text1"/>
                      <w:spacing w:val="10"/>
                      <w:szCs w:val="21"/>
                      <w14:textFill>
                        <w14:solidFill>
                          <w14:schemeClr w14:val="tx1"/>
                        </w14:solidFill>
                      </w14:textFill>
                    </w:rPr>
                  </w:pPr>
                  <w:r>
                    <w:rPr>
                      <w:rFonts w:hint="eastAsia"/>
                      <w:color w:val="000000" w:themeColor="text1"/>
                      <w:spacing w:val="10"/>
                      <w:szCs w:val="21"/>
                      <w14:textFill>
                        <w14:solidFill>
                          <w14:schemeClr w14:val="tx1"/>
                        </w14:solidFill>
                      </w14:textFill>
                    </w:rPr>
                    <w:t>1小时平均</w:t>
                  </w:r>
                </w:p>
              </w:tc>
              <w:tc>
                <w:tcPr>
                  <w:tcW w:w="1180"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1599" w:type="pct"/>
                  <w:vMerge w:val="continue"/>
                  <w:vAlign w:val="center"/>
                </w:tcPr>
                <w:p>
                  <w:pPr>
                    <w:adjustRightInd w:val="0"/>
                    <w:snapToGrid w:val="0"/>
                    <w:spacing w:line="320" w:lineRule="exact"/>
                    <w:jc w:val="center"/>
                    <w:textAlignment w:val="baseline"/>
                    <w:rPr>
                      <w:color w:val="000000" w:themeColor="text1"/>
                      <w:spacing w:val="4"/>
                      <w:szCs w:val="21"/>
                      <w14:textFill>
                        <w14:solidFill>
                          <w14:schemeClr w14:val="tx1"/>
                        </w14:solidFill>
                      </w14:textFill>
                    </w:rPr>
                  </w:pPr>
                </w:p>
              </w:tc>
            </w:tr>
          </w:tbl>
          <w:p>
            <w:pPr>
              <w:spacing w:before="156" w:beforeLines="50"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2、地表水环境</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根据《江苏省地表水（环境）功能区划》，本项目最终纳污水体</w:t>
            </w:r>
            <w:r>
              <w:rPr>
                <w:rFonts w:hint="eastAsia"/>
                <w:color w:val="000000" w:themeColor="text1"/>
                <w:sz w:val="24"/>
                <w14:textFill>
                  <w14:solidFill>
                    <w14:schemeClr w14:val="tx1"/>
                  </w14:solidFill>
                </w14:textFill>
              </w:rPr>
              <w:t>新通扬运河</w:t>
            </w:r>
            <w:r>
              <w:rPr>
                <w:color w:val="000000" w:themeColor="text1"/>
                <w:sz w:val="24"/>
                <w14:textFill>
                  <w14:solidFill>
                    <w14:schemeClr w14:val="tx1"/>
                  </w14:solidFill>
                </w14:textFill>
              </w:rPr>
              <w:t>执行《地表水环境质量标准》（GB3838-2002）中</w:t>
            </w:r>
            <w:r>
              <w:rPr>
                <w:rFonts w:hint="eastAsia"/>
                <w:color w:val="000000" w:themeColor="text1"/>
                <w:sz w:val="24"/>
                <w14:textFill>
                  <w14:solidFill>
                    <w14:schemeClr w14:val="tx1"/>
                  </w14:solidFill>
                </w14:textFill>
              </w:rPr>
              <w:t>III</w:t>
            </w:r>
            <w:r>
              <w:rPr>
                <w:color w:val="000000" w:themeColor="text1"/>
                <w:sz w:val="24"/>
                <w14:textFill>
                  <w14:solidFill>
                    <w14:schemeClr w14:val="tx1"/>
                  </w14:solidFill>
                </w14:textFill>
              </w:rPr>
              <w:t>类标准，标准值见下表。</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地表水环境质量标准限值（单位：除pH外为mg/L）</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1719"/>
              <w:gridCol w:w="34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30"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项目</w:t>
                  </w:r>
                </w:p>
              </w:tc>
              <w:tc>
                <w:tcPr>
                  <w:tcW w:w="1125" w:type="pct"/>
                  <w:vAlign w:val="center"/>
                </w:tcPr>
                <w:p>
                  <w:pPr>
                    <w:adjustRightInd w:val="0"/>
                    <w:snapToGrid w:val="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III</w:t>
                  </w:r>
                  <w:r>
                    <w:rPr>
                      <w:b/>
                      <w:color w:val="000000" w:themeColor="text1"/>
                      <w:szCs w:val="21"/>
                      <w14:textFill>
                        <w14:solidFill>
                          <w14:schemeClr w14:val="tx1"/>
                        </w14:solidFill>
                      </w14:textFill>
                    </w:rPr>
                    <w:t>类</w:t>
                  </w:r>
                </w:p>
              </w:tc>
              <w:tc>
                <w:tcPr>
                  <w:tcW w:w="2243" w:type="pct"/>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pH（无量纲）</w:t>
                  </w:r>
                </w:p>
              </w:tc>
              <w:tc>
                <w:tcPr>
                  <w:tcW w:w="112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w:t>
                  </w:r>
                </w:p>
              </w:tc>
              <w:tc>
                <w:tcPr>
                  <w:tcW w:w="2243" w:type="pct"/>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《地表水环境质量标准》（GB3838-2002）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112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20</w:t>
                  </w:r>
                </w:p>
              </w:tc>
              <w:tc>
                <w:tcPr>
                  <w:tcW w:w="2243" w:type="pct"/>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氨氮</w:t>
                  </w:r>
                </w:p>
              </w:tc>
              <w:tc>
                <w:tcPr>
                  <w:tcW w:w="112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1.0</w:t>
                  </w:r>
                </w:p>
              </w:tc>
              <w:tc>
                <w:tcPr>
                  <w:tcW w:w="2243" w:type="pct"/>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总磷</w:t>
                  </w:r>
                </w:p>
              </w:tc>
              <w:tc>
                <w:tcPr>
                  <w:tcW w:w="112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0.2</w:t>
                  </w:r>
                </w:p>
              </w:tc>
              <w:tc>
                <w:tcPr>
                  <w:tcW w:w="2243" w:type="pct"/>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3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石油类</w:t>
                  </w:r>
                </w:p>
              </w:tc>
              <w:tc>
                <w:tcPr>
                  <w:tcW w:w="112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≤0.05</w:t>
                  </w:r>
                </w:p>
              </w:tc>
              <w:tc>
                <w:tcPr>
                  <w:tcW w:w="2243" w:type="pct"/>
                  <w:vMerge w:val="continue"/>
                  <w:vAlign w:val="center"/>
                </w:tcPr>
                <w:p>
                  <w:pPr>
                    <w:adjustRightInd w:val="0"/>
                    <w:snapToGrid w:val="0"/>
                    <w:jc w:val="center"/>
                    <w:rPr>
                      <w:color w:val="000000" w:themeColor="text1"/>
                      <w:szCs w:val="21"/>
                      <w14:textFill>
                        <w14:solidFill>
                          <w14:schemeClr w14:val="tx1"/>
                        </w14:solidFill>
                      </w14:textFill>
                    </w:rPr>
                  </w:pPr>
                </w:p>
              </w:tc>
            </w:tr>
          </w:tbl>
          <w:p>
            <w:pPr>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3、噪声</w:t>
            </w:r>
          </w:p>
          <w:p>
            <w:pPr>
              <w:spacing w:line="360" w:lineRule="auto"/>
              <w:ind w:firstLine="482"/>
              <w:rPr>
                <w:rStyle w:val="22"/>
                <w:color w:val="000000" w:themeColor="text1"/>
                <w:sz w:val="24"/>
                <w14:textFill>
                  <w14:solidFill>
                    <w14:schemeClr w14:val="tx1"/>
                  </w14:solidFill>
                </w14:textFill>
              </w:rPr>
            </w:pPr>
            <w:r>
              <w:rPr>
                <w:color w:val="000000" w:themeColor="text1"/>
                <w:sz w:val="24"/>
                <w14:textFill>
                  <w14:solidFill>
                    <w14:schemeClr w14:val="tx1"/>
                  </w14:solidFill>
                </w14:textFill>
              </w:rPr>
              <w:t>厂区声环境执行《声环境质量标准》（GB3096-2008）中3类标准，标准值见下表。</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8</w:t>
            </w:r>
            <w:r>
              <w:rPr>
                <w:b/>
                <w:color w:val="000000" w:themeColor="text1"/>
                <w:sz w:val="24"/>
                <w14:textFill>
                  <w14:solidFill>
                    <w14:schemeClr w14:val="tx1"/>
                  </w14:solidFill>
                </w14:textFill>
              </w:rPr>
              <w:t xml:space="preserve">  噪声标准值</w:t>
            </w:r>
          </w:p>
          <w:tbl>
            <w:tblPr>
              <w:tblStyle w:val="19"/>
              <w:tblW w:w="5000" w:type="pct"/>
              <w:jc w:val="center"/>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909"/>
              <w:gridCol w:w="1035"/>
              <w:gridCol w:w="4007"/>
            </w:tblGrid>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106" w:type="pct"/>
                  <w:vMerge w:val="restart"/>
                  <w:vAlign w:val="center"/>
                </w:tcPr>
                <w:p>
                  <w:pPr>
                    <w:tabs>
                      <w:tab w:val="right" w:leader="dot" w:pos="8303"/>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类别</w:t>
                  </w:r>
                </w:p>
              </w:tc>
              <w:tc>
                <w:tcPr>
                  <w:tcW w:w="1272" w:type="pct"/>
                  <w:gridSpan w:val="2"/>
                  <w:vAlign w:val="center"/>
                </w:tcPr>
                <w:p>
                  <w:pPr>
                    <w:tabs>
                      <w:tab w:val="right" w:leader="dot" w:pos="8303"/>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标准值 dB(A)</w:t>
                  </w:r>
                </w:p>
              </w:tc>
              <w:tc>
                <w:tcPr>
                  <w:tcW w:w="2621" w:type="pct"/>
                  <w:vMerge w:val="restart"/>
                  <w:vAlign w:val="center"/>
                </w:tcPr>
                <w:p>
                  <w:pPr>
                    <w:tabs>
                      <w:tab w:val="right" w:leader="dot" w:pos="8303"/>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106" w:type="pct"/>
                  <w:vMerge w:val="continue"/>
                  <w:vAlign w:val="center"/>
                </w:tcPr>
                <w:p>
                  <w:pPr>
                    <w:tabs>
                      <w:tab w:val="right" w:leader="dot" w:pos="8303"/>
                    </w:tabs>
                    <w:adjustRightInd w:val="0"/>
                    <w:snapToGrid w:val="0"/>
                    <w:jc w:val="center"/>
                    <w:rPr>
                      <w:bCs/>
                      <w:color w:val="000000" w:themeColor="text1"/>
                      <w:szCs w:val="21"/>
                      <w14:textFill>
                        <w14:solidFill>
                          <w14:schemeClr w14:val="tx1"/>
                        </w14:solidFill>
                      </w14:textFill>
                    </w:rPr>
                  </w:pPr>
                </w:p>
              </w:tc>
              <w:tc>
                <w:tcPr>
                  <w:tcW w:w="595" w:type="pct"/>
                  <w:vAlign w:val="center"/>
                </w:tcPr>
                <w:p>
                  <w:pPr>
                    <w:tabs>
                      <w:tab w:val="right" w:leader="dot" w:pos="8303"/>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昼间</w:t>
                  </w:r>
                </w:p>
              </w:tc>
              <w:tc>
                <w:tcPr>
                  <w:tcW w:w="677" w:type="pct"/>
                  <w:vAlign w:val="center"/>
                </w:tcPr>
                <w:p>
                  <w:pPr>
                    <w:tabs>
                      <w:tab w:val="right" w:leader="dot" w:pos="8303"/>
                    </w:tabs>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夜间</w:t>
                  </w:r>
                </w:p>
              </w:tc>
              <w:tc>
                <w:tcPr>
                  <w:tcW w:w="2621" w:type="pct"/>
                  <w:vMerge w:val="continue"/>
                  <w:vAlign w:val="center"/>
                </w:tcPr>
                <w:p>
                  <w:pPr>
                    <w:tabs>
                      <w:tab w:val="right" w:leader="dot" w:pos="8303"/>
                    </w:tabs>
                    <w:adjustRightInd w:val="0"/>
                    <w:snapToGrid w:val="0"/>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1106" w:type="pct"/>
                  <w:vAlign w:val="center"/>
                </w:tcPr>
                <w:p>
                  <w:pPr>
                    <w:tabs>
                      <w:tab w:val="right" w:leader="dot" w:pos="8303"/>
                    </w:tabs>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3类</w:t>
                  </w:r>
                </w:p>
              </w:tc>
              <w:tc>
                <w:tcPr>
                  <w:tcW w:w="595" w:type="pct"/>
                  <w:vAlign w:val="center"/>
                </w:tcPr>
                <w:p>
                  <w:pPr>
                    <w:tabs>
                      <w:tab w:val="right" w:leader="dot" w:pos="8303"/>
                    </w:tabs>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677" w:type="pct"/>
                  <w:vAlign w:val="center"/>
                </w:tcPr>
                <w:p>
                  <w:pPr>
                    <w:tabs>
                      <w:tab w:val="right" w:leader="dot" w:pos="8303"/>
                    </w:tabs>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c>
                <w:tcPr>
                  <w:tcW w:w="2621" w:type="pct"/>
                  <w:vAlign w:val="center"/>
                </w:tcPr>
                <w:p>
                  <w:pPr>
                    <w:tabs>
                      <w:tab w:val="right" w:leader="dot" w:pos="8303"/>
                    </w:tabs>
                    <w:adjustRightInd w:val="0"/>
                    <w:snapToGrid w:val="0"/>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（GB3096-2008）3类</w:t>
                  </w:r>
                </w:p>
              </w:tc>
            </w:tr>
          </w:tbl>
          <w:p>
            <w:pPr>
              <w:adjustRightInd w:val="0"/>
              <w:snapToGrid w:val="0"/>
              <w:spacing w:before="156" w:beforeLines="50" w:line="360" w:lineRule="auto"/>
              <w:ind w:firstLine="480" w:firstLineChars="200"/>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388" w:type="pct"/>
            <w:vAlign w:val="center"/>
          </w:tcPr>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保护</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目标</w:t>
            </w:r>
          </w:p>
        </w:tc>
        <w:tc>
          <w:tcPr>
            <w:tcW w:w="4611" w:type="pct"/>
            <w:vAlign w:val="center"/>
          </w:tcPr>
          <w:p>
            <w:pPr>
              <w:pStyle w:val="8"/>
              <w:snapToGrid/>
              <w:spacing w:before="0" w:after="0" w:line="360" w:lineRule="auto"/>
              <w:ind w:right="0" w:firstLine="482" w:firstLineChars="20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主要环境保护目标（列出名单及保护级别）：</w:t>
            </w:r>
          </w:p>
          <w:p>
            <w:pPr>
              <w:pStyle w:val="8"/>
              <w:snapToGrid/>
              <w:spacing w:before="0" w:after="0" w:line="360" w:lineRule="auto"/>
              <w:ind w:right="0"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根</w:t>
            </w:r>
            <w:r>
              <w:rPr>
                <w:color w:val="000000" w:themeColor="text1"/>
                <w:sz w:val="24"/>
                <w:szCs w:val="22"/>
                <w14:textFill>
                  <w14:solidFill>
                    <w14:schemeClr w14:val="tx1"/>
                  </w14:solidFill>
                </w14:textFill>
              </w:rPr>
              <w:t>据现场踏勘及拟建项目周边情况，本项目附近无已探明的矿床和珍贵动植物资源，500m范围内没有园林古迹，也没有政府法令指定保护的名胜古迹，确定本项目的环境保护目标见下表</w:t>
            </w:r>
            <w:r>
              <w:rPr>
                <w:color w:val="000000" w:themeColor="text1"/>
                <w:sz w:val="24"/>
                <w:szCs w:val="24"/>
                <w14:textFill>
                  <w14:solidFill>
                    <w14:schemeClr w14:val="tx1"/>
                  </w14:solidFill>
                </w14:textFill>
              </w:rPr>
              <w:t>。</w:t>
            </w: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500m范围内</w:t>
            </w:r>
            <w:r>
              <w:rPr>
                <w:b/>
                <w:color w:val="000000" w:themeColor="text1"/>
                <w:sz w:val="24"/>
                <w14:textFill>
                  <w14:solidFill>
                    <w14:schemeClr w14:val="tx1"/>
                  </w14:solidFill>
                </w14:textFill>
              </w:rPr>
              <w:t>大气环境保护目标一览表</w:t>
            </w:r>
          </w:p>
          <w:tbl>
            <w:tblPr>
              <w:tblStyle w:val="19"/>
              <w:tblW w:w="4994"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7"/>
              <w:gridCol w:w="975"/>
              <w:gridCol w:w="799"/>
              <w:gridCol w:w="877"/>
              <w:gridCol w:w="825"/>
              <w:gridCol w:w="1099"/>
              <w:gridCol w:w="1401"/>
              <w:gridCol w:w="630"/>
              <w:gridCol w:w="620"/>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序号</w:t>
                  </w:r>
                </w:p>
              </w:tc>
              <w:tc>
                <w:tcPr>
                  <w:tcW w:w="638"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环境空气保护目标</w:t>
                  </w:r>
                </w:p>
              </w:tc>
              <w:tc>
                <w:tcPr>
                  <w:tcW w:w="1097" w:type="pct"/>
                  <w:gridSpan w:val="2"/>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坐标/（°）</w:t>
                  </w:r>
                </w:p>
              </w:tc>
              <w:tc>
                <w:tcPr>
                  <w:tcW w:w="540"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保护对象</w:t>
                  </w:r>
                </w:p>
              </w:tc>
              <w:tc>
                <w:tcPr>
                  <w:tcW w:w="720"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保护内容</w:t>
                  </w:r>
                </w:p>
              </w:tc>
              <w:tc>
                <w:tcPr>
                  <w:tcW w:w="917"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环境功能区</w:t>
                  </w:r>
                </w:p>
              </w:tc>
              <w:tc>
                <w:tcPr>
                  <w:tcW w:w="413"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相对厂址方位</w:t>
                  </w:r>
                </w:p>
              </w:tc>
              <w:tc>
                <w:tcPr>
                  <w:tcW w:w="406" w:type="pct"/>
                  <w:vMerge w:val="restar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相对厂界距离/m</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Merge w:val="continue"/>
                  <w:vAlign w:val="center"/>
                </w:tcPr>
                <w:p>
                  <w:pPr>
                    <w:jc w:val="center"/>
                    <w:rPr>
                      <w:color w:val="000000" w:themeColor="text1"/>
                      <w14:textFill>
                        <w14:solidFill>
                          <w14:schemeClr w14:val="tx1"/>
                        </w14:solidFill>
                      </w14:textFill>
                    </w:rPr>
                  </w:pPr>
                </w:p>
              </w:tc>
              <w:tc>
                <w:tcPr>
                  <w:tcW w:w="638" w:type="pct"/>
                  <w:vMerge w:val="continue"/>
                  <w:vAlign w:val="center"/>
                </w:tcPr>
                <w:p>
                  <w:pPr>
                    <w:jc w:val="center"/>
                    <w:rPr>
                      <w:color w:val="000000" w:themeColor="text1"/>
                      <w14:textFill>
                        <w14:solidFill>
                          <w14:schemeClr w14:val="tx1"/>
                        </w14:solidFill>
                      </w14:textFill>
                    </w:rPr>
                  </w:pPr>
                </w:p>
              </w:tc>
              <w:tc>
                <w:tcPr>
                  <w:tcW w:w="523"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经度</w:t>
                  </w:r>
                </w:p>
              </w:tc>
              <w:tc>
                <w:tcPr>
                  <w:tcW w:w="573"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纬度</w:t>
                  </w:r>
                </w:p>
              </w:tc>
              <w:tc>
                <w:tcPr>
                  <w:tcW w:w="540" w:type="pct"/>
                  <w:vMerge w:val="continue"/>
                  <w:vAlign w:val="center"/>
                </w:tcPr>
                <w:p>
                  <w:pPr>
                    <w:jc w:val="center"/>
                    <w:rPr>
                      <w:color w:val="000000" w:themeColor="text1"/>
                      <w14:textFill>
                        <w14:solidFill>
                          <w14:schemeClr w14:val="tx1"/>
                        </w14:solidFill>
                      </w14:textFill>
                    </w:rPr>
                  </w:pPr>
                </w:p>
              </w:tc>
              <w:tc>
                <w:tcPr>
                  <w:tcW w:w="720" w:type="pct"/>
                  <w:vMerge w:val="continue"/>
                  <w:vAlign w:val="center"/>
                </w:tcPr>
                <w:p>
                  <w:pPr>
                    <w:jc w:val="center"/>
                    <w:rPr>
                      <w:color w:val="000000" w:themeColor="text1"/>
                      <w14:textFill>
                        <w14:solidFill>
                          <w14:schemeClr w14:val="tx1"/>
                        </w14:solidFill>
                      </w14:textFill>
                    </w:rPr>
                  </w:pPr>
                </w:p>
              </w:tc>
              <w:tc>
                <w:tcPr>
                  <w:tcW w:w="917" w:type="pct"/>
                  <w:vMerge w:val="continue"/>
                  <w:vAlign w:val="center"/>
                </w:tcPr>
                <w:p>
                  <w:pPr>
                    <w:jc w:val="center"/>
                    <w:rPr>
                      <w:color w:val="000000" w:themeColor="text1"/>
                      <w14:textFill>
                        <w14:solidFill>
                          <w14:schemeClr w14:val="tx1"/>
                        </w14:solidFill>
                      </w14:textFill>
                    </w:rPr>
                  </w:pPr>
                </w:p>
              </w:tc>
              <w:tc>
                <w:tcPr>
                  <w:tcW w:w="413" w:type="pct"/>
                  <w:vMerge w:val="continue"/>
                  <w:vAlign w:val="center"/>
                </w:tcPr>
                <w:p>
                  <w:pPr>
                    <w:jc w:val="center"/>
                    <w:rPr>
                      <w:color w:val="000000" w:themeColor="text1"/>
                      <w14:textFill>
                        <w14:solidFill>
                          <w14:schemeClr w14:val="tx1"/>
                        </w14:solidFill>
                      </w14:textFill>
                    </w:rPr>
                  </w:pPr>
                </w:p>
              </w:tc>
              <w:tc>
                <w:tcPr>
                  <w:tcW w:w="406" w:type="pct"/>
                  <w:vMerge w:val="continue"/>
                  <w:vAlign w:val="center"/>
                </w:tcPr>
                <w:p>
                  <w:pPr>
                    <w:jc w:val="center"/>
                    <w:rPr>
                      <w:color w:val="000000" w:themeColor="text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63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戴凌村</w:t>
                  </w:r>
                </w:p>
              </w:tc>
              <w:tc>
                <w:tcPr>
                  <w:tcW w:w="52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119.974409</w:t>
                  </w:r>
                </w:p>
              </w:tc>
              <w:tc>
                <w:tcPr>
                  <w:tcW w:w="57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32.472278</w:t>
                  </w:r>
                </w:p>
              </w:tc>
              <w:tc>
                <w:tcPr>
                  <w:tcW w:w="54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居民</w:t>
                  </w:r>
                </w:p>
              </w:tc>
              <w:tc>
                <w:tcPr>
                  <w:tcW w:w="720"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约500人</w:t>
                  </w:r>
                </w:p>
              </w:tc>
              <w:tc>
                <w:tcPr>
                  <w:tcW w:w="917" w:type="pct"/>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《环境空气质量标准》（GB4145-2012）二级标准</w:t>
                  </w:r>
                </w:p>
              </w:tc>
              <w:tc>
                <w:tcPr>
                  <w:tcW w:w="41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NW</w:t>
                  </w:r>
                </w:p>
              </w:tc>
              <w:tc>
                <w:tcPr>
                  <w:tcW w:w="40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155</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63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大戴家庄</w:t>
                  </w:r>
                </w:p>
              </w:tc>
              <w:tc>
                <w:tcPr>
                  <w:tcW w:w="52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119.972950</w:t>
                  </w:r>
                </w:p>
              </w:tc>
              <w:tc>
                <w:tcPr>
                  <w:tcW w:w="57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32.469163</w:t>
                  </w:r>
                </w:p>
              </w:tc>
              <w:tc>
                <w:tcPr>
                  <w:tcW w:w="54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居民</w:t>
                  </w:r>
                </w:p>
              </w:tc>
              <w:tc>
                <w:tcPr>
                  <w:tcW w:w="720"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约380人</w:t>
                  </w:r>
                </w:p>
              </w:tc>
              <w:tc>
                <w:tcPr>
                  <w:tcW w:w="917" w:type="pct"/>
                  <w:vMerge w:val="continue"/>
                  <w:vAlign w:val="center"/>
                </w:tcPr>
                <w:p>
                  <w:pPr>
                    <w:jc w:val="center"/>
                    <w:rPr>
                      <w:color w:val="000000" w:themeColor="text1"/>
                      <w14:textFill>
                        <w14:solidFill>
                          <w14:schemeClr w14:val="tx1"/>
                        </w14:solidFill>
                      </w14:textFill>
                    </w:rPr>
                  </w:pPr>
                </w:p>
              </w:tc>
              <w:tc>
                <w:tcPr>
                  <w:tcW w:w="41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SW</w:t>
                  </w:r>
                </w:p>
              </w:tc>
              <w:tc>
                <w:tcPr>
                  <w:tcW w:w="40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180</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63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三窦新村</w:t>
                  </w:r>
                </w:p>
              </w:tc>
              <w:tc>
                <w:tcPr>
                  <w:tcW w:w="52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119.982735</w:t>
                  </w:r>
                </w:p>
              </w:tc>
              <w:tc>
                <w:tcPr>
                  <w:tcW w:w="57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32.468949</w:t>
                  </w:r>
                </w:p>
              </w:tc>
              <w:tc>
                <w:tcPr>
                  <w:tcW w:w="54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居民</w:t>
                  </w:r>
                </w:p>
              </w:tc>
              <w:tc>
                <w:tcPr>
                  <w:tcW w:w="720"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约400人</w:t>
                  </w:r>
                </w:p>
              </w:tc>
              <w:tc>
                <w:tcPr>
                  <w:tcW w:w="917" w:type="pct"/>
                  <w:vMerge w:val="continue"/>
                  <w:vAlign w:val="center"/>
                </w:tcPr>
                <w:p>
                  <w:pPr>
                    <w:jc w:val="center"/>
                    <w:rPr>
                      <w:color w:val="000000" w:themeColor="text1"/>
                      <w14:textFill>
                        <w14:solidFill>
                          <w14:schemeClr w14:val="tx1"/>
                        </w14:solidFill>
                      </w14:textFill>
                    </w:rPr>
                  </w:pPr>
                </w:p>
              </w:tc>
              <w:tc>
                <w:tcPr>
                  <w:tcW w:w="41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SE</w:t>
                  </w:r>
                </w:p>
              </w:tc>
              <w:tc>
                <w:tcPr>
                  <w:tcW w:w="40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190</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638"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凌窦村</w:t>
                  </w:r>
                </w:p>
              </w:tc>
              <w:tc>
                <w:tcPr>
                  <w:tcW w:w="52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119.984634</w:t>
                  </w:r>
                </w:p>
              </w:tc>
              <w:tc>
                <w:tcPr>
                  <w:tcW w:w="57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32.470236</w:t>
                  </w:r>
                </w:p>
              </w:tc>
              <w:tc>
                <w:tcPr>
                  <w:tcW w:w="54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居民</w:t>
                  </w:r>
                </w:p>
              </w:tc>
              <w:tc>
                <w:tcPr>
                  <w:tcW w:w="720"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约200人</w:t>
                  </w:r>
                </w:p>
              </w:tc>
              <w:tc>
                <w:tcPr>
                  <w:tcW w:w="917" w:type="pct"/>
                  <w:vMerge w:val="continue"/>
                  <w:vAlign w:val="center"/>
                </w:tcPr>
                <w:p>
                  <w:pPr>
                    <w:jc w:val="center"/>
                    <w:rPr>
                      <w:color w:val="000000" w:themeColor="text1"/>
                      <w14:textFill>
                        <w14:solidFill>
                          <w14:schemeClr w14:val="tx1"/>
                        </w14:solidFill>
                      </w14:textFill>
                    </w:rPr>
                  </w:pPr>
                </w:p>
              </w:tc>
              <w:tc>
                <w:tcPr>
                  <w:tcW w:w="41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SE</w:t>
                  </w:r>
                </w:p>
              </w:tc>
              <w:tc>
                <w:tcPr>
                  <w:tcW w:w="406"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390</w:t>
                  </w:r>
                </w:p>
              </w:tc>
            </w:tr>
          </w:tbl>
          <w:p>
            <w:pPr>
              <w:keepLines/>
              <w:jc w:val="left"/>
              <w:rPr>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注：本项目需编制《大气专项评价》，根据《环境影响评价技术导则 大气环境》（HJ 2.2-2018）需给出以项目厂址为中心区域，自厂界外延边长为5km的矩形范围内的大气环境保护目标，具体见大气专项评价《大气专项评价》。</w:t>
            </w:r>
          </w:p>
          <w:p>
            <w:pPr>
              <w:keepLines/>
              <w:jc w:val="center"/>
              <w:rPr>
                <w:color w:val="000000" w:themeColor="text1"/>
                <w:szCs w:val="21"/>
                <w14:textFill>
                  <w14:solidFill>
                    <w14:schemeClr w14:val="tx1"/>
                  </w14:solidFill>
                </w14:textFill>
              </w:rPr>
            </w:pPr>
            <w:r>
              <w:rPr>
                <w:b/>
                <w:bCs/>
                <w:color w:val="000000" w:themeColor="text1"/>
                <w:sz w:val="24"/>
                <w14:textFill>
                  <w14:solidFill>
                    <w14:schemeClr w14:val="tx1"/>
                  </w14:solidFill>
                </w14:textFill>
              </w:rPr>
              <w:t>表</w:t>
            </w:r>
            <w:r>
              <w:rPr>
                <w:b/>
                <w:color w:val="000000" w:themeColor="text1"/>
                <w:sz w:val="24"/>
                <w14:textFill>
                  <w14:solidFill>
                    <w14:schemeClr w14:val="tx1"/>
                  </w14:solidFill>
                </w14:textFill>
              </w:rPr>
              <w:t>3-1</w:t>
            </w:r>
            <w:r>
              <w:rPr>
                <w:rFonts w:hint="eastAsia"/>
                <w:b/>
                <w:color w:val="000000" w:themeColor="text1"/>
                <w:sz w:val="24"/>
                <w14:textFill>
                  <w14:solidFill>
                    <w14:schemeClr w14:val="tx1"/>
                  </w14:solidFill>
                </w14:textFill>
              </w:rPr>
              <w:t>0</w:t>
            </w:r>
            <w:r>
              <w:rPr>
                <w:b/>
                <w:color w:val="000000" w:themeColor="text1"/>
                <w:sz w:val="24"/>
                <w14:textFill>
                  <w14:solidFill>
                    <w14:schemeClr w14:val="tx1"/>
                  </w14:solidFill>
                </w14:textFill>
              </w:rPr>
              <w:t xml:space="preserve">  水、声环境和生态环境保护目标一览表</w:t>
            </w:r>
          </w:p>
          <w:tbl>
            <w:tblPr>
              <w:tblStyle w:val="19"/>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010"/>
              <w:gridCol w:w="633"/>
              <w:gridCol w:w="921"/>
              <w:gridCol w:w="706"/>
              <w:gridCol w:w="2687"/>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6"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环境要素</w:t>
                  </w:r>
                </w:p>
              </w:tc>
              <w:tc>
                <w:tcPr>
                  <w:tcW w:w="1315"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环境保护目标</w:t>
                  </w:r>
                </w:p>
              </w:tc>
              <w:tc>
                <w:tcPr>
                  <w:tcW w:w="414"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方位</w:t>
                  </w:r>
                </w:p>
              </w:tc>
              <w:tc>
                <w:tcPr>
                  <w:tcW w:w="603"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距离厂界最近距离</w:t>
                  </w:r>
                </w:p>
              </w:tc>
              <w:tc>
                <w:tcPr>
                  <w:tcW w:w="461"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环境功能/规模</w:t>
                  </w:r>
                </w:p>
              </w:tc>
              <w:tc>
                <w:tcPr>
                  <w:tcW w:w="1759" w:type="pct"/>
                  <w:vAlign w:val="center"/>
                </w:tcPr>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保护类别</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地表水</w:t>
                  </w:r>
                </w:p>
              </w:tc>
              <w:tc>
                <w:tcPr>
                  <w:tcW w:w="1315"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大寨河</w:t>
                  </w:r>
                </w:p>
              </w:tc>
              <w:tc>
                <w:tcPr>
                  <w:tcW w:w="41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w:t>
                  </w:r>
                </w:p>
              </w:tc>
              <w:tc>
                <w:tcPr>
                  <w:tcW w:w="60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155m</w:t>
                  </w:r>
                </w:p>
              </w:tc>
              <w:tc>
                <w:tcPr>
                  <w:tcW w:w="461"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1759"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《地表水环境质量标准》（GB3838–2002）</w:t>
                  </w:r>
                  <w:r>
                    <w:rPr>
                      <w:rFonts w:hint="eastAsia"/>
                      <w:color w:val="000000" w:themeColor="text1"/>
                      <w14:textFill>
                        <w14:solidFill>
                          <w14:schemeClr w14:val="tx1"/>
                        </w14:solidFill>
                      </w14:textFill>
                    </w:rPr>
                    <w:t>III</w:t>
                  </w:r>
                  <w:r>
                    <w:rPr>
                      <w:color w:val="000000" w:themeColor="text1"/>
                      <w14:textFill>
                        <w14:solidFill>
                          <w14:schemeClr w14:val="tx1"/>
                        </w14:solidFill>
                      </w14:textFill>
                    </w:rPr>
                    <w:t>类水体</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Merge w:val="continue"/>
                  <w:vAlign w:val="center"/>
                </w:tcPr>
                <w:p>
                  <w:pPr>
                    <w:jc w:val="center"/>
                    <w:rPr>
                      <w:color w:val="000000" w:themeColor="text1"/>
                      <w14:textFill>
                        <w14:solidFill>
                          <w14:schemeClr w14:val="tx1"/>
                        </w14:solidFill>
                      </w14:textFill>
                    </w:rPr>
                  </w:pPr>
                </w:p>
              </w:tc>
              <w:tc>
                <w:tcPr>
                  <w:tcW w:w="1315"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许郑河</w:t>
                  </w:r>
                </w:p>
              </w:tc>
              <w:tc>
                <w:tcPr>
                  <w:tcW w:w="414"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N</w:t>
                  </w:r>
                </w:p>
              </w:tc>
              <w:tc>
                <w:tcPr>
                  <w:tcW w:w="60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6435m</w:t>
                  </w:r>
                </w:p>
              </w:tc>
              <w:tc>
                <w:tcPr>
                  <w:tcW w:w="461"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759"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《地表水环境质量标准》（GB3838–2002）</w:t>
                  </w:r>
                  <w:r>
                    <w:rPr>
                      <w:rFonts w:hint="eastAsia"/>
                      <w:color w:val="000000" w:themeColor="text1"/>
                      <w14:textFill>
                        <w14:solidFill>
                          <w14:schemeClr w14:val="tx1"/>
                        </w14:solidFill>
                      </w14:textFill>
                    </w:rPr>
                    <w:t>III</w:t>
                  </w:r>
                  <w:r>
                    <w:rPr>
                      <w:color w:val="000000" w:themeColor="text1"/>
                      <w14:textFill>
                        <w14:solidFill>
                          <w14:schemeClr w14:val="tx1"/>
                        </w14:solidFill>
                      </w14:textFill>
                    </w:rPr>
                    <w:t>类水体</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6" w:type="pct"/>
                  <w:vMerge w:val="continue"/>
                  <w:vAlign w:val="center"/>
                </w:tcPr>
                <w:p>
                  <w:pPr>
                    <w:jc w:val="center"/>
                    <w:rPr>
                      <w:color w:val="000000" w:themeColor="text1"/>
                      <w14:textFill>
                        <w14:solidFill>
                          <w14:schemeClr w14:val="tx1"/>
                        </w14:solidFill>
                      </w14:textFill>
                    </w:rPr>
                  </w:pPr>
                </w:p>
              </w:tc>
              <w:tc>
                <w:tcPr>
                  <w:tcW w:w="1315"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新通扬运河</w:t>
                  </w:r>
                </w:p>
              </w:tc>
              <w:tc>
                <w:tcPr>
                  <w:tcW w:w="414"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N</w:t>
                  </w:r>
                </w:p>
              </w:tc>
              <w:tc>
                <w:tcPr>
                  <w:tcW w:w="603"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4600</w:t>
                  </w:r>
                  <w:r>
                    <w:rPr>
                      <w:color w:val="000000" w:themeColor="text1"/>
                      <w14:textFill>
                        <w14:solidFill>
                          <w14:schemeClr w14:val="tx1"/>
                        </w14:solidFill>
                      </w14:textFill>
                    </w:rPr>
                    <w:t>m</w:t>
                  </w:r>
                </w:p>
              </w:tc>
              <w:tc>
                <w:tcPr>
                  <w:tcW w:w="461" w:type="pct"/>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w:t>
                  </w:r>
                  <w:r>
                    <w:rPr>
                      <w:color w:val="000000" w:themeColor="text1"/>
                      <w14:textFill>
                        <w14:solidFill>
                          <w14:schemeClr w14:val="tx1"/>
                        </w14:solidFill>
                      </w14:textFill>
                    </w:rPr>
                    <w:t>型</w:t>
                  </w:r>
                </w:p>
              </w:tc>
              <w:tc>
                <w:tcPr>
                  <w:tcW w:w="1759"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《地表水环境质量标准》 （GB3838–2002）</w:t>
                  </w:r>
                  <w:r>
                    <w:rPr>
                      <w:rFonts w:hint="eastAsia"/>
                      <w:color w:val="000000" w:themeColor="text1"/>
                      <w14:textFill>
                        <w14:solidFill>
                          <w14:schemeClr w14:val="tx1"/>
                        </w14:solidFill>
                      </w14:textFill>
                    </w:rPr>
                    <w:t>III</w:t>
                  </w:r>
                  <w:r>
                    <w:rPr>
                      <w:color w:val="000000" w:themeColor="text1"/>
                      <w14:textFill>
                        <w14:solidFill>
                          <w14:schemeClr w14:val="tx1"/>
                        </w14:solidFill>
                      </w14:textFill>
                    </w:rPr>
                    <w:t>类水体</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声环境</w:t>
                  </w:r>
                </w:p>
              </w:tc>
              <w:tc>
                <w:tcPr>
                  <w:tcW w:w="2794" w:type="pct"/>
                  <w:gridSpan w:val="4"/>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厂界四周</w:t>
                  </w:r>
                </w:p>
              </w:tc>
              <w:tc>
                <w:tcPr>
                  <w:tcW w:w="1759"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《声环境质量标准》（GB3096–2008）3类声环境功能区</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vMerge w:val="restar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生态</w:t>
                  </w:r>
                </w:p>
              </w:tc>
              <w:tc>
                <w:tcPr>
                  <w:tcW w:w="1315" w:type="pct"/>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新通扬运河（海陵区）清水通道维护区</w:t>
                  </w:r>
                </w:p>
              </w:tc>
              <w:tc>
                <w:tcPr>
                  <w:tcW w:w="414" w:type="pct"/>
                  <w:vAlign w:val="center"/>
                </w:tcPr>
                <w:p>
                  <w:pPr>
                    <w:adjustRightInd w:val="0"/>
                    <w:snapToGri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N</w:t>
                  </w:r>
                </w:p>
              </w:tc>
              <w:tc>
                <w:tcPr>
                  <w:tcW w:w="1064" w:type="pct"/>
                  <w:gridSpan w:val="2"/>
                  <w:vAlign w:val="center"/>
                </w:tcPr>
                <w:p>
                  <w:pPr>
                    <w:adjustRightInd w:val="0"/>
                    <w:snapToGri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4.6</w:t>
                  </w:r>
                  <w:r>
                    <w:rPr>
                      <w:color w:val="000000" w:themeColor="text1"/>
                      <w:szCs w:val="21"/>
                      <w14:textFill>
                        <w14:solidFill>
                          <w14:schemeClr w14:val="tx1"/>
                        </w14:solidFill>
                      </w14:textFill>
                    </w:rPr>
                    <w:t>km</w:t>
                  </w:r>
                </w:p>
              </w:tc>
              <w:tc>
                <w:tcPr>
                  <w:tcW w:w="1759" w:type="pct"/>
                  <w:vAlign w:val="center"/>
                </w:tcPr>
                <w:p>
                  <w:pPr>
                    <w:widowControl/>
                    <w:spacing w:line="260" w:lineRule="exact"/>
                    <w:jc w:val="center"/>
                    <w:textAlignment w:val="center"/>
                    <w:rPr>
                      <w:color w:val="000000" w:themeColor="text1"/>
                      <w14:textFill>
                        <w14:solidFill>
                          <w14:schemeClr w14:val="tx1"/>
                        </w14:solidFill>
                      </w14:textFill>
                    </w:rPr>
                  </w:pPr>
                  <w:r>
                    <w:rPr>
                      <w:color w:val="000000" w:themeColor="text1"/>
                      <w:szCs w:val="21"/>
                      <w14:textFill>
                        <w14:solidFill>
                          <w14:schemeClr w14:val="tx1"/>
                        </w14:solidFill>
                      </w14:textFill>
                    </w:rPr>
                    <w:t>水源水质保护</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6" w:type="pct"/>
                  <w:vMerge w:val="continue"/>
                </w:tcPr>
                <w:p>
                  <w:pPr>
                    <w:jc w:val="center"/>
                    <w:rPr>
                      <w:color w:val="000000" w:themeColor="text1"/>
                      <w14:textFill>
                        <w14:solidFill>
                          <w14:schemeClr w14:val="tx1"/>
                        </w14:solidFill>
                      </w14:textFill>
                    </w:rPr>
                  </w:pPr>
                </w:p>
              </w:tc>
              <w:tc>
                <w:tcPr>
                  <w:tcW w:w="1315"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引江河备用水源地水源保护区</w:t>
                  </w:r>
                </w:p>
              </w:tc>
              <w:tc>
                <w:tcPr>
                  <w:tcW w:w="414" w:type="pct"/>
                  <w:vAlign w:val="center"/>
                </w:tcPr>
                <w:p>
                  <w:pPr>
                    <w:adjustRightInd w:val="0"/>
                    <w:snapToGri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W</w:t>
                  </w:r>
                </w:p>
              </w:tc>
              <w:tc>
                <w:tcPr>
                  <w:tcW w:w="1064" w:type="pct"/>
                  <w:gridSpan w:val="2"/>
                  <w:vAlign w:val="center"/>
                </w:tcPr>
                <w:p>
                  <w:pPr>
                    <w:adjustRightInd w:val="0"/>
                    <w:snapToGrid w:val="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10.7</w:t>
                  </w:r>
                  <w:r>
                    <w:rPr>
                      <w:color w:val="000000" w:themeColor="text1"/>
                      <w:szCs w:val="21"/>
                      <w14:textFill>
                        <w14:solidFill>
                          <w14:schemeClr w14:val="tx1"/>
                        </w14:solidFill>
                      </w14:textFill>
                    </w:rPr>
                    <w:t>km</w:t>
                  </w:r>
                </w:p>
              </w:tc>
              <w:tc>
                <w:tcPr>
                  <w:tcW w:w="1759" w:type="pct"/>
                  <w:vAlign w:val="center"/>
                </w:tcPr>
                <w:p>
                  <w:pPr>
                    <w:widowControl/>
                    <w:spacing w:line="260" w:lineRule="exact"/>
                    <w:jc w:val="center"/>
                    <w:textAlignment w:val="center"/>
                    <w:rPr>
                      <w:color w:val="000000" w:themeColor="text1"/>
                      <w14:textFill>
                        <w14:solidFill>
                          <w14:schemeClr w14:val="tx1"/>
                        </w14:solidFill>
                      </w14:textFill>
                    </w:rPr>
                  </w:pPr>
                  <w:r>
                    <w:rPr>
                      <w:color w:val="000000" w:themeColor="text1"/>
                      <w:szCs w:val="21"/>
                      <w14:textFill>
                        <w14:solidFill>
                          <w14:schemeClr w14:val="tx1"/>
                        </w14:solidFill>
                      </w14:textFill>
                    </w:rPr>
                    <w:t>饮用水水源保护区</w:t>
                  </w:r>
                </w:p>
              </w:tc>
            </w:tr>
          </w:tbl>
          <w:p>
            <w:pPr>
              <w:adjustRightInd w:val="0"/>
              <w:snapToGrid w:val="0"/>
              <w:spacing w:line="360" w:lineRule="auto"/>
              <w:rPr>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8" w:type="pct"/>
            <w:tcMar>
              <w:left w:w="28" w:type="dxa"/>
              <w:right w:w="28" w:type="dxa"/>
            </w:tcMar>
            <w:vAlign w:val="center"/>
          </w:tcPr>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污染</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物排</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放控</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制标</w:t>
            </w:r>
          </w:p>
          <w:p>
            <w:pPr>
              <w:adjustRightInd w:val="0"/>
              <w:spacing w:line="360" w:lineRule="auto"/>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准</w:t>
            </w:r>
          </w:p>
        </w:tc>
        <w:tc>
          <w:tcPr>
            <w:tcW w:w="4611" w:type="pct"/>
            <w:vAlign w:val="center"/>
          </w:tcPr>
          <w:p>
            <w:pPr>
              <w:spacing w:line="360" w:lineRule="auto"/>
              <w:ind w:firstLine="482" w:firstLineChars="200"/>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1、大气污染物排放标准</w:t>
            </w:r>
          </w:p>
          <w:p>
            <w:pPr>
              <w:pStyle w:val="34"/>
              <w:wordWrap w:val="0"/>
              <w:topLinePunct/>
              <w:spacing w:line="360" w:lineRule="auto"/>
              <w:ind w:firstLine="480" w:firstLineChars="200"/>
              <w:rPr>
                <w:color w:val="000000" w:themeColor="text1"/>
                <w:sz w:val="24"/>
                <w:szCs w:val="24"/>
                <w:highlight w:val="yellow"/>
                <w14:textFill>
                  <w14:solidFill>
                    <w14:schemeClr w14:val="tx1"/>
                  </w14:solidFill>
                </w14:textFill>
              </w:rPr>
            </w:pPr>
            <w:r>
              <w:rPr>
                <w:color w:val="000000" w:themeColor="text1"/>
                <w:sz w:val="24"/>
                <w:szCs w:val="24"/>
                <w14:textFill>
                  <w14:solidFill>
                    <w14:schemeClr w14:val="tx1"/>
                  </w14:solidFill>
                </w14:textFill>
              </w:rPr>
              <w:t>有组织废气：汽车轻量化配套铝合金零部件工艺</w:t>
            </w:r>
            <w:r>
              <w:rPr>
                <w:rFonts w:hint="eastAsia"/>
                <w:color w:val="000000" w:themeColor="text1"/>
                <w:sz w:val="24"/>
                <w:szCs w:val="24"/>
                <w14:textFill>
                  <w14:solidFill>
                    <w14:schemeClr w14:val="tx1"/>
                  </w14:solidFill>
                </w14:textFill>
              </w:rPr>
              <w:t>中熔化、保温、制芯、打磨、抛光等</w:t>
            </w:r>
            <w:r>
              <w:rPr>
                <w:color w:val="000000" w:themeColor="text1"/>
                <w:sz w:val="24"/>
                <w:szCs w:val="22"/>
                <w14:textFill>
                  <w14:solidFill>
                    <w14:schemeClr w14:val="tx1"/>
                  </w14:solidFill>
                </w14:textFill>
              </w:rPr>
              <w:t>有组织废气排放执行《铸造工业大气污染物排放标准》（GB39726-2020）表</w:t>
            </w:r>
            <w:r>
              <w:rPr>
                <w:rFonts w:hint="eastAsia"/>
                <w:color w:val="000000" w:themeColor="text1"/>
                <w:sz w:val="24"/>
                <w:szCs w:val="22"/>
                <w14:textFill>
                  <w14:solidFill>
                    <w14:schemeClr w14:val="tx1"/>
                  </w14:solidFill>
                </w14:textFill>
              </w:rPr>
              <w:t>1</w:t>
            </w:r>
            <w:r>
              <w:rPr>
                <w:color w:val="000000" w:themeColor="text1"/>
                <w:sz w:val="24"/>
                <w:szCs w:val="22"/>
                <w14:textFill>
                  <w14:solidFill>
                    <w14:schemeClr w14:val="tx1"/>
                  </w14:solidFill>
                </w14:textFill>
              </w:rPr>
              <w:t>中关于工艺废气和热处理炉废气排放标准，该排放标准中没有的指标参照执行《大气污染物综合排放标准》（DB32/4041-2021）表1</w:t>
            </w:r>
            <w:r>
              <w:rPr>
                <w:rFonts w:hint="eastAsia"/>
                <w:color w:val="000000" w:themeColor="text1"/>
                <w:sz w:val="24"/>
                <w:szCs w:val="22"/>
                <w14:textFill>
                  <w14:solidFill>
                    <w14:schemeClr w14:val="tx1"/>
                  </w14:solidFill>
                </w14:textFill>
              </w:rPr>
              <w:t>标准</w:t>
            </w:r>
            <w:r>
              <w:rPr>
                <w:rFonts w:hint="eastAsia"/>
                <w:color w:val="000000" w:themeColor="text1"/>
                <w14:textFill>
                  <w14:solidFill>
                    <w14:schemeClr w14:val="tx1"/>
                  </w14:solidFill>
                </w14:textFill>
              </w:rPr>
              <w:t>；</w:t>
            </w:r>
            <w:r>
              <w:rPr>
                <w:rFonts w:hint="eastAsia"/>
                <w:color w:val="000000" w:themeColor="text1"/>
                <w:sz w:val="24"/>
                <w:szCs w:val="22"/>
                <w14:textFill>
                  <w14:solidFill>
                    <w14:schemeClr w14:val="tx1"/>
                  </w14:solidFill>
                </w14:textFill>
              </w:rPr>
              <w:t>除渣废气、清洗废气、高端装备国际配套零部件工艺中热处理、抛丸执行</w:t>
            </w:r>
            <w:r>
              <w:rPr>
                <w:color w:val="000000" w:themeColor="text1"/>
                <w:sz w:val="24"/>
                <w:szCs w:val="22"/>
                <w14:textFill>
                  <w14:solidFill>
                    <w14:schemeClr w14:val="tx1"/>
                  </w14:solidFill>
                </w14:textFill>
              </w:rPr>
              <w:t>《大气污染物综合排放标准》（DB 32/4041-2021）表1</w:t>
            </w:r>
            <w:r>
              <w:rPr>
                <w:rFonts w:hint="eastAsia"/>
                <w:color w:val="000000" w:themeColor="text1"/>
                <w:sz w:val="24"/>
                <w:szCs w:val="22"/>
                <w14:textFill>
                  <w14:solidFill>
                    <w14:schemeClr w14:val="tx1"/>
                  </w14:solidFill>
                </w14:textFill>
              </w:rPr>
              <w:t>标准，锻件天然气加热废气执行《工业炉窑大气污染物排放标准》（DB32/3728-2020）表1标准，排气筒中涉及多个标准的从严执行。</w:t>
            </w:r>
          </w:p>
          <w:p>
            <w:pPr>
              <w:pStyle w:val="34"/>
              <w:wordWrap w:val="0"/>
              <w:topLinePunct/>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无组织废气：厂界颗粒物、非甲烷总烃</w:t>
            </w:r>
            <w:r>
              <w:rPr>
                <w:rFonts w:hint="eastAsia"/>
                <w:color w:val="000000" w:themeColor="text1"/>
                <w:sz w:val="24"/>
                <w:szCs w:val="24"/>
                <w14:textFill>
                  <w14:solidFill>
                    <w14:schemeClr w14:val="tx1"/>
                  </w14:solidFill>
                </w14:textFill>
              </w:rPr>
              <w:t>、甲醛、氯化氢</w:t>
            </w:r>
            <w:r>
              <w:rPr>
                <w:color w:val="000000" w:themeColor="text1"/>
                <w:sz w:val="24"/>
                <w:szCs w:val="24"/>
                <w14:textFill>
                  <w14:solidFill>
                    <w14:schemeClr w14:val="tx1"/>
                  </w14:solidFill>
                </w14:textFill>
              </w:rPr>
              <w:t>排放执行《大气污染物综合排放标准》（DB32/4041-2021）表3</w:t>
            </w:r>
            <w:r>
              <w:rPr>
                <w:rFonts w:hint="eastAsia"/>
                <w:color w:val="000000" w:themeColor="text1"/>
                <w:sz w:val="24"/>
                <w:szCs w:val="24"/>
                <w14:textFill>
                  <w14:solidFill>
                    <w14:schemeClr w14:val="tx1"/>
                  </w14:solidFill>
                </w14:textFill>
              </w:rPr>
              <w:t>标准，厂区内颗粒物</w:t>
            </w:r>
            <w:r>
              <w:rPr>
                <w:color w:val="000000" w:themeColor="text1"/>
                <w:sz w:val="24"/>
                <w:szCs w:val="24"/>
                <w14:textFill>
                  <w14:solidFill>
                    <w14:schemeClr w14:val="tx1"/>
                  </w14:solidFill>
                </w14:textFill>
              </w:rPr>
              <w:t>排放</w:t>
            </w:r>
            <w:r>
              <w:rPr>
                <w:rFonts w:hint="eastAsia"/>
                <w:color w:val="000000" w:themeColor="text1"/>
                <w:sz w:val="24"/>
                <w:szCs w:val="24"/>
                <w14:textFill>
                  <w14:solidFill>
                    <w14:schemeClr w14:val="tx1"/>
                  </w14:solidFill>
                </w14:textFill>
              </w:rPr>
              <w:t>执行</w:t>
            </w:r>
            <w:r>
              <w:rPr>
                <w:rFonts w:hint="eastAsia"/>
                <w:color w:val="000000" w:themeColor="text1"/>
                <w:sz w:val="24"/>
                <w:szCs w:val="22"/>
                <w14:textFill>
                  <w14:solidFill>
                    <w14:schemeClr w14:val="tx1"/>
                  </w14:solidFill>
                </w14:textFill>
              </w:rPr>
              <w:t>《工业炉窑大气污染物排放标准》（DB32/3728-2020）表3标准</w:t>
            </w:r>
            <w:r>
              <w:rPr>
                <w:color w:val="000000" w:themeColor="text1"/>
                <w:sz w:val="24"/>
                <w:szCs w:val="24"/>
                <w14:textFill>
                  <w14:solidFill>
                    <w14:schemeClr w14:val="tx1"/>
                  </w14:solidFill>
                </w14:textFill>
              </w:rPr>
              <w:t>；厂内非甲烷总烃排放执行《大气污染物综合排放标准》（DB32/4041-2021）表2</w:t>
            </w:r>
            <w:r>
              <w:rPr>
                <w:rFonts w:hint="eastAsia"/>
                <w:color w:val="000000" w:themeColor="text1"/>
                <w:sz w:val="24"/>
                <w:szCs w:val="24"/>
                <w14:textFill>
                  <w14:solidFill>
                    <w14:schemeClr w14:val="tx1"/>
                  </w14:solidFill>
                </w14:textFill>
              </w:rPr>
              <w:t>标准</w:t>
            </w:r>
            <w:r>
              <w:rPr>
                <w:color w:val="000000" w:themeColor="text1"/>
                <w:sz w:val="24"/>
                <w:szCs w:val="24"/>
                <w14:textFill>
                  <w14:solidFill>
                    <w14:schemeClr w14:val="tx1"/>
                  </w14:solidFill>
                </w14:textFill>
              </w:rPr>
              <w:t>。</w:t>
            </w:r>
          </w:p>
          <w:p>
            <w:pPr>
              <w:jc w:val="center"/>
              <w:rPr>
                <w:b/>
                <w:color w:val="000000" w:themeColor="text1"/>
                <w:sz w:val="24"/>
                <w:lang w:val="zh-CN"/>
                <w14:textFill>
                  <w14:solidFill>
                    <w14:schemeClr w14:val="tx1"/>
                  </w14:solidFill>
                </w14:textFill>
              </w:rPr>
            </w:pPr>
            <w:r>
              <w:rPr>
                <w:b/>
                <w:color w:val="000000" w:themeColor="text1"/>
                <w:sz w:val="24"/>
                <w:lang w:val="zh-CN"/>
                <w14:textFill>
                  <w14:solidFill>
                    <w14:schemeClr w14:val="tx1"/>
                  </w14:solidFill>
                </w14:textFill>
              </w:rPr>
              <w:t>表</w:t>
            </w:r>
            <w:r>
              <w:rPr>
                <w:b/>
                <w:color w:val="000000" w:themeColor="text1"/>
                <w:sz w:val="24"/>
                <w14:textFill>
                  <w14:solidFill>
                    <w14:schemeClr w14:val="tx1"/>
                  </w14:solidFill>
                </w14:textFill>
              </w:rPr>
              <w:t>3-1</w:t>
            </w: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 xml:space="preserve"> </w:t>
            </w:r>
            <w:r>
              <w:rPr>
                <w:b/>
                <w:color w:val="000000" w:themeColor="text1"/>
                <w:sz w:val="24"/>
                <w:lang w:val="zh-CN"/>
                <w14:textFill>
                  <w14:solidFill>
                    <w14:schemeClr w14:val="tx1"/>
                  </w14:solidFill>
                </w14:textFill>
              </w:rPr>
              <w:t xml:space="preserve"> 有组织废气排放标准限值一览表</w:t>
            </w:r>
          </w:p>
          <w:tbl>
            <w:tblPr>
              <w:tblStyle w:val="20"/>
              <w:tblW w:w="4997"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279"/>
              <w:gridCol w:w="1138"/>
              <w:gridCol w:w="1138"/>
              <w:gridCol w:w="27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vMerge w:val="restart"/>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污染源</w:t>
                  </w:r>
                </w:p>
              </w:tc>
              <w:tc>
                <w:tcPr>
                  <w:tcW w:w="837" w:type="pct"/>
                  <w:vMerge w:val="restart"/>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污染物</w:t>
                  </w:r>
                </w:p>
              </w:tc>
              <w:tc>
                <w:tcPr>
                  <w:tcW w:w="745" w:type="pct"/>
                  <w:vMerge w:val="restart"/>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最高允许排放浓度mg/m</w:t>
                  </w:r>
                  <w:r>
                    <w:rPr>
                      <w:b/>
                      <w:color w:val="000000" w:themeColor="text1"/>
                      <w:kern w:val="0"/>
                      <w:szCs w:val="21"/>
                      <w:vertAlign w:val="superscript"/>
                      <w14:textFill>
                        <w14:solidFill>
                          <w14:schemeClr w14:val="tx1"/>
                        </w14:solidFill>
                      </w14:textFill>
                    </w:rPr>
                    <w:t>3</w:t>
                  </w:r>
                </w:p>
              </w:tc>
              <w:tc>
                <w:tcPr>
                  <w:tcW w:w="745" w:type="pct"/>
                  <w:vMerge w:val="restart"/>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最高允许排放速率</w:t>
                  </w:r>
                </w:p>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kg/h</w:t>
                  </w:r>
                </w:p>
              </w:tc>
              <w:tc>
                <w:tcPr>
                  <w:tcW w:w="1769" w:type="pct"/>
                  <w:vMerge w:val="restart"/>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vMerge w:val="continue"/>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p>
              </w:tc>
              <w:tc>
                <w:tcPr>
                  <w:tcW w:w="837" w:type="pct"/>
                  <w:vMerge w:val="continue"/>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p>
              </w:tc>
              <w:tc>
                <w:tcPr>
                  <w:tcW w:w="745" w:type="pct"/>
                  <w:vMerge w:val="continue"/>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p>
              </w:tc>
              <w:tc>
                <w:tcPr>
                  <w:tcW w:w="745" w:type="pct"/>
                  <w:vMerge w:val="continue"/>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p>
              </w:tc>
              <w:tc>
                <w:tcPr>
                  <w:tcW w:w="1769" w:type="pct"/>
                  <w:vMerge w:val="continue"/>
                  <w:tcBorders>
                    <w:tl2br w:val="nil"/>
                    <w:tr2bl w:val="nil"/>
                  </w:tcBorders>
                  <w:vAlign w:val="center"/>
                </w:tcPr>
                <w:p>
                  <w:pPr>
                    <w:adjustRightInd w:val="0"/>
                    <w:snapToGrid w:val="0"/>
                    <w:jc w:val="center"/>
                    <w:rPr>
                      <w:b/>
                      <w:color w:val="000000" w:themeColor="text1"/>
                      <w:kern w:val="0"/>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vMerge w:val="restar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DA001（</w:t>
                  </w:r>
                  <w:r>
                    <w:rPr>
                      <w:rFonts w:hint="eastAsia"/>
                      <w:color w:val="000000" w:themeColor="text1"/>
                      <w:kern w:val="0"/>
                      <w:szCs w:val="21"/>
                      <w:lang w:bidi="ar"/>
                      <w14:textFill>
                        <w14:solidFill>
                          <w14:schemeClr w14:val="tx1"/>
                        </w14:solidFill>
                      </w14:textFill>
                    </w:rPr>
                    <w:t>熔化</w:t>
                  </w:r>
                  <w:r>
                    <w:rPr>
                      <w:rFonts w:hint="eastAsia"/>
                      <w:bCs/>
                      <w:color w:val="000000" w:themeColor="text1"/>
                      <w:kern w:val="0"/>
                      <w:szCs w:val="21"/>
                      <w14:textFill>
                        <w14:solidFill>
                          <w14:schemeClr w14:val="tx1"/>
                        </w14:solidFill>
                      </w14:textFill>
                    </w:rPr>
                    <w:t>、保温、除渣、</w:t>
                  </w:r>
                  <w:r>
                    <w:rPr>
                      <w:rFonts w:hint="eastAsia"/>
                      <w:color w:val="000000" w:themeColor="text1"/>
                      <w:kern w:val="0"/>
                      <w:szCs w:val="21"/>
                      <w:lang w:bidi="ar"/>
                      <w14:textFill>
                        <w14:solidFill>
                          <w14:schemeClr w14:val="tx1"/>
                        </w14:solidFill>
                      </w14:textFill>
                    </w:rPr>
                    <w:t>浇铸、危废库</w:t>
                  </w:r>
                  <w:r>
                    <w:rPr>
                      <w:rFonts w:hint="eastAsia"/>
                      <w:bCs/>
                      <w:color w:val="000000" w:themeColor="text1"/>
                      <w:kern w:val="0"/>
                      <w:szCs w:val="21"/>
                      <w14:textFill>
                        <w14:solidFill>
                          <w14:schemeClr w14:val="tx1"/>
                        </w14:solidFill>
                      </w14:textFill>
                    </w:rPr>
                    <w:t>）</w:t>
                  </w: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color w:val="000000" w:themeColor="text1"/>
                      <w14:textFill>
                        <w14:solidFill>
                          <w14:schemeClr w14:val="tx1"/>
                        </w14:solidFill>
                      </w14:textFill>
                    </w:rPr>
                    <w:t>颗粒物</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30</w:t>
                  </w:r>
                </w:p>
              </w:tc>
              <w:tc>
                <w:tcPr>
                  <w:tcW w:w="745" w:type="pc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769" w:type="pct"/>
                  <w:vMerge w:val="restar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《铸造工业大气污染物排放标准》（GB39726-2020）</w:t>
                  </w:r>
                  <w:r>
                    <w:rPr>
                      <w:rFonts w:hint="eastAsia"/>
                      <w:color w:val="000000" w:themeColor="text1"/>
                      <w:kern w:val="0"/>
                      <w:szCs w:val="21"/>
                      <w:lang w:bidi="ar"/>
                      <w14:textFill>
                        <w14:solidFill>
                          <w14:schemeClr w14:val="tx1"/>
                        </w14:solidFill>
                      </w14:textFill>
                    </w:rPr>
                    <w:t>表1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902" w:type="pct"/>
                  <w:vMerge w:val="continue"/>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SO</w:t>
                  </w:r>
                  <w:r>
                    <w:rPr>
                      <w:rFonts w:hint="eastAsia"/>
                      <w:color w:val="000000" w:themeColor="text1"/>
                      <w:vertAlign w:val="subscript"/>
                      <w14:textFill>
                        <w14:solidFill>
                          <w14:schemeClr w14:val="tx1"/>
                        </w14:solidFill>
                      </w14:textFill>
                    </w:rPr>
                    <w:t>2</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100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continue"/>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pct"/>
                  <w:vMerge w:val="continue"/>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NOx</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400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continue"/>
                  <w:tcBorders>
                    <w:bottom w:val="single" w:color="auto" w:sz="4" w:space="0"/>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pct"/>
                  <w:vMerge w:val="continue"/>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非甲烷总烃</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60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w:t>
                  </w:r>
                </w:p>
              </w:tc>
              <w:tc>
                <w:tcPr>
                  <w:tcW w:w="1769" w:type="pct"/>
                  <w:vMerge w:val="restar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color w:val="000000" w:themeColor="text1"/>
                      <w:kern w:val="0"/>
                      <w:szCs w:val="21"/>
                      <w:lang w:bidi="ar"/>
                      <w14:textFill>
                        <w14:solidFill>
                          <w14:schemeClr w14:val="tx1"/>
                        </w14:solidFill>
                      </w14:textFill>
                    </w:rPr>
                    <w:t>《大气污染物综合排放标准》（DB32/4041-2021）表1</w:t>
                  </w:r>
                  <w:r>
                    <w:rPr>
                      <w:rFonts w:hint="eastAsia"/>
                      <w:color w:val="000000" w:themeColor="text1"/>
                      <w:kern w:val="0"/>
                      <w:szCs w:val="21"/>
                      <w:lang w:bidi="ar"/>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2" w:type="pct"/>
                  <w:vMerge w:val="continue"/>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氯化氢</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0.18</w:t>
                  </w:r>
                </w:p>
              </w:tc>
              <w:tc>
                <w:tcPr>
                  <w:tcW w:w="1769"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restar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DA002（制芯、锻造件加热、锻造件热处理有机废气）</w:t>
                  </w: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color w:val="000000" w:themeColor="text1"/>
                      <w14:textFill>
                        <w14:solidFill>
                          <w14:schemeClr w14:val="tx1"/>
                        </w14:solidFill>
                      </w14:textFill>
                    </w:rPr>
                    <w:t>颗粒物</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restar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bCs/>
                      <w:color w:val="000000" w:themeColor="text1"/>
                      <w:kern w:val="0"/>
                      <w:szCs w:val="21"/>
                      <w14:textFill>
                        <w14:solidFill>
                          <w14:schemeClr w14:val="tx1"/>
                        </w14:solidFill>
                      </w14:textFill>
                    </w:rPr>
                    <w:t>《工业炉窑大气污染物排放标准》（DB32/3728-2020）表1标准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SO</w:t>
                  </w:r>
                  <w:r>
                    <w:rPr>
                      <w:rFonts w:hint="eastAsia"/>
                      <w:color w:val="000000" w:themeColor="text1"/>
                      <w:vertAlign w:val="subscript"/>
                      <w14:textFill>
                        <w14:solidFill>
                          <w14:schemeClr w14:val="tx1"/>
                        </w14:solidFill>
                      </w14:textFill>
                    </w:rPr>
                    <w:t>2</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80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NOx</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180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烟气黑度</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林格曼黑度1级</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w:t>
                  </w:r>
                </w:p>
              </w:tc>
              <w:tc>
                <w:tcPr>
                  <w:tcW w:w="1769" w:type="pct"/>
                  <w:vMerge w:val="continue"/>
                  <w:tcBorders>
                    <w:bottom w:val="single" w:color="auto" w:sz="4" w:space="0"/>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非甲烷总烃</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60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w:t>
                  </w:r>
                </w:p>
              </w:tc>
              <w:tc>
                <w:tcPr>
                  <w:tcW w:w="1769" w:type="pct"/>
                  <w:vMerge w:val="restar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《大气污染物综合排放标准》（DB32/4041-2021）表1</w:t>
                  </w:r>
                  <w:r>
                    <w:rPr>
                      <w:rFonts w:hint="eastAsia"/>
                      <w:color w:val="000000" w:themeColor="text1"/>
                      <w:kern w:val="0"/>
                      <w:szCs w:val="21"/>
                      <w:lang w:bidi="ar"/>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902" w:type="pct"/>
                  <w:vMerge w:val="continue"/>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甲醛</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0.1</w:t>
                  </w:r>
                </w:p>
              </w:tc>
              <w:tc>
                <w:tcPr>
                  <w:tcW w:w="1769" w:type="pct"/>
                  <w:vMerge w:val="continue"/>
                  <w:tcBorders>
                    <w:bottom w:val="single" w:color="auto" w:sz="4" w:space="0"/>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DA003（铸造件打磨、铸造件抛丸、锻压件抛丸）</w:t>
                  </w:r>
                </w:p>
              </w:tc>
              <w:tc>
                <w:tcPr>
                  <w:tcW w:w="837"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color w:val="000000" w:themeColor="text1"/>
                      <w14:textFill>
                        <w14:solidFill>
                          <w14:schemeClr w14:val="tx1"/>
                        </w14:solidFill>
                      </w14:textFill>
                    </w:rPr>
                    <w:t>颗粒物</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20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1</w:t>
                  </w:r>
                </w:p>
              </w:tc>
              <w:tc>
                <w:tcPr>
                  <w:tcW w:w="1769"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color w:val="000000" w:themeColor="text1"/>
                      <w:kern w:val="0"/>
                      <w:szCs w:val="21"/>
                      <w:lang w:bidi="ar"/>
                      <w14:textFill>
                        <w14:solidFill>
                          <w14:schemeClr w14:val="tx1"/>
                        </w14:solidFill>
                      </w14:textFill>
                    </w:rPr>
                    <w:t>《大气污染物综合排放标准》（DB32/4041-2021）表1</w:t>
                  </w:r>
                  <w:r>
                    <w:rPr>
                      <w:rFonts w:hint="eastAsia"/>
                      <w:color w:val="000000" w:themeColor="text1"/>
                      <w:kern w:val="0"/>
                      <w:szCs w:val="21"/>
                      <w:lang w:bidi="ar"/>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2" w:type="pc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DA004（清洗）</w:t>
                  </w:r>
                </w:p>
              </w:tc>
              <w:tc>
                <w:tcPr>
                  <w:tcW w:w="837" w:type="pct"/>
                  <w:tcBorders>
                    <w:tl2br w:val="nil"/>
                    <w:tr2bl w:val="nil"/>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非甲烷总烃</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60</w:t>
                  </w:r>
                </w:p>
              </w:tc>
              <w:tc>
                <w:tcPr>
                  <w:tcW w:w="745" w:type="pct"/>
                  <w:tcBorders>
                    <w:tl2br w:val="nil"/>
                    <w:tr2bl w:val="nil"/>
                  </w:tcBorders>
                  <w:vAlign w:val="center"/>
                </w:tcPr>
                <w:p>
                  <w:pPr>
                    <w:adjustRightInd w:val="0"/>
                    <w:snapToGrid w:val="0"/>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3</w:t>
                  </w:r>
                </w:p>
              </w:tc>
              <w:tc>
                <w:tcPr>
                  <w:tcW w:w="1769" w:type="pct"/>
                  <w:tcBorders>
                    <w:tl2br w:val="nil"/>
                    <w:tr2bl w:val="nil"/>
                  </w:tcBorders>
                  <w:vAlign w:val="center"/>
                </w:tcPr>
                <w:p>
                  <w:pPr>
                    <w:adjustRightInd w:val="0"/>
                    <w:snapToGrid w:val="0"/>
                    <w:jc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《大气污染物综合排放标准》（DB32/4041-2021）表1</w:t>
                  </w:r>
                  <w:r>
                    <w:rPr>
                      <w:rFonts w:hint="eastAsia"/>
                      <w:color w:val="000000" w:themeColor="text1"/>
                      <w:kern w:val="0"/>
                      <w:szCs w:val="21"/>
                      <w:lang w:bidi="ar"/>
                      <w14:textFill>
                        <w14:solidFill>
                          <w14:schemeClr w14:val="tx1"/>
                        </w14:solidFill>
                      </w14:textFill>
                    </w:rPr>
                    <w:t>标准</w:t>
                  </w:r>
                </w:p>
              </w:tc>
            </w:tr>
          </w:tbl>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表3-1</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厂区内无组织废气排放限值</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78"/>
              <w:gridCol w:w="1589"/>
              <w:gridCol w:w="1474"/>
              <w:gridCol w:w="26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Align w:val="center"/>
                </w:tcPr>
                <w:p>
                  <w:pPr>
                    <w:pStyle w:val="35"/>
                    <w:wordWrap w:val="0"/>
                    <w:topLinePunct/>
                    <w:autoSpaceDE/>
                    <w:autoSpaceDN/>
                    <w:adjustRightInd/>
                    <w:snapToGrid/>
                    <w:ind w:right="0" w:rightChars="0"/>
                    <w:rPr>
                      <w:rFonts w:cs="Times New Roman"/>
                      <w:color w:val="000000" w:themeColor="text1"/>
                      <w:lang w:val="en-US"/>
                      <w14:textFill>
                        <w14:solidFill>
                          <w14:schemeClr w14:val="tx1"/>
                        </w14:solidFill>
                      </w14:textFill>
                    </w:rPr>
                  </w:pPr>
                  <w:r>
                    <w:rPr>
                      <w:rFonts w:cs="Times New Roman"/>
                      <w:color w:val="000000" w:themeColor="text1"/>
                      <w:lang w:val="en-US"/>
                      <w14:textFill>
                        <w14:solidFill>
                          <w14:schemeClr w14:val="tx1"/>
                        </w14:solidFill>
                      </w14:textFill>
                    </w:rPr>
                    <w:t>污染物项目</w:t>
                  </w:r>
                </w:p>
              </w:tc>
              <w:tc>
                <w:tcPr>
                  <w:tcW w:w="640" w:type="pct"/>
                  <w:vAlign w:val="center"/>
                </w:tcPr>
                <w:p>
                  <w:pPr>
                    <w:pStyle w:val="35"/>
                    <w:wordWrap w:val="0"/>
                    <w:topLinePunct/>
                    <w:autoSpaceDE/>
                    <w:autoSpaceDN/>
                    <w:adjustRightInd/>
                    <w:snapToGrid/>
                    <w:ind w:right="0" w:rightChars="0"/>
                    <w:rPr>
                      <w:rFonts w:cs="Times New Roman"/>
                      <w:color w:val="000000" w:themeColor="text1"/>
                      <w:lang w:val="en-US"/>
                      <w14:textFill>
                        <w14:solidFill>
                          <w14:schemeClr w14:val="tx1"/>
                        </w14:solidFill>
                      </w14:textFill>
                    </w:rPr>
                  </w:pPr>
                  <w:r>
                    <w:rPr>
                      <w:rFonts w:cs="Times New Roman"/>
                      <w:color w:val="000000" w:themeColor="text1"/>
                      <w:lang w:val="en-US"/>
                      <w14:textFill>
                        <w14:solidFill>
                          <w14:schemeClr w14:val="tx1"/>
                        </w14:solidFill>
                      </w14:textFill>
                    </w:rPr>
                    <w:t>监控点限值</w:t>
                  </w:r>
                </w:p>
                <w:p>
                  <w:pPr>
                    <w:pStyle w:val="35"/>
                    <w:wordWrap w:val="0"/>
                    <w:topLinePunct/>
                    <w:autoSpaceDE/>
                    <w:autoSpaceDN/>
                    <w:adjustRightInd/>
                    <w:snapToGrid/>
                    <w:ind w:right="0" w:rightChars="0"/>
                    <w:rPr>
                      <w:rFonts w:cs="Times New Roman"/>
                      <w:color w:val="000000" w:themeColor="text1"/>
                      <w:lang w:val="en-US"/>
                      <w14:textFill>
                        <w14:solidFill>
                          <w14:schemeClr w14:val="tx1"/>
                        </w14:solidFill>
                      </w14:textFill>
                    </w:rPr>
                  </w:pPr>
                  <w:r>
                    <w:rPr>
                      <w:rFonts w:cs="Times New Roman"/>
                      <w:color w:val="000000" w:themeColor="text1"/>
                      <w14:textFill>
                        <w14:solidFill>
                          <w14:schemeClr w14:val="tx1"/>
                        </w14:solidFill>
                      </w14:textFill>
                    </w:rPr>
                    <w:t>mg/m</w:t>
                  </w:r>
                  <w:r>
                    <w:rPr>
                      <w:rFonts w:cs="Times New Roman"/>
                      <w:color w:val="000000" w:themeColor="text1"/>
                      <w:vertAlign w:val="superscript"/>
                      <w14:textFill>
                        <w14:solidFill>
                          <w14:schemeClr w14:val="tx1"/>
                        </w14:solidFill>
                      </w14:textFill>
                    </w:rPr>
                    <w:t>3</w:t>
                  </w:r>
                </w:p>
              </w:tc>
              <w:tc>
                <w:tcPr>
                  <w:tcW w:w="1039" w:type="pct"/>
                  <w:vAlign w:val="center"/>
                </w:tcPr>
                <w:p>
                  <w:pPr>
                    <w:pStyle w:val="35"/>
                    <w:wordWrap w:val="0"/>
                    <w:topLinePunct/>
                    <w:autoSpaceDE/>
                    <w:autoSpaceDN/>
                    <w:adjustRightInd/>
                    <w:snapToGrid/>
                    <w:ind w:right="0" w:rightChars="0"/>
                    <w:rPr>
                      <w:rFonts w:cs="Times New Roman"/>
                      <w:bCs/>
                      <w:color w:val="000000" w:themeColor="text1"/>
                      <w:kern w:val="0"/>
                      <w:lang w:val="en-US"/>
                      <w14:textFill>
                        <w14:solidFill>
                          <w14:schemeClr w14:val="tx1"/>
                        </w14:solidFill>
                      </w14:textFill>
                    </w:rPr>
                  </w:pPr>
                  <w:r>
                    <w:rPr>
                      <w:rFonts w:cs="Times New Roman"/>
                      <w:bCs/>
                      <w:color w:val="000000" w:themeColor="text1"/>
                      <w:kern w:val="0"/>
                      <w:lang w:val="en-US"/>
                      <w14:textFill>
                        <w14:solidFill>
                          <w14:schemeClr w14:val="tx1"/>
                        </w14:solidFill>
                      </w14:textFill>
                    </w:rPr>
                    <w:t>限值含义</w:t>
                  </w:r>
                </w:p>
              </w:tc>
              <w:tc>
                <w:tcPr>
                  <w:tcW w:w="964" w:type="pct"/>
                  <w:vAlign w:val="center"/>
                </w:tcPr>
                <w:p>
                  <w:pPr>
                    <w:pStyle w:val="35"/>
                    <w:wordWrap w:val="0"/>
                    <w:topLinePunct/>
                    <w:autoSpaceDE/>
                    <w:autoSpaceDN/>
                    <w:adjustRightInd/>
                    <w:snapToGrid/>
                    <w:ind w:right="0" w:rightChars="0"/>
                    <w:rPr>
                      <w:rFonts w:cs="Times New Roman"/>
                      <w:bCs/>
                      <w:color w:val="000000" w:themeColor="text1"/>
                      <w:kern w:val="0"/>
                      <w:lang w:val="en-US"/>
                      <w14:textFill>
                        <w14:solidFill>
                          <w14:schemeClr w14:val="tx1"/>
                        </w14:solidFill>
                      </w14:textFill>
                    </w:rPr>
                  </w:pPr>
                  <w:r>
                    <w:rPr>
                      <w:rFonts w:cs="Times New Roman"/>
                      <w:bCs/>
                      <w:color w:val="000000" w:themeColor="text1"/>
                      <w:kern w:val="0"/>
                      <w:lang w:val="en-US"/>
                      <w14:textFill>
                        <w14:solidFill>
                          <w14:schemeClr w14:val="tx1"/>
                        </w14:solidFill>
                      </w14:textFill>
                    </w:rPr>
                    <w:t>无组织排放监控位置</w:t>
                  </w:r>
                </w:p>
              </w:tc>
              <w:tc>
                <w:tcPr>
                  <w:tcW w:w="1704" w:type="pct"/>
                  <w:vAlign w:val="center"/>
                </w:tcPr>
                <w:p>
                  <w:pPr>
                    <w:pStyle w:val="35"/>
                    <w:wordWrap w:val="0"/>
                    <w:topLinePunct/>
                    <w:autoSpaceDE/>
                    <w:autoSpaceDN/>
                    <w:adjustRightInd/>
                    <w:snapToGrid/>
                    <w:ind w:right="0" w:rightChars="0"/>
                    <w:rPr>
                      <w:rFonts w:cs="Times New Roman"/>
                      <w:color w:val="000000" w:themeColor="text1"/>
                      <w14:textFill>
                        <w14:solidFill>
                          <w14:schemeClr w14:val="tx1"/>
                        </w14:solidFill>
                      </w14:textFill>
                    </w:rPr>
                  </w:pPr>
                  <w:r>
                    <w:rPr>
                      <w:rFonts w:cs="Times New Roman"/>
                      <w:bCs/>
                      <w:color w:val="000000" w:themeColor="text1"/>
                      <w:kern w:val="0"/>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Merge w:val="restart"/>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r>
                    <w:rPr>
                      <w:rFonts w:cs="Times New Roman"/>
                      <w:b w:val="0"/>
                      <w:bCs/>
                      <w:color w:val="000000" w:themeColor="text1"/>
                      <w:lang w:val="en-US"/>
                      <w14:textFill>
                        <w14:solidFill>
                          <w14:schemeClr w14:val="tx1"/>
                        </w14:solidFill>
                      </w14:textFill>
                    </w:rPr>
                    <w:t>NMHC</w:t>
                  </w:r>
                </w:p>
              </w:tc>
              <w:tc>
                <w:tcPr>
                  <w:tcW w:w="640" w:type="pct"/>
                  <w:vAlign w:val="center"/>
                </w:tcPr>
                <w:p>
                  <w:pPr>
                    <w:widowControl/>
                    <w:adjustRightInd w:val="0"/>
                    <w:snapToGrid w:val="0"/>
                    <w:jc w:val="center"/>
                    <w:rPr>
                      <w:bCs/>
                      <w:color w:val="000000" w:themeColor="text1"/>
                      <w:spacing w:val="5"/>
                      <w:kern w:val="28"/>
                      <w:szCs w:val="21"/>
                      <w:lang w:bidi="zh-CN"/>
                      <w14:textFill>
                        <w14:solidFill>
                          <w14:schemeClr w14:val="tx1"/>
                        </w14:solidFill>
                      </w14:textFill>
                    </w:rPr>
                  </w:pPr>
                  <w:r>
                    <w:rPr>
                      <w:bCs/>
                      <w:color w:val="000000" w:themeColor="text1"/>
                      <w:szCs w:val="21"/>
                      <w14:textFill>
                        <w14:solidFill>
                          <w14:schemeClr w14:val="tx1"/>
                        </w14:solidFill>
                      </w14:textFill>
                    </w:rPr>
                    <w:t>6</w:t>
                  </w:r>
                </w:p>
              </w:tc>
              <w:tc>
                <w:tcPr>
                  <w:tcW w:w="1039"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监控点处1h平均浓度值</w:t>
                  </w:r>
                </w:p>
              </w:tc>
              <w:tc>
                <w:tcPr>
                  <w:tcW w:w="964" w:type="pct"/>
                  <w:vMerge w:val="restar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在厂房外设置监控点</w:t>
                  </w:r>
                </w:p>
              </w:tc>
              <w:tc>
                <w:tcPr>
                  <w:tcW w:w="1704" w:type="pct"/>
                  <w:vMerge w:val="restart"/>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r>
                    <w:rPr>
                      <w:rFonts w:cs="Times New Roman"/>
                      <w:b w:val="0"/>
                      <w:bCs/>
                      <w:color w:val="000000" w:themeColor="text1"/>
                      <w:lang w:val="en-US"/>
                      <w14:textFill>
                        <w14:solidFill>
                          <w14:schemeClr w14:val="tx1"/>
                        </w14:solidFill>
                      </w14:textFill>
                    </w:rPr>
                    <w:t>《大气污染物综合排放标准》（DB32/4041-2021）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50" w:type="pct"/>
                  <w:vMerge w:val="continue"/>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p>
              </w:tc>
              <w:tc>
                <w:tcPr>
                  <w:tcW w:w="640" w:type="pct"/>
                  <w:vAlign w:val="center"/>
                </w:tcPr>
                <w:p>
                  <w:pPr>
                    <w:widowControl/>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w:t>
                  </w:r>
                </w:p>
              </w:tc>
              <w:tc>
                <w:tcPr>
                  <w:tcW w:w="1039"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监控点处任意一次浓度值</w:t>
                  </w:r>
                </w:p>
              </w:tc>
              <w:tc>
                <w:tcPr>
                  <w:tcW w:w="964" w:type="pct"/>
                  <w:vMerge w:val="continue"/>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p>
              </w:tc>
              <w:tc>
                <w:tcPr>
                  <w:tcW w:w="1704" w:type="pct"/>
                  <w:vMerge w:val="continue"/>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0" w:type="pct"/>
                  <w:vAlign w:val="center"/>
                </w:tcPr>
                <w:p>
                  <w:pPr>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颗粒物</w:t>
                  </w:r>
                </w:p>
              </w:tc>
              <w:tc>
                <w:tcPr>
                  <w:tcW w:w="640" w:type="pct"/>
                  <w:vAlign w:val="center"/>
                </w:tcPr>
                <w:p>
                  <w:pPr>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5</w:t>
                  </w:r>
                </w:p>
              </w:tc>
              <w:tc>
                <w:tcPr>
                  <w:tcW w:w="1039" w:type="pct"/>
                  <w:vAlign w:val="center"/>
                </w:tcPr>
                <w:p>
                  <w:pPr>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监控点处1h平均浓度值</w:t>
                  </w:r>
                </w:p>
              </w:tc>
              <w:tc>
                <w:tcPr>
                  <w:tcW w:w="964" w:type="pct"/>
                  <w:vAlign w:val="center"/>
                </w:tcPr>
                <w:p>
                  <w:pPr>
                    <w:adjustRightInd w:val="0"/>
                    <w:snapToGrid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在厂房外设置监控点</w:t>
                  </w:r>
                </w:p>
              </w:tc>
              <w:tc>
                <w:tcPr>
                  <w:tcW w:w="1704"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《工业炉窑大气污染物排放标准》（DB32/3728-</w:t>
                  </w:r>
                  <w:r>
                    <w:rPr>
                      <w:rFonts w:hint="eastAsia" w:cs="Times New Roman"/>
                      <w:b w:val="0"/>
                      <w:bCs/>
                      <w:color w:val="000000" w:themeColor="text1"/>
                      <w:lang w:val="en-US"/>
                      <w14:textFill>
                        <w14:solidFill>
                          <w14:schemeClr w14:val="tx1"/>
                        </w14:solidFill>
                      </w14:textFill>
                    </w:rPr>
                    <w:t>2020</w:t>
                  </w:r>
                  <w:r>
                    <w:rPr>
                      <w:rFonts w:cs="Times New Roman"/>
                      <w:b w:val="0"/>
                      <w:bCs/>
                      <w:color w:val="000000" w:themeColor="text1"/>
                      <w:lang w:val="en-US"/>
                      <w14:textFill>
                        <w14:solidFill>
                          <w14:schemeClr w14:val="tx1"/>
                        </w14:solidFill>
                      </w14:textFill>
                    </w:rPr>
                    <w:t>）表</w:t>
                  </w:r>
                  <w:r>
                    <w:rPr>
                      <w:rFonts w:hint="eastAsia" w:cs="Times New Roman"/>
                      <w:b w:val="0"/>
                      <w:bCs/>
                      <w:color w:val="000000" w:themeColor="text1"/>
                      <w:lang w:val="en-US"/>
                      <w14:textFill>
                        <w14:solidFill>
                          <w14:schemeClr w14:val="tx1"/>
                        </w14:solidFill>
                      </w14:textFill>
                    </w:rPr>
                    <w:t>3</w:t>
                  </w:r>
                  <w:r>
                    <w:rPr>
                      <w:rFonts w:cs="Times New Roman"/>
                      <w:b w:val="0"/>
                      <w:bCs/>
                      <w:color w:val="000000" w:themeColor="text1"/>
                      <w:lang w:val="en-US"/>
                      <w14:textFill>
                        <w14:solidFill>
                          <w14:schemeClr w14:val="tx1"/>
                        </w14:solidFill>
                      </w14:textFill>
                    </w:rPr>
                    <w:t>标准</w:t>
                  </w:r>
                </w:p>
              </w:tc>
            </w:tr>
          </w:tbl>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表3-1</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单位边界无组织废气污染物排放</w:t>
            </w:r>
            <w:r>
              <w:rPr>
                <w:b/>
                <w:color w:val="000000" w:themeColor="text1"/>
                <w:sz w:val="24"/>
                <w:lang w:val="zh-CN"/>
                <w14:textFill>
                  <w14:solidFill>
                    <w14:schemeClr w14:val="tx1"/>
                  </w14:solidFill>
                </w14:textFill>
              </w:rPr>
              <w:t>限值一览表</w:t>
            </w:r>
          </w:p>
          <w:tbl>
            <w:tblPr>
              <w:tblStyle w:val="19"/>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3411"/>
              <w:gridCol w:w="29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7" w:type="pct"/>
                  <w:vAlign w:val="center"/>
                </w:tcPr>
                <w:p>
                  <w:pPr>
                    <w:pStyle w:val="35"/>
                    <w:wordWrap w:val="0"/>
                    <w:topLinePunct/>
                    <w:autoSpaceDE/>
                    <w:autoSpaceDN/>
                    <w:adjustRightInd/>
                    <w:snapToGrid/>
                    <w:ind w:right="0" w:rightChars="0"/>
                    <w:rPr>
                      <w:rFonts w:cs="Times New Roman"/>
                      <w:color w:val="000000" w:themeColor="text1"/>
                      <w14:textFill>
                        <w14:solidFill>
                          <w14:schemeClr w14:val="tx1"/>
                        </w14:solidFill>
                      </w14:textFill>
                    </w:rPr>
                  </w:pPr>
                  <w:r>
                    <w:rPr>
                      <w:rFonts w:cs="Times New Roman"/>
                      <w:color w:val="000000" w:themeColor="text1"/>
                      <w:lang w:val="en-US"/>
                      <w14:textFill>
                        <w14:solidFill>
                          <w14:schemeClr w14:val="tx1"/>
                        </w14:solidFill>
                      </w14:textFill>
                    </w:rPr>
                    <w:t>污染物</w:t>
                  </w:r>
                </w:p>
              </w:tc>
              <w:tc>
                <w:tcPr>
                  <w:tcW w:w="2234" w:type="pct"/>
                  <w:vAlign w:val="center"/>
                </w:tcPr>
                <w:p>
                  <w:pPr>
                    <w:pStyle w:val="35"/>
                    <w:wordWrap w:val="0"/>
                    <w:topLinePunct/>
                    <w:autoSpaceDE/>
                    <w:autoSpaceDN/>
                    <w:adjustRightInd/>
                    <w:snapToGrid/>
                    <w:ind w:right="0" w:right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无组织排放监控浓度限（mg/m</w:t>
                  </w:r>
                  <w:r>
                    <w:rPr>
                      <w:rFonts w:cs="Times New Roman"/>
                      <w:color w:val="000000" w:themeColor="text1"/>
                      <w:vertAlign w:val="superscript"/>
                      <w14:textFill>
                        <w14:solidFill>
                          <w14:schemeClr w14:val="tx1"/>
                        </w14:solidFill>
                      </w14:textFill>
                    </w:rPr>
                    <w:t>3</w:t>
                  </w:r>
                  <w:r>
                    <w:rPr>
                      <w:rFonts w:cs="Times New Roman"/>
                      <w:color w:val="000000" w:themeColor="text1"/>
                      <w14:textFill>
                        <w14:solidFill>
                          <w14:schemeClr w14:val="tx1"/>
                        </w14:solidFill>
                      </w14:textFill>
                    </w:rPr>
                    <w:t>）</w:t>
                  </w:r>
                </w:p>
              </w:tc>
              <w:tc>
                <w:tcPr>
                  <w:tcW w:w="1917" w:type="pct"/>
                  <w:vAlign w:val="center"/>
                </w:tcPr>
                <w:p>
                  <w:pPr>
                    <w:pStyle w:val="35"/>
                    <w:wordWrap w:val="0"/>
                    <w:topLinePunct/>
                    <w:autoSpaceDE/>
                    <w:autoSpaceDN/>
                    <w:adjustRightInd/>
                    <w:snapToGrid/>
                    <w:ind w:right="0" w:rightChars="0"/>
                    <w:rPr>
                      <w:rFonts w:cs="Times New Roman"/>
                      <w:color w:val="000000" w:themeColor="text1"/>
                      <w14:textFill>
                        <w14:solidFill>
                          <w14:schemeClr w14:val="tx1"/>
                        </w14:solidFill>
                      </w14:textFill>
                    </w:rPr>
                  </w:pPr>
                  <w:r>
                    <w:rPr>
                      <w:rFonts w:cs="Times New Roman"/>
                      <w:bCs/>
                      <w:color w:val="000000" w:themeColor="text1"/>
                      <w:kern w:val="0"/>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7" w:type="pct"/>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r>
                    <w:rPr>
                      <w:rFonts w:cs="Times New Roman"/>
                      <w:b w:val="0"/>
                      <w:bCs/>
                      <w:color w:val="000000" w:themeColor="text1"/>
                      <w14:textFill>
                        <w14:solidFill>
                          <w14:schemeClr w14:val="tx1"/>
                        </w14:solidFill>
                      </w14:textFill>
                    </w:rPr>
                    <w:t>颗粒物</w:t>
                  </w:r>
                </w:p>
              </w:tc>
              <w:tc>
                <w:tcPr>
                  <w:tcW w:w="2234"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0.5</w:t>
                  </w:r>
                </w:p>
              </w:tc>
              <w:tc>
                <w:tcPr>
                  <w:tcW w:w="1917" w:type="pct"/>
                  <w:vMerge w:val="restart"/>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r>
                    <w:rPr>
                      <w:rFonts w:cs="Times New Roman"/>
                      <w:b w:val="0"/>
                      <w:bCs/>
                      <w:color w:val="000000" w:themeColor="text1"/>
                      <w:lang w:val="en-US"/>
                      <w14:textFill>
                        <w14:solidFill>
                          <w14:schemeClr w14:val="tx1"/>
                        </w14:solidFill>
                      </w14:textFill>
                    </w:rPr>
                    <w:t>《大气污染物综合排放标准》（DB32/4041-2021）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7" w:type="pct"/>
                  <w:vAlign w:val="center"/>
                </w:tcPr>
                <w:p>
                  <w:pPr>
                    <w:pStyle w:val="35"/>
                    <w:wordWrap w:val="0"/>
                    <w:topLinePunct/>
                    <w:autoSpaceDE/>
                    <w:autoSpaceDN/>
                    <w:adjustRightInd/>
                    <w:snapToGrid/>
                    <w:ind w:right="0" w:rightChars="0"/>
                    <w:rPr>
                      <w:rFonts w:cs="Times New Roman"/>
                      <w:b w:val="0"/>
                      <w:bCs/>
                      <w:color w:val="000000" w:themeColor="text1"/>
                      <w14:textFill>
                        <w14:solidFill>
                          <w14:schemeClr w14:val="tx1"/>
                        </w14:solidFill>
                      </w14:textFill>
                    </w:rPr>
                  </w:pPr>
                  <w:r>
                    <w:rPr>
                      <w:rFonts w:cs="Times New Roman"/>
                      <w:b w:val="0"/>
                      <w:bCs/>
                      <w:color w:val="000000" w:themeColor="text1"/>
                      <w:lang w:val="en-US"/>
                      <w14:textFill>
                        <w14:solidFill>
                          <w14:schemeClr w14:val="tx1"/>
                        </w14:solidFill>
                      </w14:textFill>
                    </w:rPr>
                    <w:t>NMHC</w:t>
                  </w:r>
                </w:p>
              </w:tc>
              <w:tc>
                <w:tcPr>
                  <w:tcW w:w="2234"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cs="Times New Roman"/>
                      <w:b w:val="0"/>
                      <w:bCs/>
                      <w:color w:val="000000" w:themeColor="text1"/>
                      <w:lang w:val="en-US"/>
                      <w14:textFill>
                        <w14:solidFill>
                          <w14:schemeClr w14:val="tx1"/>
                        </w14:solidFill>
                      </w14:textFill>
                    </w:rPr>
                    <w:t>4</w:t>
                  </w:r>
                </w:p>
              </w:tc>
              <w:tc>
                <w:tcPr>
                  <w:tcW w:w="1917" w:type="pct"/>
                  <w:vMerge w:val="continue"/>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7"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hint="eastAsia" w:cs="Times New Roman"/>
                      <w:b w:val="0"/>
                      <w:bCs/>
                      <w:color w:val="000000" w:themeColor="text1"/>
                      <w:lang w:val="en-US"/>
                      <w14:textFill>
                        <w14:solidFill>
                          <w14:schemeClr w14:val="tx1"/>
                        </w14:solidFill>
                      </w14:textFill>
                    </w:rPr>
                    <w:t>氯化氢</w:t>
                  </w:r>
                </w:p>
              </w:tc>
              <w:tc>
                <w:tcPr>
                  <w:tcW w:w="2234"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hint="eastAsia" w:cs="Times New Roman"/>
                      <w:b w:val="0"/>
                      <w:bCs/>
                      <w:color w:val="000000" w:themeColor="text1"/>
                      <w:lang w:val="en-US"/>
                      <w14:textFill>
                        <w14:solidFill>
                          <w14:schemeClr w14:val="tx1"/>
                        </w14:solidFill>
                      </w14:textFill>
                    </w:rPr>
                    <w:t>0.05</w:t>
                  </w:r>
                </w:p>
              </w:tc>
              <w:tc>
                <w:tcPr>
                  <w:tcW w:w="1917" w:type="pct"/>
                  <w:vMerge w:val="continue"/>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7"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hint="eastAsia" w:cs="Times New Roman"/>
                      <w:b w:val="0"/>
                      <w:bCs/>
                      <w:color w:val="000000" w:themeColor="text1"/>
                      <w:lang w:val="en-US"/>
                      <w14:textFill>
                        <w14:solidFill>
                          <w14:schemeClr w14:val="tx1"/>
                        </w14:solidFill>
                      </w14:textFill>
                    </w:rPr>
                    <w:t>甲醛</w:t>
                  </w:r>
                </w:p>
              </w:tc>
              <w:tc>
                <w:tcPr>
                  <w:tcW w:w="2234" w:type="pct"/>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r>
                    <w:rPr>
                      <w:rFonts w:hint="eastAsia" w:cs="Times New Roman"/>
                      <w:b w:val="0"/>
                      <w:bCs/>
                      <w:color w:val="000000" w:themeColor="text1"/>
                      <w:lang w:val="en-US"/>
                      <w14:textFill>
                        <w14:solidFill>
                          <w14:schemeClr w14:val="tx1"/>
                        </w14:solidFill>
                      </w14:textFill>
                    </w:rPr>
                    <w:t>0.05</w:t>
                  </w:r>
                </w:p>
              </w:tc>
              <w:tc>
                <w:tcPr>
                  <w:tcW w:w="1917" w:type="pct"/>
                  <w:vMerge w:val="continue"/>
                  <w:vAlign w:val="center"/>
                </w:tcPr>
                <w:p>
                  <w:pPr>
                    <w:pStyle w:val="35"/>
                    <w:wordWrap w:val="0"/>
                    <w:topLinePunct/>
                    <w:autoSpaceDE/>
                    <w:autoSpaceDN/>
                    <w:adjustRightInd/>
                    <w:snapToGrid/>
                    <w:ind w:right="0" w:rightChars="0"/>
                    <w:rPr>
                      <w:rFonts w:cs="Times New Roman"/>
                      <w:b w:val="0"/>
                      <w:bCs/>
                      <w:color w:val="000000" w:themeColor="text1"/>
                      <w:lang w:val="en-US"/>
                      <w14:textFill>
                        <w14:solidFill>
                          <w14:schemeClr w14:val="tx1"/>
                        </w14:solidFill>
                      </w14:textFill>
                    </w:rPr>
                  </w:pPr>
                </w:p>
              </w:tc>
            </w:tr>
          </w:tbl>
          <w:p>
            <w:pPr>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2、水污染物排放标准</w:t>
            </w:r>
          </w:p>
          <w:p>
            <w:pPr>
              <w:pStyle w:val="8"/>
              <w:snapToGrid/>
              <w:spacing w:before="0" w:after="0" w:line="360" w:lineRule="auto"/>
              <w:ind w:right="0" w:firstLine="480" w:firstLineChars="200"/>
              <w:rPr>
                <w:color w:val="000000" w:themeColor="text1"/>
                <w:kern w:val="2"/>
                <w:sz w:val="24"/>
                <w:szCs w:val="24"/>
                <w14:textFill>
                  <w14:solidFill>
                    <w14:schemeClr w14:val="tx1"/>
                  </w14:solidFill>
                </w14:textFill>
              </w:rPr>
            </w:pPr>
            <w:r>
              <w:rPr>
                <w:color w:val="000000" w:themeColor="text1"/>
                <w:kern w:val="2"/>
                <w:sz w:val="24"/>
                <w:szCs w:val="24"/>
                <w14:textFill>
                  <w14:solidFill>
                    <w14:schemeClr w14:val="tx1"/>
                  </w14:solidFill>
                </w14:textFill>
              </w:rPr>
              <w:t>本项目废水主要为生活污水，生活污水经化粪池处理后达</w:t>
            </w:r>
            <w:r>
              <w:rPr>
                <w:rFonts w:hint="eastAsia"/>
                <w:color w:val="000000" w:themeColor="text1"/>
                <w:kern w:val="2"/>
                <w:sz w:val="24"/>
                <w:szCs w:val="24"/>
                <w:lang w:eastAsia="zh-CN"/>
                <w14:textFill>
                  <w14:solidFill>
                    <w14:schemeClr w14:val="tx1"/>
                  </w14:solidFill>
                </w14:textFill>
              </w:rPr>
              <w:t>启迪浦华（泰州）水务有限公司</w:t>
            </w:r>
            <w:r>
              <w:rPr>
                <w:color w:val="000000" w:themeColor="text1"/>
                <w:kern w:val="2"/>
                <w:sz w:val="24"/>
                <w:szCs w:val="24"/>
                <w14:textFill>
                  <w14:solidFill>
                    <w14:schemeClr w14:val="tx1"/>
                  </w14:solidFill>
                </w14:textFill>
              </w:rPr>
              <w:t>接管标准后接管</w:t>
            </w:r>
            <w:r>
              <w:rPr>
                <w:rFonts w:hint="eastAsia"/>
                <w:color w:val="000000" w:themeColor="text1"/>
                <w:kern w:val="2"/>
                <w:sz w:val="24"/>
                <w:szCs w:val="24"/>
                <w:lang w:eastAsia="zh-CN"/>
                <w14:textFill>
                  <w14:solidFill>
                    <w14:schemeClr w14:val="tx1"/>
                  </w14:solidFill>
                </w14:textFill>
              </w:rPr>
              <w:t>启迪浦华（泰州）水务有限公司</w:t>
            </w:r>
            <w:r>
              <w:rPr>
                <w:color w:val="000000" w:themeColor="text1"/>
                <w:kern w:val="2"/>
                <w:sz w:val="24"/>
                <w:szCs w:val="24"/>
                <w14:textFill>
                  <w14:solidFill>
                    <w14:schemeClr w14:val="tx1"/>
                  </w14:solidFill>
                </w14:textFill>
              </w:rPr>
              <w:t>处理，尾水经许郑河，最终排入新通扬运河。</w:t>
            </w:r>
            <w:r>
              <w:rPr>
                <w:rFonts w:hint="eastAsia"/>
                <w:color w:val="000000" w:themeColor="text1"/>
                <w:kern w:val="2"/>
                <w:sz w:val="24"/>
                <w:szCs w:val="24"/>
                <w:lang w:eastAsia="zh-CN"/>
                <w14:textFill>
                  <w14:solidFill>
                    <w14:schemeClr w14:val="tx1"/>
                  </w14:solidFill>
                </w14:textFill>
              </w:rPr>
              <w:t>启迪浦华（泰州）水务有限公司</w:t>
            </w:r>
            <w:r>
              <w:rPr>
                <w:color w:val="000000" w:themeColor="text1"/>
                <w:kern w:val="2"/>
                <w:sz w:val="24"/>
                <w:szCs w:val="24"/>
                <w14:textFill>
                  <w14:solidFill>
                    <w14:schemeClr w14:val="tx1"/>
                  </w14:solidFill>
                </w14:textFill>
              </w:rPr>
              <w:t>废水接管执行</w:t>
            </w:r>
            <w:r>
              <w:rPr>
                <w:rFonts w:hint="eastAsia"/>
                <w:color w:val="000000" w:themeColor="text1"/>
                <w:kern w:val="2"/>
                <w:sz w:val="24"/>
                <w:szCs w:val="24"/>
                <w:lang w:eastAsia="zh-CN"/>
                <w14:textFill>
                  <w14:solidFill>
                    <w14:schemeClr w14:val="tx1"/>
                  </w14:solidFill>
                </w14:textFill>
              </w:rPr>
              <w:t>启迪浦华（泰州）水务有限公司</w:t>
            </w:r>
            <w:r>
              <w:rPr>
                <w:color w:val="000000" w:themeColor="text1"/>
                <w:kern w:val="2"/>
                <w:sz w:val="24"/>
                <w:szCs w:val="24"/>
                <w14:textFill>
                  <w14:solidFill>
                    <w14:schemeClr w14:val="tx1"/>
                  </w14:solidFill>
                </w14:textFill>
              </w:rPr>
              <w:t>接管标准。污水处理厂尾水排放执行《城镇污水处理厂污染物排放标准》（GB18918-2002）中一级标准的A标准。主要指标详见下表。</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14</w:t>
            </w:r>
            <w:r>
              <w:rPr>
                <w:b/>
                <w:color w:val="000000" w:themeColor="text1"/>
                <w:sz w:val="24"/>
                <w14:textFill>
                  <w14:solidFill>
                    <w14:schemeClr w14:val="tx1"/>
                  </w14:solidFill>
                </w14:textFill>
              </w:rPr>
              <w:t xml:space="preserve">  污水接管及排放标准  单位：mg/L，pH无量纲</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006"/>
              <w:gridCol w:w="821"/>
              <w:gridCol w:w="1486"/>
              <w:gridCol w:w="824"/>
              <w:gridCol w:w="3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658" w:type="pct"/>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污染物名称</w:t>
                  </w:r>
                </w:p>
              </w:tc>
              <w:tc>
                <w:tcPr>
                  <w:tcW w:w="1509" w:type="pct"/>
                  <w:gridSpan w:val="2"/>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接管</w:t>
                  </w:r>
                  <w:r>
                    <w:rPr>
                      <w:b/>
                      <w:bCs/>
                      <w:color w:val="000000" w:themeColor="text1"/>
                      <w:szCs w:val="21"/>
                      <w14:textFill>
                        <w14:solidFill>
                          <w14:schemeClr w14:val="tx1"/>
                        </w14:solidFill>
                      </w14:textFill>
                    </w:rPr>
                    <w:t>标准</w:t>
                  </w:r>
                </w:p>
              </w:tc>
              <w:tc>
                <w:tcPr>
                  <w:tcW w:w="2578" w:type="pct"/>
                  <w:gridSpan w:val="2"/>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最终排放标准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658" w:type="pct"/>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537"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标准值</w:t>
                  </w:r>
                </w:p>
              </w:tc>
              <w:tc>
                <w:tcPr>
                  <w:tcW w:w="972"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标准来源</w:t>
                  </w:r>
                </w:p>
              </w:tc>
              <w:tc>
                <w:tcPr>
                  <w:tcW w:w="539"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标准值</w:t>
                  </w:r>
                </w:p>
              </w:tc>
              <w:tc>
                <w:tcPr>
                  <w:tcW w:w="2039"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1</w:t>
                  </w:r>
                </w:p>
              </w:tc>
              <w:tc>
                <w:tcPr>
                  <w:tcW w:w="658" w:type="pct"/>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pH</w:t>
                  </w:r>
                </w:p>
              </w:tc>
              <w:tc>
                <w:tcPr>
                  <w:tcW w:w="537" w:type="pct"/>
                  <w:vAlign w:val="center"/>
                </w:tcPr>
                <w:p>
                  <w:pPr>
                    <w:widowControl/>
                    <w:adjustRightInd w:val="0"/>
                    <w:snapToGrid w:val="0"/>
                    <w:jc w:val="center"/>
                    <w:rPr>
                      <w:b/>
                      <w:bCs/>
                      <w:color w:val="000000" w:themeColor="text1"/>
                      <w:szCs w:val="21"/>
                      <w14:textFill>
                        <w14:solidFill>
                          <w14:schemeClr w14:val="tx1"/>
                        </w14:solidFill>
                      </w14:textFill>
                    </w:rPr>
                  </w:pPr>
                  <w:r>
                    <w:rPr>
                      <w:color w:val="000000" w:themeColor="text1"/>
                      <w:szCs w:val="20"/>
                      <w14:textFill>
                        <w14:solidFill>
                          <w14:schemeClr w14:val="tx1"/>
                        </w14:solidFill>
                      </w14:textFill>
                    </w:rPr>
                    <w:t>6~9</w:t>
                  </w:r>
                </w:p>
              </w:tc>
              <w:tc>
                <w:tcPr>
                  <w:tcW w:w="972" w:type="pct"/>
                  <w:vMerge w:val="restart"/>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启迪浦华（泰州）水务有限公司</w:t>
                  </w:r>
                  <w:r>
                    <w:rPr>
                      <w:rFonts w:hint="eastAsia"/>
                      <w:color w:val="000000" w:themeColor="text1"/>
                      <w:szCs w:val="21"/>
                      <w14:textFill>
                        <w14:solidFill>
                          <w14:schemeClr w14:val="tx1"/>
                        </w14:solidFill>
                      </w14:textFill>
                    </w:rPr>
                    <w:t>接管标准</w:t>
                  </w:r>
                  <w:r>
                    <w:rPr>
                      <w:color w:val="000000" w:themeColor="text1"/>
                      <w:szCs w:val="21"/>
                      <w14:textFill>
                        <w14:solidFill>
                          <w14:schemeClr w14:val="tx1"/>
                        </w14:solidFill>
                      </w14:textFill>
                    </w:rPr>
                    <w:t>和《污水综合排放标准》（GB8978-1996）三级标准</w:t>
                  </w:r>
                </w:p>
              </w:tc>
              <w:tc>
                <w:tcPr>
                  <w:tcW w:w="539" w:type="pct"/>
                  <w:vAlign w:val="center"/>
                </w:tcPr>
                <w:p>
                  <w:pPr>
                    <w:widowControl/>
                    <w:adjustRightInd w:val="0"/>
                    <w:snapToGrid w:val="0"/>
                    <w:jc w:val="center"/>
                    <w:rPr>
                      <w:b/>
                      <w:bCs/>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6～9</w:t>
                  </w:r>
                </w:p>
              </w:tc>
              <w:tc>
                <w:tcPr>
                  <w:tcW w:w="2039" w:type="pct"/>
                  <w:vMerge w:val="restart"/>
                  <w:vAlign w:val="center"/>
                </w:tcPr>
                <w:p>
                  <w:pPr>
                    <w:widowControl/>
                    <w:adjustRightInd w:val="0"/>
                    <w:snapToGrid w:val="0"/>
                    <w:jc w:val="center"/>
                    <w:rPr>
                      <w:b/>
                      <w:bCs/>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启迪浦华（泰州）水务有限公司</w:t>
                  </w:r>
                  <w:r>
                    <w:rPr>
                      <w:rFonts w:hint="eastAsia"/>
                      <w:color w:val="000000" w:themeColor="text1"/>
                      <w:szCs w:val="21"/>
                      <w14:textFill>
                        <w14:solidFill>
                          <w14:schemeClr w14:val="tx1"/>
                        </w14:solidFill>
                      </w14:textFill>
                    </w:rPr>
                    <w:t>尾水排放标准</w:t>
                  </w:r>
                  <w:r>
                    <w:rPr>
                      <w:color w:val="000000" w:themeColor="text1"/>
                      <w:szCs w:val="21"/>
                      <w14:textFill>
                        <w14:solidFill>
                          <w14:schemeClr w14:val="tx1"/>
                        </w14:solidFill>
                      </w14:textFill>
                    </w:rPr>
                    <w:t>和《城镇污水处理厂污染物排放标准》（GB18918-2002）中一级标准的A标准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58" w:type="pct"/>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tc>
              <w:tc>
                <w:tcPr>
                  <w:tcW w:w="537" w:type="pct"/>
                  <w:vAlign w:val="center"/>
                </w:tcPr>
                <w:p>
                  <w:pPr>
                    <w:adjustRightInd w:val="0"/>
                    <w:snapToGrid w:val="0"/>
                    <w:jc w:val="cente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400</w:t>
                  </w:r>
                </w:p>
              </w:tc>
              <w:tc>
                <w:tcPr>
                  <w:tcW w:w="972"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539"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2039" w:type="pct"/>
                  <w:vMerge w:val="continue"/>
                  <w:vAlign w:val="center"/>
                </w:tcPr>
                <w:p>
                  <w:pPr>
                    <w:adjustRightInd w:val="0"/>
                    <w:snapToGrid w:val="0"/>
                    <w:spacing w:line="320" w:lineRule="exact"/>
                    <w:jc w:val="center"/>
                    <w:rPr>
                      <w:color w:val="000000" w:themeColor="text1"/>
                      <w:szCs w:val="20"/>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58"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w:t>
                  </w:r>
                </w:p>
              </w:tc>
              <w:tc>
                <w:tcPr>
                  <w:tcW w:w="537" w:type="pct"/>
                  <w:vAlign w:val="center"/>
                </w:tcPr>
                <w:p>
                  <w:pPr>
                    <w:adjustRightInd w:val="0"/>
                    <w:snapToGrid w:val="0"/>
                    <w:jc w:val="cente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250</w:t>
                  </w:r>
                </w:p>
              </w:tc>
              <w:tc>
                <w:tcPr>
                  <w:tcW w:w="972"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539"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2039" w:type="pct"/>
                  <w:vMerge w:val="continue"/>
                  <w:vAlign w:val="center"/>
                </w:tcPr>
                <w:p>
                  <w:pPr>
                    <w:widowControl/>
                    <w:adjustRightInd w:val="0"/>
                    <w:snapToGrid w:val="0"/>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58"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氨氮</w:t>
                  </w:r>
                </w:p>
              </w:tc>
              <w:tc>
                <w:tcPr>
                  <w:tcW w:w="537" w:type="pct"/>
                  <w:vAlign w:val="center"/>
                </w:tcPr>
                <w:p>
                  <w:pPr>
                    <w:adjustRightInd w:val="0"/>
                    <w:snapToGrid w:val="0"/>
                    <w:jc w:val="cente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35</w:t>
                  </w:r>
                </w:p>
              </w:tc>
              <w:tc>
                <w:tcPr>
                  <w:tcW w:w="972"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539"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w:t>
                  </w:r>
                </w:p>
              </w:tc>
              <w:tc>
                <w:tcPr>
                  <w:tcW w:w="2039" w:type="pct"/>
                  <w:vMerge w:val="continue"/>
                  <w:vAlign w:val="center"/>
                </w:tcPr>
                <w:p>
                  <w:pPr>
                    <w:widowControl/>
                    <w:adjustRightInd w:val="0"/>
                    <w:snapToGrid w:val="0"/>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58"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TP</w:t>
                  </w:r>
                </w:p>
              </w:tc>
              <w:tc>
                <w:tcPr>
                  <w:tcW w:w="537" w:type="pct"/>
                  <w:vAlign w:val="center"/>
                </w:tcPr>
                <w:p>
                  <w:pPr>
                    <w:adjustRightInd w:val="0"/>
                    <w:snapToGrid w:val="0"/>
                    <w:jc w:val="center"/>
                    <w:rPr>
                      <w:color w:val="000000" w:themeColor="text1"/>
                      <w:szCs w:val="20"/>
                      <w14:textFill>
                        <w14:solidFill>
                          <w14:schemeClr w14:val="tx1"/>
                        </w14:solidFill>
                      </w14:textFill>
                    </w:rPr>
                  </w:pPr>
                  <w:r>
                    <w:rPr>
                      <w:rFonts w:hint="eastAsia"/>
                      <w:color w:val="000000" w:themeColor="text1"/>
                      <w:szCs w:val="20"/>
                      <w14:textFill>
                        <w14:solidFill>
                          <w14:schemeClr w14:val="tx1"/>
                        </w14:solidFill>
                      </w14:textFill>
                    </w:rPr>
                    <w:t>4</w:t>
                  </w:r>
                </w:p>
              </w:tc>
              <w:tc>
                <w:tcPr>
                  <w:tcW w:w="972"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539" w:type="pct"/>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c>
                <w:tcPr>
                  <w:tcW w:w="2039" w:type="pct"/>
                  <w:vMerge w:val="continue"/>
                  <w:vAlign w:val="center"/>
                </w:tcPr>
                <w:p>
                  <w:pPr>
                    <w:adjustRightInd w:val="0"/>
                    <w:snapToGrid w:val="0"/>
                    <w:spacing w:line="320" w:lineRule="exact"/>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65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TN</w:t>
                  </w:r>
                </w:p>
              </w:tc>
              <w:tc>
                <w:tcPr>
                  <w:tcW w:w="537" w:type="pct"/>
                  <w:vAlign w:val="center"/>
                </w:tcPr>
                <w:p>
                  <w:pPr>
                    <w:widowControl/>
                    <w:adjustRightInd w:val="0"/>
                    <w:snapToGrid w:val="0"/>
                    <w:jc w:val="center"/>
                    <w:rPr>
                      <w:color w:val="000000" w:themeColor="text1"/>
                      <w:szCs w:val="21"/>
                      <w14:textFill>
                        <w14:solidFill>
                          <w14:schemeClr w14:val="tx1"/>
                        </w14:solidFill>
                      </w14:textFill>
                    </w:rPr>
                  </w:pPr>
                  <w:r>
                    <w:rPr>
                      <w:rFonts w:hint="eastAsia"/>
                      <w:color w:val="000000" w:themeColor="text1"/>
                      <w:szCs w:val="20"/>
                      <w14:textFill>
                        <w14:solidFill>
                          <w14:schemeClr w14:val="tx1"/>
                        </w14:solidFill>
                      </w14:textFill>
                    </w:rPr>
                    <w:t>45</w:t>
                  </w:r>
                </w:p>
              </w:tc>
              <w:tc>
                <w:tcPr>
                  <w:tcW w:w="972" w:type="pct"/>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539"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c>
                <w:tcPr>
                  <w:tcW w:w="2039" w:type="pct"/>
                  <w:vMerge w:val="continue"/>
                  <w:vAlign w:val="center"/>
                </w:tcPr>
                <w:p>
                  <w:pPr>
                    <w:widowControl/>
                    <w:adjustRightInd w:val="0"/>
                    <w:snapToGrid w:val="0"/>
                    <w:jc w:val="center"/>
                    <w:rPr>
                      <w:color w:val="000000" w:themeColor="text1"/>
                      <w:szCs w:val="21"/>
                      <w14:textFill>
                        <w14:solidFill>
                          <w14:schemeClr w14:val="tx1"/>
                        </w14:solidFill>
                      </w14:textFill>
                    </w:rPr>
                  </w:pPr>
                </w:p>
              </w:tc>
            </w:tr>
          </w:tbl>
          <w:p>
            <w:pPr>
              <w:adjustRightInd w:val="0"/>
              <w:snapToGrid w:val="0"/>
              <w:spacing w:line="360" w:lineRule="auto"/>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注：</w:t>
            </w:r>
            <w:r>
              <w:rPr>
                <w:b/>
                <w:bCs/>
                <w:color w:val="000000" w:themeColor="text1"/>
                <w:sz w:val="18"/>
                <w:szCs w:val="18"/>
                <w14:textFill>
                  <w14:solidFill>
                    <w14:schemeClr w14:val="tx1"/>
                  </w14:solidFill>
                </w14:textFill>
              </w:rPr>
              <w:t>括号外数值为水温＞12℃时的控制指标，括号内数值为水温≤12℃时的控制指标；</w:t>
            </w:r>
          </w:p>
          <w:p>
            <w:pPr>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3、噪声排放标准</w:t>
            </w:r>
          </w:p>
          <w:p>
            <w:pPr>
              <w:adjustRightInd w:val="0"/>
              <w:spacing w:line="360" w:lineRule="auto"/>
              <w:ind w:firstLine="480" w:firstLineChars="200"/>
              <w:rPr>
                <w:b/>
                <w:bCs/>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项目运营期厂界噪声排放执行《工业企业厂界环境噪声排放标准》（GB12348-2008）表1中3类标准，具体标准值见下表。</w:t>
            </w: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表3-</w:t>
            </w:r>
            <w:r>
              <w:rPr>
                <w:rFonts w:hint="eastAsia"/>
                <w:b/>
                <w:color w:val="000000" w:themeColor="text1"/>
                <w:sz w:val="24"/>
                <w14:textFill>
                  <w14:solidFill>
                    <w14:schemeClr w14:val="tx1"/>
                  </w14:solidFill>
                </w14:textFill>
              </w:rPr>
              <w:t>15</w:t>
            </w:r>
            <w:r>
              <w:rPr>
                <w:b/>
                <w:color w:val="000000" w:themeColor="text1"/>
                <w:sz w:val="24"/>
                <w14:textFill>
                  <w14:solidFill>
                    <w14:schemeClr w14:val="tx1"/>
                  </w14:solidFill>
                </w14:textFill>
              </w:rPr>
              <w:t xml:space="preserve">  工业企业厂界噪声标准  单位：dB (A)</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687"/>
              <w:gridCol w:w="46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63" w:type="pct"/>
                  <w:vAlign w:val="center"/>
                </w:tcPr>
                <w:p>
                  <w:pPr>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昼间</w:t>
                  </w:r>
                </w:p>
              </w:tc>
              <w:tc>
                <w:tcPr>
                  <w:tcW w:w="1104" w:type="pct"/>
                  <w:vAlign w:val="center"/>
                </w:tcPr>
                <w:p>
                  <w:pPr>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夜间</w:t>
                  </w:r>
                </w:p>
              </w:tc>
              <w:tc>
                <w:tcPr>
                  <w:tcW w:w="3032" w:type="pct"/>
                  <w:vAlign w:val="center"/>
                </w:tcPr>
                <w:p>
                  <w:pPr>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63" w:type="pct"/>
                  <w:vAlign w:val="center"/>
                </w:tcPr>
                <w:p>
                  <w:pPr>
                    <w:tabs>
                      <w:tab w:val="right" w:leader="dot" w:pos="8303"/>
                    </w:tabs>
                    <w:adjustRightInd w:val="0"/>
                    <w:snapToGrid w:val="0"/>
                    <w:spacing w:line="360" w:lineRule="exact"/>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65</w:t>
                  </w:r>
                </w:p>
              </w:tc>
              <w:tc>
                <w:tcPr>
                  <w:tcW w:w="1104" w:type="pct"/>
                  <w:vAlign w:val="center"/>
                </w:tcPr>
                <w:p>
                  <w:pPr>
                    <w:tabs>
                      <w:tab w:val="right" w:leader="dot" w:pos="8303"/>
                    </w:tabs>
                    <w:adjustRightInd w:val="0"/>
                    <w:snapToGrid w:val="0"/>
                    <w:spacing w:line="360" w:lineRule="exact"/>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55</w:t>
                  </w:r>
                </w:p>
              </w:tc>
              <w:tc>
                <w:tcPr>
                  <w:tcW w:w="3032" w:type="pct"/>
                  <w:vAlign w:val="center"/>
                </w:tcPr>
                <w:p>
                  <w:pPr>
                    <w:adjustRightIn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《工业企业厂界环境噪声排放标准》（GB12348-2008）</w:t>
                  </w:r>
                </w:p>
              </w:tc>
            </w:tr>
          </w:tbl>
          <w:p>
            <w:pPr>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4、固废贮存、处置标准</w:t>
            </w:r>
          </w:p>
          <w:p>
            <w:pPr>
              <w:adjustRightInd w:val="0"/>
              <w:spacing w:line="360" w:lineRule="auto"/>
              <w:ind w:firstLine="480" w:firstLineChars="200"/>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一般工业固体废物贮存、处置执行《一般工业固体废物贮存和填埋污染控制标准》（GB18599-2020）要求。危险废物贮存过程执行《危险废物贮存污染控制标准》（GB18597-2023）等要求。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52" w:hRule="atLeast"/>
          <w:jc w:val="center"/>
        </w:trPr>
        <w:tc>
          <w:tcPr>
            <w:tcW w:w="388" w:type="pct"/>
            <w:vAlign w:val="center"/>
          </w:tcPr>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总量</w:t>
            </w:r>
          </w:p>
          <w:p>
            <w:pPr>
              <w:adjustRightInd w:val="0"/>
              <w:spacing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控制</w:t>
            </w:r>
          </w:p>
          <w:p>
            <w:pPr>
              <w:adjustRightInd w:val="0"/>
              <w:spacing w:line="360" w:lineRule="auto"/>
              <w:jc w:val="center"/>
              <w:rPr>
                <w:color w:val="000000" w:themeColor="text1"/>
                <w:kern w:val="0"/>
                <w:szCs w:val="21"/>
                <w14:textFill>
                  <w14:solidFill>
                    <w14:schemeClr w14:val="tx1"/>
                  </w14:solidFill>
                </w14:textFill>
              </w:rPr>
            </w:pPr>
            <w:r>
              <w:rPr>
                <w:color w:val="000000" w:themeColor="text1"/>
                <w:kern w:val="0"/>
                <w:sz w:val="24"/>
                <w14:textFill>
                  <w14:solidFill>
                    <w14:schemeClr w14:val="tx1"/>
                  </w14:solidFill>
                </w14:textFill>
              </w:rPr>
              <w:t>指标</w:t>
            </w:r>
          </w:p>
        </w:tc>
        <w:tc>
          <w:tcPr>
            <w:tcW w:w="4611" w:type="pct"/>
          </w:tcPr>
          <w:p>
            <w:pPr>
              <w:adjustRightInd w:val="0"/>
              <w:spacing w:line="360" w:lineRule="auto"/>
              <w:ind w:firstLine="482" w:firstLineChars="200"/>
              <w:rPr>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项目总量控制指标如下：</w:t>
            </w:r>
          </w:p>
          <w:p>
            <w:pPr>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建设项目污染物排放总量建议指标见下表。</w:t>
            </w:r>
          </w:p>
          <w:p>
            <w:pPr>
              <w:adjustRightInd w:val="0"/>
              <w:ind w:firstLine="482" w:firstLineChars="200"/>
              <w:jc w:val="center"/>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表3-</w:t>
            </w:r>
            <w:r>
              <w:rPr>
                <w:rFonts w:hint="eastAsia"/>
                <w:b/>
                <w:bCs/>
                <w:color w:val="000000" w:themeColor="text1"/>
                <w:kern w:val="0"/>
                <w:sz w:val="24"/>
                <w14:textFill>
                  <w14:solidFill>
                    <w14:schemeClr w14:val="tx1"/>
                  </w14:solidFill>
                </w14:textFill>
              </w:rPr>
              <w:t>16</w:t>
            </w:r>
            <w:r>
              <w:rPr>
                <w:b/>
                <w:bCs/>
                <w:color w:val="000000" w:themeColor="text1"/>
                <w:kern w:val="0"/>
                <w:sz w:val="24"/>
                <w14:textFill>
                  <w14:solidFill>
                    <w14:schemeClr w14:val="tx1"/>
                  </w14:solidFill>
                </w14:textFill>
              </w:rPr>
              <w:t xml:space="preserve">  建设项目污染物排放总量建议指标表  单位：t/a</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5"/>
              <w:gridCol w:w="772"/>
              <w:gridCol w:w="1672"/>
              <w:gridCol w:w="1050"/>
              <w:gridCol w:w="1050"/>
              <w:gridCol w:w="1285"/>
              <w:gridCol w:w="12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restar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种类</w:t>
                  </w:r>
                </w:p>
              </w:tc>
              <w:tc>
                <w:tcPr>
                  <w:tcW w:w="2444" w:type="dxa"/>
                  <w:gridSpan w:val="2"/>
                  <w:vMerge w:val="restar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污染物名称</w:t>
                  </w:r>
                </w:p>
              </w:tc>
              <w:tc>
                <w:tcPr>
                  <w:tcW w:w="1050" w:type="dxa"/>
                  <w:vMerge w:val="restar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产生量</w:t>
                  </w:r>
                </w:p>
              </w:tc>
              <w:tc>
                <w:tcPr>
                  <w:tcW w:w="1050" w:type="dxa"/>
                  <w:vMerge w:val="restar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削减量</w:t>
                  </w:r>
                </w:p>
              </w:tc>
              <w:tc>
                <w:tcPr>
                  <w:tcW w:w="2583" w:type="dxa"/>
                  <w:gridSpan w:val="2"/>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widowControl/>
                    <w:jc w:val="center"/>
                    <w:textAlignment w:val="center"/>
                    <w:rPr>
                      <w:b/>
                      <w:bCs/>
                      <w:color w:val="000000" w:themeColor="text1"/>
                      <w:kern w:val="0"/>
                      <w:szCs w:val="21"/>
                      <w:lang w:bidi="ar"/>
                      <w14:textFill>
                        <w14:solidFill>
                          <w14:schemeClr w14:val="tx1"/>
                        </w14:solidFill>
                      </w14:textFill>
                    </w:rPr>
                  </w:pPr>
                </w:p>
              </w:tc>
              <w:tc>
                <w:tcPr>
                  <w:tcW w:w="2444" w:type="dxa"/>
                  <w:gridSpan w:val="2"/>
                  <w:vMerge w:val="continue"/>
                  <w:vAlign w:val="center"/>
                </w:tcPr>
                <w:p>
                  <w:pPr>
                    <w:widowControl/>
                    <w:jc w:val="center"/>
                    <w:textAlignment w:val="center"/>
                    <w:rPr>
                      <w:b/>
                      <w:bCs/>
                      <w:color w:val="000000" w:themeColor="text1"/>
                      <w:kern w:val="0"/>
                      <w:szCs w:val="21"/>
                      <w:lang w:bidi="ar"/>
                      <w14:textFill>
                        <w14:solidFill>
                          <w14:schemeClr w14:val="tx1"/>
                        </w14:solidFill>
                      </w14:textFill>
                    </w:rPr>
                  </w:pPr>
                </w:p>
              </w:tc>
              <w:tc>
                <w:tcPr>
                  <w:tcW w:w="1050" w:type="dxa"/>
                  <w:vMerge w:val="continue"/>
                  <w:vAlign w:val="center"/>
                </w:tcPr>
                <w:p>
                  <w:pPr>
                    <w:widowControl/>
                    <w:jc w:val="center"/>
                    <w:textAlignment w:val="center"/>
                    <w:rPr>
                      <w:b/>
                      <w:bCs/>
                      <w:color w:val="000000" w:themeColor="text1"/>
                      <w:kern w:val="0"/>
                      <w:szCs w:val="21"/>
                      <w:lang w:bidi="ar"/>
                      <w14:textFill>
                        <w14:solidFill>
                          <w14:schemeClr w14:val="tx1"/>
                        </w14:solidFill>
                      </w14:textFill>
                    </w:rPr>
                  </w:pPr>
                </w:p>
              </w:tc>
              <w:tc>
                <w:tcPr>
                  <w:tcW w:w="1050" w:type="dxa"/>
                  <w:vMerge w:val="continue"/>
                  <w:vAlign w:val="center"/>
                </w:tcPr>
                <w:p>
                  <w:pPr>
                    <w:widowControl/>
                    <w:jc w:val="center"/>
                    <w:textAlignment w:val="center"/>
                    <w:rPr>
                      <w:b/>
                      <w:bCs/>
                      <w:color w:val="000000" w:themeColor="text1"/>
                      <w:kern w:val="0"/>
                      <w:szCs w:val="21"/>
                      <w:lang w:bidi="ar"/>
                      <w14:textFill>
                        <w14:solidFill>
                          <w14:schemeClr w14:val="tx1"/>
                        </w14:solidFill>
                      </w14:textFill>
                    </w:rPr>
                  </w:pPr>
                </w:p>
              </w:tc>
              <w:tc>
                <w:tcPr>
                  <w:tcW w:w="1285" w:type="dxa"/>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接管处理量</w:t>
                  </w:r>
                </w:p>
              </w:tc>
              <w:tc>
                <w:tcPr>
                  <w:tcW w:w="1298" w:type="dxa"/>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外排环境量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废水</w:t>
                  </w: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废水量</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5400</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5400</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COD</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2.16</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0.324</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1.836</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bookmarkStart w:id="17" w:name="_GoBack"/>
                  <w:bookmarkEnd w:id="17"/>
                  <w:r>
                    <w:rPr>
                      <w:rFonts w:hint="eastAsia"/>
                      <w:color w:val="000000" w:themeColor="text1"/>
                      <w:kern w:val="0"/>
                      <w:szCs w:val="21"/>
                      <w:lang w:bidi="ar"/>
                      <w14:textFill>
                        <w14:solidFill>
                          <w14:schemeClr w14:val="tx1"/>
                        </w14:solidFill>
                      </w14:textFill>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SS</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1.08</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0.108</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0.972</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5"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废气</w:t>
                  </w:r>
                </w:p>
              </w:tc>
              <w:tc>
                <w:tcPr>
                  <w:tcW w:w="77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有组织</w:t>
                  </w: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10.103</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9.836</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SO</w:t>
                  </w:r>
                  <w:r>
                    <w:rPr>
                      <w:color w:val="000000" w:themeColor="text1"/>
                      <w:kern w:val="0"/>
                      <w:szCs w:val="21"/>
                      <w:vertAlign w:val="subscript"/>
                      <w:lang w:bidi="ar"/>
                      <w14:textFill>
                        <w14:solidFill>
                          <w14:schemeClr w14:val="tx1"/>
                        </w14:solidFill>
                      </w14:textFill>
                    </w:rPr>
                    <w:t>2</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0.122</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NO</w:t>
                  </w:r>
                  <w:r>
                    <w:rPr>
                      <w:color w:val="000000" w:themeColor="text1"/>
                      <w:kern w:val="0"/>
                      <w:szCs w:val="21"/>
                      <w:vertAlign w:val="subscript"/>
                      <w:lang w:bidi="ar"/>
                      <w14:textFill>
                        <w14:solidFill>
                          <w14:schemeClr w14:val="tx1"/>
                        </w14:solidFill>
                      </w14:textFill>
                    </w:rPr>
                    <w:t>X</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0.321</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0.321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HCl</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2.949</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2.654</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非甲烷总烃</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0.904</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0.808</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甲醛</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0.0045</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0.0041</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无组织</w:t>
                  </w: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0.322</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0.1013</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HC</w:t>
                  </w:r>
                  <w:r>
                    <w:rPr>
                      <w:rFonts w:hint="eastAsia"/>
                      <w:color w:val="000000" w:themeColor="text1"/>
                      <w:kern w:val="0"/>
                      <w:szCs w:val="21"/>
                      <w:lang w:bidi="ar"/>
                      <w14:textFill>
                        <w14:solidFill>
                          <w14:schemeClr w14:val="tx1"/>
                        </w14:solidFill>
                      </w14:textFill>
                    </w:rPr>
                    <w:t>l</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7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672"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甲醛</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0.0005</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固废</w:t>
                  </w: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1050"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一般工业固废</w:t>
                  </w:r>
                </w:p>
              </w:tc>
              <w:tc>
                <w:tcPr>
                  <w:tcW w:w="1050"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45.53</w:t>
                  </w:r>
                </w:p>
              </w:tc>
              <w:tc>
                <w:tcPr>
                  <w:tcW w:w="1050"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45.53</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5" w:type="dxa"/>
                  <w:vMerge w:val="continue"/>
                  <w:vAlign w:val="center"/>
                </w:tcPr>
                <w:p>
                  <w:pPr>
                    <w:jc w:val="center"/>
                    <w:rPr>
                      <w:color w:val="000000" w:themeColor="text1"/>
                      <w:kern w:val="0"/>
                      <w:szCs w:val="21"/>
                      <w:lang w:bidi="ar"/>
                      <w14:textFill>
                        <w14:solidFill>
                          <w14:schemeClr w14:val="tx1"/>
                        </w14:solidFill>
                      </w14:textFill>
                    </w:rPr>
                  </w:pPr>
                </w:p>
              </w:tc>
              <w:tc>
                <w:tcPr>
                  <w:tcW w:w="2444" w:type="dxa"/>
                  <w:gridSpan w:val="2"/>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危险废物</w:t>
                  </w:r>
                </w:p>
              </w:tc>
              <w:tc>
                <w:tcPr>
                  <w:tcW w:w="1050"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32.488</w:t>
                  </w:r>
                </w:p>
              </w:tc>
              <w:tc>
                <w:tcPr>
                  <w:tcW w:w="1050" w:type="dxa"/>
                  <w:vAlign w:val="center"/>
                </w:tcPr>
                <w:p>
                  <w:pPr>
                    <w:widowControl/>
                    <w:jc w:val="center"/>
                    <w:textAlignment w:val="center"/>
                    <w:rPr>
                      <w:rFonts w:hint="default" w:eastAsia="宋体"/>
                      <w:color w:val="0000FF"/>
                      <w:kern w:val="0"/>
                      <w:szCs w:val="21"/>
                      <w:lang w:val="en-US" w:eastAsia="zh-CN" w:bidi="ar"/>
                    </w:rPr>
                  </w:pPr>
                  <w:r>
                    <w:rPr>
                      <w:rFonts w:hint="eastAsia"/>
                      <w:color w:val="0000FF"/>
                      <w:kern w:val="0"/>
                      <w:szCs w:val="21"/>
                      <w:lang w:val="en-US" w:eastAsia="zh-CN" w:bidi="ar"/>
                    </w:rPr>
                    <w:t>32.488</w:t>
                  </w:r>
                </w:p>
              </w:tc>
              <w:tc>
                <w:tcPr>
                  <w:tcW w:w="1285"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w:t>
                  </w:r>
                </w:p>
              </w:tc>
              <w:tc>
                <w:tcPr>
                  <w:tcW w:w="129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r>
          </w:tbl>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项目总量平衡方案如下：</w:t>
            </w:r>
          </w:p>
          <w:p>
            <w:pPr>
              <w:wordWrap w:val="0"/>
              <w:topLinePunct/>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废气：本项目有组织颗粒物、</w:t>
            </w:r>
            <w:r>
              <w:rPr>
                <w:rFonts w:hint="eastAsia"/>
                <w:snapToGrid w:val="0"/>
                <w:color w:val="000000" w:themeColor="text1"/>
                <w:kern w:val="0"/>
                <w:sz w:val="24"/>
                <w14:textFill>
                  <w14:solidFill>
                    <w14:schemeClr w14:val="tx1"/>
                  </w14:solidFill>
                </w14:textFill>
              </w:rPr>
              <w:t>非甲烷总烃</w:t>
            </w:r>
            <w:r>
              <w:rPr>
                <w:snapToGrid w:val="0"/>
                <w:color w:val="000000" w:themeColor="text1"/>
                <w:kern w:val="0"/>
                <w:sz w:val="24"/>
                <w14:textFill>
                  <w14:solidFill>
                    <w14:schemeClr w14:val="tx1"/>
                  </w14:solidFill>
                </w14:textFill>
              </w:rPr>
              <w:t>、</w:t>
            </w:r>
            <w:r>
              <w:rPr>
                <w:rFonts w:hint="eastAsia"/>
                <w:snapToGrid w:val="0"/>
                <w:color w:val="000000" w:themeColor="text1"/>
                <w:kern w:val="0"/>
                <w:sz w:val="24"/>
                <w14:textFill>
                  <w14:solidFill>
                    <w14:schemeClr w14:val="tx1"/>
                  </w14:solidFill>
                </w14:textFill>
              </w:rPr>
              <w:t>SO</w:t>
            </w:r>
            <w:r>
              <w:rPr>
                <w:rFonts w:hint="eastAsia"/>
                <w:snapToGrid w:val="0"/>
                <w:color w:val="000000" w:themeColor="text1"/>
                <w:kern w:val="0"/>
                <w:sz w:val="24"/>
                <w:vertAlign w:val="subscript"/>
                <w14:textFill>
                  <w14:solidFill>
                    <w14:schemeClr w14:val="tx1"/>
                  </w14:solidFill>
                </w14:textFill>
              </w:rPr>
              <w:t>2</w:t>
            </w:r>
            <w:r>
              <w:rPr>
                <w:rFonts w:hint="eastAsia"/>
                <w:snapToGrid w:val="0"/>
                <w:color w:val="000000" w:themeColor="text1"/>
                <w:kern w:val="0"/>
                <w:sz w:val="24"/>
                <w14:textFill>
                  <w14:solidFill>
                    <w14:schemeClr w14:val="tx1"/>
                  </w14:solidFill>
                </w14:textFill>
              </w:rPr>
              <w:t>、NO</w:t>
            </w:r>
            <w:r>
              <w:rPr>
                <w:rFonts w:hint="eastAsia"/>
                <w:snapToGrid w:val="0"/>
                <w:color w:val="000000" w:themeColor="text1"/>
                <w:kern w:val="0"/>
                <w:sz w:val="24"/>
                <w:vertAlign w:val="subscript"/>
                <w14:textFill>
                  <w14:solidFill>
                    <w14:schemeClr w14:val="tx1"/>
                  </w14:solidFill>
                </w14:textFill>
              </w:rPr>
              <w:t>X</w:t>
            </w:r>
            <w:r>
              <w:rPr>
                <w:color w:val="000000" w:themeColor="text1"/>
                <w:sz w:val="24"/>
                <w14:textFill>
                  <w14:solidFill>
                    <w14:schemeClr w14:val="tx1"/>
                  </w14:solidFill>
                </w14:textFill>
              </w:rPr>
              <w:t>，向泰州</w:t>
            </w:r>
            <w:r>
              <w:rPr>
                <w:rFonts w:hint="eastAsia"/>
                <w:color w:val="000000" w:themeColor="text1"/>
                <w:sz w:val="24"/>
                <w14:textFill>
                  <w14:solidFill>
                    <w14:schemeClr w14:val="tx1"/>
                  </w14:solidFill>
                </w14:textFill>
              </w:rPr>
              <w:t>市海陵</w:t>
            </w:r>
            <w:r>
              <w:rPr>
                <w:color w:val="000000" w:themeColor="text1"/>
                <w:sz w:val="24"/>
                <w14:textFill>
                  <w14:solidFill>
                    <w14:schemeClr w14:val="tx1"/>
                  </w14:solidFill>
                </w14:textFill>
              </w:rPr>
              <w:t>生态环境局申请总量</w:t>
            </w:r>
            <w:r>
              <w:rPr>
                <w:snapToGrid w:val="0"/>
                <w:color w:val="000000" w:themeColor="text1"/>
                <w:kern w:val="0"/>
                <w:sz w:val="24"/>
                <w14:textFill>
                  <w14:solidFill>
                    <w14:schemeClr w14:val="tx1"/>
                  </w14:solidFill>
                </w14:textFill>
              </w:rPr>
              <w:t>。</w:t>
            </w:r>
          </w:p>
          <w:p>
            <w:pPr>
              <w:pStyle w:val="38"/>
              <w:widowControl w:val="0"/>
              <w:wordWrap w:val="0"/>
              <w:topLinePunct/>
              <w:snapToGrid/>
              <w:spacing w:before="0" w:after="0" w:line="360" w:lineRule="auto"/>
              <w:ind w:right="0" w:firstLine="480" w:firstLineChars="200"/>
              <w:jc w:val="left"/>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废水：</w:t>
            </w:r>
            <w:r>
              <w:rPr>
                <w:color w:val="000000" w:themeColor="text1"/>
                <w:sz w:val="24"/>
                <w:szCs w:val="24"/>
                <w14:textFill>
                  <w14:solidFill>
                    <w14:schemeClr w14:val="tx1"/>
                  </w14:solidFill>
                </w14:textFill>
              </w:rPr>
              <w:t>废水总量在</w:t>
            </w:r>
            <w:r>
              <w:rPr>
                <w:rFonts w:hint="eastAsia"/>
                <w:color w:val="000000" w:themeColor="text1"/>
                <w:sz w:val="24"/>
                <w:szCs w:val="24"/>
                <w:lang w:eastAsia="zh-CN"/>
                <w14:textFill>
                  <w14:solidFill>
                    <w14:schemeClr w14:val="tx1"/>
                  </w14:solidFill>
                </w14:textFill>
              </w:rPr>
              <w:t>启迪浦华（泰州）水务有限公司</w:t>
            </w:r>
            <w:r>
              <w:rPr>
                <w:color w:val="000000" w:themeColor="text1"/>
                <w:sz w:val="24"/>
                <w:szCs w:val="24"/>
                <w14:textFill>
                  <w14:solidFill>
                    <w14:schemeClr w14:val="tx1"/>
                  </w14:solidFill>
                </w14:textFill>
              </w:rPr>
              <w:t>总量中平衡</w:t>
            </w:r>
            <w:r>
              <w:rPr>
                <w:snapToGrid w:val="0"/>
                <w:color w:val="000000" w:themeColor="text1"/>
                <w:sz w:val="24"/>
                <w:szCs w:val="24"/>
                <w14:textFill>
                  <w14:solidFill>
                    <w14:schemeClr w14:val="tx1"/>
                  </w14:solidFill>
                </w14:textFill>
              </w:rPr>
              <w:t>。</w:t>
            </w:r>
          </w:p>
          <w:p>
            <w:pPr>
              <w:pStyle w:val="38"/>
              <w:widowControl w:val="0"/>
              <w:wordWrap w:val="0"/>
              <w:topLinePunct/>
              <w:snapToGrid/>
              <w:spacing w:before="0" w:after="0" w:line="360" w:lineRule="auto"/>
              <w:ind w:right="0" w:firstLine="480" w:firstLineChars="200"/>
              <w:jc w:val="left"/>
              <w:rPr>
                <w:color w:val="000000" w:themeColor="text1"/>
                <w:szCs w:val="21"/>
                <w14:textFill>
                  <w14:solidFill>
                    <w14:schemeClr w14:val="tx1"/>
                  </w14:solidFill>
                </w14:textFill>
              </w:rPr>
            </w:pPr>
            <w:r>
              <w:rPr>
                <w:snapToGrid w:val="0"/>
                <w:color w:val="000000" w:themeColor="text1"/>
                <w:sz w:val="24"/>
                <w:szCs w:val="24"/>
                <w14:textFill>
                  <w14:solidFill>
                    <w14:schemeClr w14:val="tx1"/>
                  </w14:solidFill>
                </w14:textFill>
              </w:rPr>
              <w:t>固体废物：固体废物均能得到有效</w:t>
            </w:r>
            <w:r>
              <w:rPr>
                <w:rFonts w:hint="eastAsia"/>
                <w:snapToGrid w:val="0"/>
                <w:color w:val="000000" w:themeColor="text1"/>
                <w:sz w:val="24"/>
                <w:szCs w:val="24"/>
                <w14:textFill>
                  <w14:solidFill>
                    <w14:schemeClr w14:val="tx1"/>
                  </w14:solidFill>
                </w14:textFill>
              </w:rPr>
              <w:t>地</w:t>
            </w:r>
            <w:r>
              <w:rPr>
                <w:snapToGrid w:val="0"/>
                <w:color w:val="000000" w:themeColor="text1"/>
                <w:sz w:val="24"/>
                <w:szCs w:val="24"/>
                <w14:textFill>
                  <w14:solidFill>
                    <w14:schemeClr w14:val="tx1"/>
                  </w14:solidFill>
                </w14:textFill>
              </w:rPr>
              <w:t>利用和处置，固废实现“零”排放，不申请总量</w:t>
            </w:r>
            <w:r>
              <w:rPr>
                <w:color w:val="000000" w:themeColor="text1"/>
                <w:kern w:val="2"/>
                <w:sz w:val="24"/>
                <w:szCs w:val="24"/>
                <w14:textFill>
                  <w14:solidFill>
                    <w14:schemeClr w14:val="tx1"/>
                  </w14:solidFill>
                </w14:textFill>
              </w:rPr>
              <w:t>。</w:t>
            </w:r>
          </w:p>
        </w:tc>
      </w:tr>
    </w:tbl>
    <w:p>
      <w:pPr>
        <w:pStyle w:val="8"/>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17"/>
        <w:jc w:val="center"/>
        <w:outlineLvl w:val="0"/>
        <w:rPr>
          <w:rFonts w:ascii="Times New Roman" w:hAnsi="Times New Roman"/>
          <w:snapToGrid w:val="0"/>
          <w:color w:val="000000" w:themeColor="text1"/>
          <w:sz w:val="30"/>
          <w:szCs w:val="30"/>
          <w14:textFill>
            <w14:solidFill>
              <w14:schemeClr w14:val="tx1"/>
            </w14:solidFill>
          </w14:textFill>
        </w:rPr>
      </w:pPr>
      <w:bookmarkStart w:id="7" w:name="_Toc26328"/>
      <w:bookmarkStart w:id="8" w:name="_Toc4355"/>
      <w:r>
        <w:rPr>
          <w:rFonts w:ascii="Times New Roman" w:hAnsi="Times New Roman"/>
          <w:snapToGrid w:val="0"/>
          <w:color w:val="000000" w:themeColor="text1"/>
          <w:sz w:val="30"/>
          <w:szCs w:val="30"/>
          <w14:textFill>
            <w14:solidFill>
              <w14:schemeClr w14:val="tx1"/>
            </w14:solidFill>
          </w14:textFill>
        </w:rPr>
        <w:t>四、主要环境影响和保护措施</w:t>
      </w:r>
      <w:bookmarkEnd w:id="7"/>
      <w:bookmarkEnd w:id="8"/>
    </w:p>
    <w:tbl>
      <w:tblPr>
        <w:tblStyle w:val="19"/>
        <w:tblW w:w="88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tcMar>
              <w:left w:w="28" w:type="dxa"/>
              <w:right w:w="28" w:type="dxa"/>
            </w:tcMar>
            <w:vAlign w:val="center"/>
          </w:tcPr>
          <w:p>
            <w:pPr>
              <w:pStyle w:val="17"/>
              <w:adjustRightInd w:val="0"/>
              <w:spacing w:before="0" w:beforeAutospacing="0" w:after="0" w:afterAutospacing="0" w:line="360" w:lineRule="auto"/>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施工</w:t>
            </w:r>
          </w:p>
          <w:p>
            <w:pPr>
              <w:pStyle w:val="17"/>
              <w:adjustRightInd w:val="0"/>
              <w:spacing w:before="0" w:beforeAutospacing="0" w:after="0" w:afterAutospacing="0" w:line="360" w:lineRule="auto"/>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期环</w:t>
            </w:r>
          </w:p>
          <w:p>
            <w:pPr>
              <w:pStyle w:val="17"/>
              <w:adjustRightInd w:val="0"/>
              <w:spacing w:before="0" w:beforeAutospacing="0" w:after="0" w:afterAutospacing="0" w:line="360" w:lineRule="auto"/>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境保</w:t>
            </w:r>
          </w:p>
          <w:p>
            <w:pPr>
              <w:pStyle w:val="17"/>
              <w:adjustRightInd w:val="0"/>
              <w:spacing w:before="0" w:beforeAutospacing="0" w:after="0" w:afterAutospacing="0" w:line="360" w:lineRule="auto"/>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护措</w:t>
            </w:r>
          </w:p>
          <w:p>
            <w:pPr>
              <w:pStyle w:val="17"/>
              <w:adjustRightInd w:val="0"/>
              <w:spacing w:before="0" w:beforeAutospacing="0" w:after="0" w:afterAutospacing="0" w:line="360" w:lineRule="auto"/>
              <w:jc w:val="center"/>
              <w:rPr>
                <w:rFonts w:ascii="Times New Roman" w:hAnsi="Times New Roman"/>
                <w:bCs/>
                <w:color w:val="000000" w:themeColor="text1"/>
                <w:kern w:val="2"/>
                <w:sz w:val="21"/>
                <w:szCs w:val="21"/>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w:t>
            </w:r>
          </w:p>
        </w:tc>
        <w:tc>
          <w:tcPr>
            <w:tcW w:w="8162" w:type="dxa"/>
            <w:vAlign w:val="center"/>
          </w:tcPr>
          <w:p>
            <w:pPr>
              <w:wordWrap w:val="0"/>
              <w:topLinePunct/>
              <w:spacing w:line="360" w:lineRule="auto"/>
              <w:ind w:firstLine="480" w:firstLineChars="200"/>
              <w:rPr>
                <w:color w:val="000000" w:themeColor="text1"/>
                <w14:textFill>
                  <w14:solidFill>
                    <w14:schemeClr w14:val="tx1"/>
                  </w14:solidFill>
                </w14:textFill>
              </w:rPr>
            </w:pPr>
            <w:r>
              <w:rPr>
                <w:color w:val="000000" w:themeColor="text1"/>
                <w:sz w:val="24"/>
                <w14:textFill>
                  <w14:solidFill>
                    <w14:schemeClr w14:val="tx1"/>
                  </w14:solidFill>
                </w14:textFill>
              </w:rPr>
              <w:t>项目施工期间主要建设内容为：设备采购及安装，“三废”处置设施的建设等，对周围环境的影响较小，本项目不展开分析。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703" w:type="dxa"/>
            <w:tcMar>
              <w:left w:w="28" w:type="dxa"/>
              <w:right w:w="28" w:type="dxa"/>
            </w:tcMar>
            <w:vAlign w:val="center"/>
          </w:tcPr>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pStyle w:val="17"/>
              <w:adjustRightInd w:val="0"/>
              <w:spacing w:before="0" w:beforeAutospacing="0" w:after="0" w:afterAutospacing="0" w:line="360" w:lineRule="auto"/>
              <w:jc w:val="center"/>
              <w:rPr>
                <w:rFonts w:ascii="Times New Roman" w:hAnsi="Times New Roman"/>
                <w:color w:val="000000" w:themeColor="text1"/>
                <w:kern w:val="2"/>
                <w:szCs w:val="24"/>
                <w14:textFill>
                  <w14:solidFill>
                    <w14:schemeClr w14:val="tx1"/>
                  </w14:solidFill>
                </w14:textFill>
              </w:rPr>
            </w:pPr>
            <w:r>
              <w:rPr>
                <w:rFonts w:ascii="Times New Roman" w:hAnsi="Times New Roman"/>
                <w:bCs/>
                <w:color w:val="000000" w:themeColor="text1"/>
                <w14:textFill>
                  <w14:solidFill>
                    <w14:schemeClr w14:val="tx1"/>
                  </w14:solidFill>
                </w14:textFill>
              </w:rPr>
              <w:t>措施</w:t>
            </w:r>
          </w:p>
        </w:tc>
        <w:tc>
          <w:tcPr>
            <w:tcW w:w="8162" w:type="dxa"/>
            <w:vAlign w:val="center"/>
          </w:tcPr>
          <w:p>
            <w:pPr>
              <w:adjustRightInd w:val="0"/>
              <w:snapToGrid w:val="0"/>
              <w:spacing w:before="156" w:beforeLines="50"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一、大气环境影响和保护措施</w:t>
            </w:r>
          </w:p>
          <w:p>
            <w:pPr>
              <w:adjustRightInd w:val="0"/>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1、废气源强分析及核算</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本项目运营期废气环境影响和保护措施详见《泰州英格伟精密机械有限公司汽车零部件及高端装备国际配套零部件项目大气专项评价》，主要结论如下：</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（1）污染防治措施及可行性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熔化、保温、熔化、除渣、浇铸废气收集经碱性喷淋塔+干式过滤+布袋除尘器+二级活性炭处置后引至15m高排气筒DA001排放；制芯、热处理、加热废气收集经喷淋洗涤塔+干式过滤+布袋除尘器+二级活性炭处置后引至15m高排气筒DA002排放；打磨、抛丸废气收集经布袋除尘器、设备自带袋式除尘器处置后引至15m高排气筒DA003排放；清洗废气收集后经二级活性炭处置后引至15m高排气筒DA004排放；危废库废气经二级活性炭吸附后引至15m高排气筒</w:t>
            </w:r>
            <w:r>
              <w:rPr>
                <w:color w:val="000000" w:themeColor="text1"/>
                <w:sz w:val="24"/>
                <w14:textFill>
                  <w14:solidFill>
                    <w14:schemeClr w14:val="tx1"/>
                  </w14:solidFill>
                </w14:textFill>
              </w:rPr>
              <w:t>DA</w:t>
            </w:r>
            <w:r>
              <w:rPr>
                <w:rFonts w:hint="eastAsia"/>
                <w:color w:val="000000" w:themeColor="text1"/>
                <w:sz w:val="24"/>
                <w14:textFill>
                  <w14:solidFill>
                    <w14:schemeClr w14:val="tx1"/>
                  </w14:solidFill>
                </w14:textFill>
              </w:rPr>
              <w:t>001排放。</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根据《排污许可证申请与核发技术规范-金属铸造工业》（HJ1115—2020）及《铸造工业大气污染防治可行技术指南》（HJ 1292-2023），本项目环保工程均为可行技术。从建设规模的角度考虑，项目废气所采取的治理措施，投资费用大概为140万元，占项目总投资的1.3%，占整个工程投资的比例较低，运行费用也不高。综上所述，可以认为本项目采取的废气治理措施在技术、经济上都是可行的。</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（2）达标排放和污染物控制</w:t>
            </w:r>
          </w:p>
          <w:p>
            <w:pPr>
              <w:snapToGrid w:val="0"/>
              <w:spacing w:line="360" w:lineRule="auto"/>
              <w:ind w:firstLine="480" w:firstLineChars="200"/>
              <w:rPr>
                <w:color w:val="000000" w:themeColor="text1"/>
                <w:kern w:val="0"/>
                <w:szCs w:val="21"/>
                <w:lang w:bidi="ar"/>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1 \* GB3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项目运营期DA001所排放的颗粒物、SO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、NOx执行</w:t>
            </w:r>
            <w:r>
              <w:rPr>
                <w:color w:val="000000" w:themeColor="text1"/>
                <w:kern w:val="0"/>
                <w:sz w:val="24"/>
                <w:lang w:bidi="ar"/>
                <w14:textFill>
                  <w14:solidFill>
                    <w14:schemeClr w14:val="tx1"/>
                  </w14:solidFill>
                </w14:textFill>
              </w:rPr>
              <w:t>《铸造工业大气污染物排放标准》（GB39726-2020）表1标准，</w:t>
            </w:r>
            <w:r>
              <w:rPr>
                <w:color w:val="000000" w:themeColor="text1"/>
                <w:sz w:val="24"/>
                <w14:textFill>
                  <w14:solidFill>
                    <w14:schemeClr w14:val="tx1"/>
                  </w14:solidFill>
                </w14:textFill>
              </w:rPr>
              <w:t>非甲烷总烃、氯化氢执行</w:t>
            </w:r>
            <w:r>
              <w:rPr>
                <w:color w:val="000000" w:themeColor="text1"/>
                <w:kern w:val="0"/>
                <w:sz w:val="24"/>
                <w:lang w:bidi="ar"/>
                <w14:textFill>
                  <w14:solidFill>
                    <w14:schemeClr w14:val="tx1"/>
                  </w14:solidFill>
                </w14:textFill>
              </w:rPr>
              <w:t>《大气污染物综合排放标准》（DB32/4041-2021）表1标准；DA002所排放的</w:t>
            </w:r>
            <w:r>
              <w:rPr>
                <w:color w:val="000000" w:themeColor="text1"/>
                <w:sz w:val="24"/>
                <w14:textFill>
                  <w14:solidFill>
                    <w14:schemeClr w14:val="tx1"/>
                  </w14:solidFill>
                </w14:textFill>
              </w:rPr>
              <w:t>颗粒物、SO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、NOx执行</w:t>
            </w:r>
            <w:r>
              <w:rPr>
                <w:bCs/>
                <w:color w:val="000000" w:themeColor="text1"/>
                <w:kern w:val="0"/>
                <w:sz w:val="24"/>
                <w14:textFill>
                  <w14:solidFill>
                    <w14:schemeClr w14:val="tx1"/>
                  </w14:solidFill>
                </w14:textFill>
              </w:rPr>
              <w:t>《工业炉窑大气污染物排放标准》（DB32/3728-2020）表1标准，非甲烷总烃、甲醛执行</w:t>
            </w:r>
            <w:r>
              <w:rPr>
                <w:color w:val="000000" w:themeColor="text1"/>
                <w:kern w:val="0"/>
                <w:sz w:val="24"/>
                <w:lang w:bidi="ar"/>
                <w14:textFill>
                  <w14:solidFill>
                    <w14:schemeClr w14:val="tx1"/>
                  </w14:solidFill>
                </w14:textFill>
              </w:rPr>
              <w:t>《大气污染物综合排放标准》（DB32/4041-2021）表1标准；DA003、DA004所排放的</w:t>
            </w:r>
            <w:r>
              <w:rPr>
                <w:color w:val="000000" w:themeColor="text1"/>
                <w:sz w:val="24"/>
                <w14:textFill>
                  <w14:solidFill>
                    <w14:schemeClr w14:val="tx1"/>
                  </w14:solidFill>
                </w14:textFill>
              </w:rPr>
              <w:t>颗粒物、非甲烷总烃执行</w:t>
            </w:r>
            <w:r>
              <w:rPr>
                <w:color w:val="000000" w:themeColor="text1"/>
                <w:kern w:val="0"/>
                <w:sz w:val="24"/>
                <w:lang w:bidi="ar"/>
                <w14:textFill>
                  <w14:solidFill>
                    <w14:schemeClr w14:val="tx1"/>
                  </w14:solidFill>
                </w14:textFill>
              </w:rPr>
              <w:t>《大气污染物综合排放标准》（DB32/4041-2021）表1标准。</w:t>
            </w:r>
          </w:p>
          <w:p>
            <w:pPr>
              <w:snapToGrid w:val="0"/>
              <w:spacing w:line="360" w:lineRule="auto"/>
              <w:ind w:firstLine="480" w:firstLineChars="200"/>
              <w:rPr>
                <w:bCs/>
                <w:color w:val="000000" w:themeColor="text1"/>
                <w:sz w:val="24"/>
                <w14:textFill>
                  <w14:solidFill>
                    <w14:schemeClr w14:val="tx1"/>
                  </w14:solidFill>
                </w14:textFill>
              </w:rPr>
            </w:pPr>
            <w:r>
              <w:rPr>
                <w:color w:val="000000" w:themeColor="text1"/>
                <w:kern w:val="0"/>
                <w:sz w:val="24"/>
                <w:lang w:bidi="ar"/>
                <w14:textFill>
                  <w14:solidFill>
                    <w14:schemeClr w14:val="tx1"/>
                  </w14:solidFill>
                </w14:textFill>
              </w:rPr>
              <w:t>项目运营期甲醛、非甲烷总烃、颗粒物、HCl厂界无组织排放满足《大气污染物综合排放标准》（DB 32/4041-2021）表3标准限值；非甲烷总烃厂区内排放满足</w:t>
            </w:r>
            <w:r>
              <w:rPr>
                <w:bCs/>
                <w:color w:val="000000" w:themeColor="text1"/>
                <w:sz w:val="24"/>
                <w14:textFill>
                  <w14:solidFill>
                    <w14:schemeClr w14:val="tx1"/>
                  </w14:solidFill>
                </w14:textFill>
              </w:rPr>
              <w:t>《大气污染物综合排放标准》（DB32/4041-2021）</w:t>
            </w:r>
            <w:r>
              <w:rPr>
                <w:color w:val="000000" w:themeColor="text1"/>
                <w:sz w:val="24"/>
                <w14:textFill>
                  <w14:solidFill>
                    <w14:schemeClr w14:val="tx1"/>
                  </w14:solidFill>
                </w14:textFill>
              </w:rPr>
              <w:t>表2标准；颗粒物厂区内排放满足</w:t>
            </w:r>
            <w:r>
              <w:rPr>
                <w:bCs/>
                <w:color w:val="000000" w:themeColor="text1"/>
                <w:sz w:val="24"/>
                <w14:textFill>
                  <w14:solidFill>
                    <w14:schemeClr w14:val="tx1"/>
                  </w14:solidFill>
                </w14:textFill>
              </w:rPr>
              <w:t>《工业炉窑大气污染物排放标准》（DB32/3728-2020）表3标准</w:t>
            </w:r>
            <w:r>
              <w:rPr>
                <w:rFonts w:hint="eastAsia"/>
                <w:bCs/>
                <w:color w:val="000000" w:themeColor="text1"/>
                <w:sz w:val="24"/>
                <w14:textFill>
                  <w14:solidFill>
                    <w14:schemeClr w14:val="tx1"/>
                  </w14:solidFill>
                </w14:textFill>
              </w:rPr>
              <w:t>。</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fldChar w:fldCharType="begin"/>
            </w:r>
            <w:r>
              <w:rPr>
                <w:rFonts w:hint="eastAsia"/>
                <w:color w:val="000000" w:themeColor="text1"/>
                <w:sz w:val="24"/>
                <w14:textFill>
                  <w14:solidFill>
                    <w14:schemeClr w14:val="tx1"/>
                  </w14:solidFill>
                </w14:textFill>
              </w:rPr>
              <w:instrText xml:space="preserve"> = 2 \* GB3 \* MERGEFORMAT </w:instrText>
            </w:r>
            <w:r>
              <w:rPr>
                <w:rFonts w:hint="eastAsia"/>
                <w:color w:val="000000" w:themeColor="text1"/>
                <w:sz w:val="24"/>
                <w14:textFill>
                  <w14:solidFill>
                    <w14:schemeClr w14:val="tx1"/>
                  </w14:solidFill>
                </w14:textFill>
              </w:rPr>
              <w:fldChar w:fldCharType="separate"/>
            </w:r>
            <w:r>
              <w:rPr>
                <w:rFonts w:hint="eastAsia"/>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经《环境影响评价技术导则 大气环境》（HJ2.2-2018）推荐模式中的大气估算模式计算，不需设置大气环境防护距离，在正常运行的情况下，本项目废气对周围大气环境影响较小，可满足环境管理要求。</w:t>
            </w:r>
          </w:p>
          <w:p>
            <w:pPr>
              <w:snapToGrid w:val="0"/>
              <w:spacing w:line="360" w:lineRule="auto"/>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该专项评价结论为：</w:t>
            </w:r>
            <w:r>
              <w:rPr>
                <w:rFonts w:hint="eastAsia"/>
                <w:color w:val="000000" w:themeColor="text1"/>
                <w:sz w:val="24"/>
                <w:u w:val="single"/>
                <w14:textFill>
                  <w14:solidFill>
                    <w14:schemeClr w14:val="tx1"/>
                  </w14:solidFill>
                </w14:textFill>
              </w:rPr>
              <w:t>建设项目在大气污染防治方面采用的各项环保设施合理、可靠、有效，各项污染物经治理后可以达标排放，总体上对区域大气环境影响较小，不会造成区域环境质量下降。从大气环境影响的角度来讲，建设项目在拟建地建设是可行的。</w:t>
            </w:r>
          </w:p>
          <w:p>
            <w:pPr>
              <w:adjustRightInd w:val="0"/>
              <w:snapToGrid w:val="0"/>
              <w:spacing w:line="360" w:lineRule="auto"/>
              <w:ind w:firstLine="480" w:firstLineChars="200"/>
              <w:rPr>
                <w:color w:val="000000" w:themeColor="text1"/>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19"/>
        <w:tblW w:w="898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1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34" w:hRule="atLeast"/>
          <w:jc w:val="center"/>
        </w:trPr>
        <w:tc>
          <w:tcPr>
            <w:tcW w:w="789" w:type="dxa"/>
            <w:tcMar>
              <w:left w:w="28" w:type="dxa"/>
              <w:right w:w="28" w:type="dxa"/>
            </w:tcMar>
            <w:vAlign w:val="center"/>
          </w:tcPr>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pacing w:line="360" w:lineRule="auto"/>
              <w:jc w:val="center"/>
              <w:rPr>
                <w:bCs/>
                <w:color w:val="000000" w:themeColor="text1"/>
                <w:szCs w:val="21"/>
                <w14:textFill>
                  <w14:solidFill>
                    <w14:schemeClr w14:val="tx1"/>
                  </w14:solidFill>
                </w14:textFill>
              </w:rPr>
            </w:pPr>
            <w:r>
              <w:rPr>
                <w:bCs/>
                <w:color w:val="000000" w:themeColor="text1"/>
                <w:sz w:val="24"/>
                <w14:textFill>
                  <w14:solidFill>
                    <w14:schemeClr w14:val="tx1"/>
                  </w14:solidFill>
                </w14:textFill>
              </w:rPr>
              <w:t>措施</w:t>
            </w:r>
          </w:p>
        </w:tc>
        <w:tc>
          <w:tcPr>
            <w:tcW w:w="8192" w:type="dxa"/>
            <w:vAlign w:val="center"/>
          </w:tcPr>
          <w:p>
            <w:pPr>
              <w:adjustRightInd w:val="0"/>
              <w:snapToGrid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二、废水环境影响和保护措施</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1、废水源强分析及核算</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（1）生活污水</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本项目定员</w:t>
            </w:r>
            <w:r>
              <w:rPr>
                <w:rFonts w:hint="eastAsia"/>
                <w:color w:val="000000" w:themeColor="text1"/>
                <w:sz w:val="24"/>
                <w14:textFill>
                  <w14:solidFill>
                    <w14:schemeClr w14:val="tx1"/>
                  </w14:solidFill>
                </w14:textFill>
              </w:rPr>
              <w:t>150</w:t>
            </w:r>
            <w:r>
              <w:rPr>
                <w:color w:val="000000" w:themeColor="text1"/>
                <w:sz w:val="24"/>
                <w14:textFill>
                  <w14:solidFill>
                    <w14:schemeClr w14:val="tx1"/>
                  </w14:solidFill>
                </w14:textFill>
              </w:rPr>
              <w:t>人，年工作</w:t>
            </w:r>
            <w:r>
              <w:rPr>
                <w:rFonts w:hint="eastAsia"/>
                <w:color w:val="000000" w:themeColor="text1"/>
                <w:sz w:val="24"/>
                <w14:textFill>
                  <w14:solidFill>
                    <w14:schemeClr w14:val="tx1"/>
                  </w14:solidFill>
                </w14:textFill>
              </w:rPr>
              <w:t>300</w:t>
            </w:r>
            <w:r>
              <w:rPr>
                <w:color w:val="000000" w:themeColor="text1"/>
                <w:sz w:val="24"/>
                <w14:textFill>
                  <w14:solidFill>
                    <w14:schemeClr w14:val="tx1"/>
                  </w14:solidFill>
                </w14:textFill>
              </w:rPr>
              <w:t>天，参照《江苏省林牧渔业、工业、服务业和生活用水定额（2019年修订）》，用水定额按150L/（人·d）计，则生活用水量为</w:t>
            </w:r>
            <w:r>
              <w:rPr>
                <w:rFonts w:hint="eastAsia"/>
                <w:color w:val="000000" w:themeColor="text1"/>
                <w:sz w:val="24"/>
                <w14:textFill>
                  <w14:solidFill>
                    <w14:schemeClr w14:val="tx1"/>
                  </w14:solidFill>
                </w14:textFill>
              </w:rPr>
              <w:t>6750</w:t>
            </w:r>
            <w:r>
              <w:rPr>
                <w:color w:val="000000" w:themeColor="text1"/>
                <w:sz w:val="24"/>
                <w14:textFill>
                  <w14:solidFill>
                    <w14:schemeClr w14:val="tx1"/>
                  </w14:solidFill>
                </w14:textFill>
              </w:rPr>
              <w:t>t/a。</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根据《排放源统计调查产排污核算方法和系数手册》，折污系数为0.8-0.9，本项目以0.8计，则生活污水的产生量为</w:t>
            </w:r>
            <w:r>
              <w:rPr>
                <w:rFonts w:hint="eastAsia"/>
                <w:color w:val="000000" w:themeColor="text1"/>
                <w:sz w:val="24"/>
                <w14:textFill>
                  <w14:solidFill>
                    <w14:schemeClr w14:val="tx1"/>
                  </w14:solidFill>
                </w14:textFill>
              </w:rPr>
              <w:t>5400</w:t>
            </w:r>
            <w:r>
              <w:rPr>
                <w:color w:val="000000" w:themeColor="text1"/>
                <w:sz w:val="24"/>
                <w14:textFill>
                  <w14:solidFill>
                    <w14:schemeClr w14:val="tx1"/>
                  </w14:solidFill>
                </w14:textFill>
              </w:rPr>
              <w:t>t/a。</w:t>
            </w:r>
          </w:p>
          <w:p>
            <w:pPr>
              <w:wordWrap w:val="0"/>
              <w:topLinePunct/>
              <w:spacing w:line="360" w:lineRule="auto"/>
              <w:ind w:firstLine="480" w:firstLineChars="200"/>
              <w:rPr>
                <w:color w:val="000000" w:themeColor="text1"/>
                <w:sz w:val="24"/>
                <w:lang w:val="eu-ES"/>
                <w14:textFill>
                  <w14:solidFill>
                    <w14:schemeClr w14:val="tx1"/>
                  </w14:solidFill>
                </w14:textFill>
              </w:rPr>
            </w:pPr>
            <w:r>
              <w:rPr>
                <w:color w:val="000000" w:themeColor="text1"/>
                <w:sz w:val="24"/>
                <w14:textFill>
                  <w14:solidFill>
                    <w14:schemeClr w14:val="tx1"/>
                  </w14:solidFill>
                </w14:textFill>
              </w:rPr>
              <w:t>项目废水产生及排放情况详见下表。</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lang w:val="eu-ES"/>
                <w14:textFill>
                  <w14:solidFill>
                    <w14:schemeClr w14:val="tx1"/>
                  </w14:solidFill>
                </w14:textFill>
              </w:rPr>
              <w:t>表</w:t>
            </w:r>
            <w:r>
              <w:rPr>
                <w:b/>
                <w:bCs/>
                <w:color w:val="000000" w:themeColor="text1"/>
                <w:szCs w:val="24"/>
                <w14:textFill>
                  <w14:solidFill>
                    <w14:schemeClr w14:val="tx1"/>
                  </w14:solidFill>
                </w14:textFill>
              </w:rPr>
              <w:t>4-</w:t>
            </w:r>
            <w:r>
              <w:rPr>
                <w:rFonts w:hint="eastAsia"/>
                <w:b/>
                <w:bCs/>
                <w:color w:val="000000" w:themeColor="text1"/>
                <w:szCs w:val="24"/>
                <w14:textFill>
                  <w14:solidFill>
                    <w14:schemeClr w14:val="tx1"/>
                  </w14:solidFill>
                </w14:textFill>
              </w:rPr>
              <w:t>1</w:t>
            </w:r>
            <w:r>
              <w:rPr>
                <w:b/>
                <w:bCs/>
                <w:color w:val="000000" w:themeColor="text1"/>
                <w:szCs w:val="24"/>
                <w:lang w:val="eu-ES"/>
                <w14:textFill>
                  <w14:solidFill>
                    <w14:schemeClr w14:val="tx1"/>
                  </w14:solidFill>
                </w14:textFill>
              </w:rPr>
              <w:t xml:space="preserve">  项目水污染物产生及排放情况</w:t>
            </w:r>
          </w:p>
          <w:tbl>
            <w:tblPr>
              <w:tblStyle w:val="1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70"/>
              <w:gridCol w:w="707"/>
              <w:gridCol w:w="703"/>
              <w:gridCol w:w="193"/>
              <w:gridCol w:w="794"/>
              <w:gridCol w:w="643"/>
              <w:gridCol w:w="852"/>
              <w:gridCol w:w="1170"/>
              <w:gridCol w:w="863"/>
              <w:gridCol w:w="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废水类型</w:t>
                  </w:r>
                </w:p>
              </w:tc>
              <w:tc>
                <w:tcPr>
                  <w:tcW w:w="482"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废水量</w:t>
                  </w:r>
                </w:p>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m</w:t>
                  </w:r>
                  <w:r>
                    <w:rPr>
                      <w:b/>
                      <w:bCs/>
                      <w:color w:val="000000" w:themeColor="text1"/>
                      <w:kern w:val="0"/>
                      <w:sz w:val="18"/>
                      <w:szCs w:val="18"/>
                      <w:vertAlign w:val="superscript"/>
                      <w14:textFill>
                        <w14:solidFill>
                          <w14:schemeClr w14:val="tx1"/>
                        </w14:solidFill>
                      </w14:textFill>
                    </w:rPr>
                    <w:t>3</w:t>
                  </w:r>
                  <w:r>
                    <w:rPr>
                      <w:b/>
                      <w:bCs/>
                      <w:color w:val="000000" w:themeColor="text1"/>
                      <w:kern w:val="0"/>
                      <w:sz w:val="18"/>
                      <w:szCs w:val="18"/>
                      <w14:textFill>
                        <w14:solidFill>
                          <w14:schemeClr w14:val="tx1"/>
                        </w14:solidFill>
                      </w14:textFill>
                    </w:rPr>
                    <w:t>/a</w:t>
                  </w:r>
                </w:p>
              </w:tc>
              <w:tc>
                <w:tcPr>
                  <w:tcW w:w="443"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污染物名称</w:t>
                  </w:r>
                </w:p>
              </w:tc>
              <w:tc>
                <w:tcPr>
                  <w:tcW w:w="1059" w:type="pct"/>
                  <w:gridSpan w:val="3"/>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污染物产生量</w:t>
                  </w:r>
                </w:p>
              </w:tc>
              <w:tc>
                <w:tcPr>
                  <w:tcW w:w="403"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治理</w:t>
                  </w:r>
                </w:p>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措施</w:t>
                  </w:r>
                </w:p>
              </w:tc>
              <w:tc>
                <w:tcPr>
                  <w:tcW w:w="1267" w:type="pct"/>
                  <w:gridSpan w:val="2"/>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污染物排放量</w:t>
                  </w:r>
                </w:p>
              </w:tc>
              <w:tc>
                <w:tcPr>
                  <w:tcW w:w="541"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标准浓度限值mg/L</w:t>
                  </w:r>
                </w:p>
              </w:tc>
              <w:tc>
                <w:tcPr>
                  <w:tcW w:w="438" w:type="pct"/>
                  <w:vMerge w:val="restar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排放方式及去向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c>
                <w:tcPr>
                  <w:tcW w:w="482"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c>
                <w:tcPr>
                  <w:tcW w:w="443"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c>
                <w:tcPr>
                  <w:tcW w:w="440" w:type="pc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浓度mg/L</w:t>
                  </w:r>
                </w:p>
              </w:tc>
              <w:tc>
                <w:tcPr>
                  <w:tcW w:w="618" w:type="pct"/>
                  <w:gridSpan w:val="2"/>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产生量t/a</w:t>
                  </w:r>
                </w:p>
              </w:tc>
              <w:tc>
                <w:tcPr>
                  <w:tcW w:w="403"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c>
                <w:tcPr>
                  <w:tcW w:w="534" w:type="pc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浓度mg/L</w:t>
                  </w:r>
                </w:p>
              </w:tc>
              <w:tc>
                <w:tcPr>
                  <w:tcW w:w="733" w:type="pct"/>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r>
                    <w:rPr>
                      <w:b/>
                      <w:bCs/>
                      <w:color w:val="000000" w:themeColor="text1"/>
                      <w:kern w:val="0"/>
                      <w:sz w:val="18"/>
                      <w:szCs w:val="18"/>
                      <w14:textFill>
                        <w14:solidFill>
                          <w14:schemeClr w14:val="tx1"/>
                        </w14:solidFill>
                      </w14:textFill>
                    </w:rPr>
                    <w:t>排放量t/a</w:t>
                  </w:r>
                </w:p>
              </w:tc>
              <w:tc>
                <w:tcPr>
                  <w:tcW w:w="541"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c>
                <w:tcPr>
                  <w:tcW w:w="438" w:type="pct"/>
                  <w:vMerge w:val="continue"/>
                  <w:vAlign w:val="center"/>
                </w:tcPr>
                <w:p>
                  <w:pPr>
                    <w:wordWrap w:val="0"/>
                    <w:topLinePunct/>
                    <w:adjustRightInd w:val="0"/>
                    <w:snapToGrid w:val="0"/>
                    <w:spacing w:line="240" w:lineRule="exact"/>
                    <w:jc w:val="center"/>
                    <w:rPr>
                      <w:b/>
                      <w:bCs/>
                      <w:color w:val="000000" w:themeColor="text1"/>
                      <w:kern w:val="0"/>
                      <w:sz w:val="18"/>
                      <w:szCs w:val="18"/>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restar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bookmarkStart w:id="9" w:name="OLE_LINK5" w:colFirst="6" w:colLast="7"/>
                  <w:r>
                    <w:rPr>
                      <w:color w:val="000000" w:themeColor="text1"/>
                      <w:kern w:val="0"/>
                      <w:sz w:val="18"/>
                      <w:szCs w:val="18"/>
                      <w:lang w:bidi="ar"/>
                      <w14:textFill>
                        <w14:solidFill>
                          <w14:schemeClr w14:val="tx1"/>
                        </w14:solidFill>
                      </w14:textFill>
                    </w:rPr>
                    <w:t>生活污水</w:t>
                  </w:r>
                </w:p>
              </w:tc>
              <w:tc>
                <w:tcPr>
                  <w:tcW w:w="482" w:type="pct"/>
                  <w:vMerge w:val="restart"/>
                  <w:vAlign w:val="center"/>
                </w:tcPr>
                <w:p>
                  <w:pPr>
                    <w:adjustRightInd w:val="0"/>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5400</w:t>
                  </w: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pH</w:t>
                  </w:r>
                </w:p>
              </w:tc>
              <w:tc>
                <w:tcPr>
                  <w:tcW w:w="1059" w:type="pct"/>
                  <w:gridSpan w:val="3"/>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6~9（无量纲）</w:t>
                  </w:r>
                </w:p>
              </w:tc>
              <w:tc>
                <w:tcPr>
                  <w:tcW w:w="403" w:type="pct"/>
                  <w:vMerge w:val="restar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化粪池</w:t>
                  </w:r>
                </w:p>
              </w:tc>
              <w:tc>
                <w:tcPr>
                  <w:tcW w:w="534"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bCs/>
                      <w:color w:val="000000" w:themeColor="text1"/>
                      <w:sz w:val="18"/>
                      <w:szCs w:val="18"/>
                      <w14:textFill>
                        <w14:solidFill>
                          <w14:schemeClr w14:val="tx1"/>
                        </w14:solidFill>
                      </w14:textFill>
                    </w:rPr>
                    <w:t>6~9（无量纲</w:t>
                  </w:r>
                </w:p>
              </w:tc>
              <w:tc>
                <w:tcPr>
                  <w:tcW w:w="733" w:type="pct"/>
                  <w:vAlign w:val="center"/>
                </w:tcPr>
                <w:p>
                  <w:pPr>
                    <w:wordWrap w:val="0"/>
                    <w:topLinePunct/>
                    <w:adjustRightInd w:val="0"/>
                    <w:snapToGrid w:val="0"/>
                    <w:spacing w:line="240" w:lineRule="exact"/>
                    <w:jc w:val="center"/>
                    <w:textAlignment w:val="center"/>
                    <w:rPr>
                      <w:snapToGrid w:val="0"/>
                      <w:color w:val="000000" w:themeColor="text1"/>
                      <w:kern w:val="21"/>
                      <w:sz w:val="18"/>
                      <w:szCs w:val="18"/>
                      <w14:textFill>
                        <w14:solidFill>
                          <w14:schemeClr w14:val="tx1"/>
                        </w14:solidFill>
                      </w14:textFill>
                    </w:rPr>
                  </w:pPr>
                  <w:r>
                    <w:rPr>
                      <w:bCs/>
                      <w:color w:val="000000" w:themeColor="text1"/>
                      <w:sz w:val="18"/>
                      <w:szCs w:val="18"/>
                      <w14:textFill>
                        <w14:solidFill>
                          <w14:schemeClr w14:val="tx1"/>
                        </w14:solidFill>
                      </w14:textFill>
                    </w:rPr>
                    <w:t>6~9（无量纲</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color w:val="000000" w:themeColor="text1"/>
                      <w:kern w:val="0"/>
                      <w:sz w:val="18"/>
                      <w:szCs w:val="18"/>
                      <w:lang w:bidi="ar"/>
                      <w14:textFill>
                        <w14:solidFill>
                          <w14:schemeClr w14:val="tx1"/>
                        </w14:solidFill>
                      </w14:textFill>
                    </w:rPr>
                  </w:pPr>
                </w:p>
              </w:tc>
              <w:tc>
                <w:tcPr>
                  <w:tcW w:w="482" w:type="pct"/>
                  <w:vMerge w:val="continue"/>
                  <w:vAlign w:val="center"/>
                </w:tcPr>
                <w:p>
                  <w:pPr>
                    <w:adjustRightInd w:val="0"/>
                    <w:snapToGrid w:val="0"/>
                    <w:jc w:val="center"/>
                    <w:rPr>
                      <w:bCs/>
                      <w:color w:val="000000" w:themeColor="text1"/>
                      <w:sz w:val="18"/>
                      <w:szCs w:val="18"/>
                      <w14:textFill>
                        <w14:solidFill>
                          <w14:schemeClr w14:val="tx1"/>
                        </w14:solidFill>
                      </w14:textFill>
                    </w:rPr>
                  </w:pP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COD</w:t>
                  </w:r>
                </w:p>
              </w:tc>
              <w:tc>
                <w:tcPr>
                  <w:tcW w:w="561" w:type="pct"/>
                  <w:gridSpan w:val="2"/>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400</w:t>
                  </w:r>
                </w:p>
              </w:tc>
              <w:tc>
                <w:tcPr>
                  <w:tcW w:w="497" w:type="pct"/>
                  <w:vAlign w:val="center"/>
                </w:tcPr>
                <w:p>
                  <w:pPr>
                    <w:widowControl/>
                    <w:jc w:val="center"/>
                    <w:textAlignment w:val="center"/>
                    <w:rPr>
                      <w:bCs/>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2.16</w:t>
                  </w:r>
                </w:p>
              </w:tc>
              <w:tc>
                <w:tcPr>
                  <w:tcW w:w="403" w:type="pct"/>
                  <w:vMerge w:val="continue"/>
                  <w:vAlign w:val="center"/>
                </w:tcPr>
                <w:p>
                  <w:pPr>
                    <w:wordWrap w:val="0"/>
                    <w:topLinePunct/>
                    <w:adjustRightInd w:val="0"/>
                    <w:snapToGrid w:val="0"/>
                    <w:spacing w:line="240" w:lineRule="exact"/>
                    <w:jc w:val="center"/>
                    <w:rPr>
                      <w:color w:val="000000" w:themeColor="text1"/>
                      <w:kern w:val="0"/>
                      <w:sz w:val="18"/>
                      <w:szCs w:val="18"/>
                      <w14:textFill>
                        <w14:solidFill>
                          <w14:schemeClr w14:val="tx1"/>
                        </w14:solidFill>
                      </w14:textFill>
                    </w:rPr>
                  </w:pPr>
                </w:p>
              </w:tc>
              <w:tc>
                <w:tcPr>
                  <w:tcW w:w="534" w:type="pct"/>
                  <w:vAlign w:val="center"/>
                </w:tcPr>
                <w:p>
                  <w:pPr>
                    <w:adjustRightInd w:val="0"/>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340</w:t>
                  </w:r>
                </w:p>
              </w:tc>
              <w:tc>
                <w:tcPr>
                  <w:tcW w:w="733"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1.836</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color w:val="000000" w:themeColor="text1"/>
                      <w:kern w:val="0"/>
                      <w:sz w:val="18"/>
                      <w:szCs w:val="18"/>
                      <w:lang w:bidi="ar"/>
                      <w14:textFill>
                        <w14:solidFill>
                          <w14:schemeClr w14:val="tx1"/>
                        </w14:solidFill>
                      </w14:textFill>
                    </w:rPr>
                  </w:pPr>
                </w:p>
              </w:tc>
              <w:tc>
                <w:tcPr>
                  <w:tcW w:w="482" w:type="pct"/>
                  <w:vMerge w:val="continue"/>
                  <w:vAlign w:val="center"/>
                </w:tcPr>
                <w:p>
                  <w:pPr>
                    <w:adjustRightInd w:val="0"/>
                    <w:snapToGrid w:val="0"/>
                    <w:jc w:val="center"/>
                    <w:rPr>
                      <w:bCs/>
                      <w:color w:val="000000" w:themeColor="text1"/>
                      <w:sz w:val="18"/>
                      <w:szCs w:val="18"/>
                      <w14:textFill>
                        <w14:solidFill>
                          <w14:schemeClr w14:val="tx1"/>
                        </w14:solidFill>
                      </w14:textFill>
                    </w:rPr>
                  </w:pP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SS</w:t>
                  </w:r>
                </w:p>
              </w:tc>
              <w:tc>
                <w:tcPr>
                  <w:tcW w:w="561" w:type="pct"/>
                  <w:gridSpan w:val="2"/>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200</w:t>
                  </w:r>
                </w:p>
              </w:tc>
              <w:tc>
                <w:tcPr>
                  <w:tcW w:w="497" w:type="pct"/>
                  <w:vAlign w:val="center"/>
                </w:tcPr>
                <w:p>
                  <w:pPr>
                    <w:widowControl/>
                    <w:jc w:val="center"/>
                    <w:textAlignment w:val="center"/>
                    <w:rPr>
                      <w:bCs/>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1.08</w:t>
                  </w:r>
                </w:p>
              </w:tc>
              <w:tc>
                <w:tcPr>
                  <w:tcW w:w="403" w:type="pct"/>
                  <w:vMerge w:val="continue"/>
                  <w:vAlign w:val="center"/>
                </w:tcPr>
                <w:p>
                  <w:pPr>
                    <w:wordWrap w:val="0"/>
                    <w:topLinePunct/>
                    <w:adjustRightInd w:val="0"/>
                    <w:snapToGrid w:val="0"/>
                    <w:spacing w:line="240" w:lineRule="exact"/>
                    <w:jc w:val="center"/>
                    <w:rPr>
                      <w:color w:val="000000" w:themeColor="text1"/>
                      <w:kern w:val="0"/>
                      <w:sz w:val="18"/>
                      <w:szCs w:val="18"/>
                      <w14:textFill>
                        <w14:solidFill>
                          <w14:schemeClr w14:val="tx1"/>
                        </w14:solidFill>
                      </w14:textFill>
                    </w:rPr>
                  </w:pPr>
                </w:p>
              </w:tc>
              <w:tc>
                <w:tcPr>
                  <w:tcW w:w="534"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180</w:t>
                  </w:r>
                </w:p>
              </w:tc>
              <w:tc>
                <w:tcPr>
                  <w:tcW w:w="733"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0.972</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color w:val="000000" w:themeColor="text1"/>
                      <w:kern w:val="0"/>
                      <w:sz w:val="18"/>
                      <w:szCs w:val="18"/>
                      <w:lang w:bidi="ar"/>
                      <w14:textFill>
                        <w14:solidFill>
                          <w14:schemeClr w14:val="tx1"/>
                        </w14:solidFill>
                      </w14:textFill>
                    </w:rPr>
                  </w:pPr>
                </w:p>
              </w:tc>
              <w:tc>
                <w:tcPr>
                  <w:tcW w:w="482" w:type="pct"/>
                  <w:vMerge w:val="continue"/>
                  <w:vAlign w:val="center"/>
                </w:tcPr>
                <w:p>
                  <w:pPr>
                    <w:adjustRightInd w:val="0"/>
                    <w:snapToGrid w:val="0"/>
                    <w:jc w:val="center"/>
                    <w:rPr>
                      <w:bCs/>
                      <w:color w:val="000000" w:themeColor="text1"/>
                      <w:sz w:val="18"/>
                      <w:szCs w:val="18"/>
                      <w14:textFill>
                        <w14:solidFill>
                          <w14:schemeClr w14:val="tx1"/>
                        </w14:solidFill>
                      </w14:textFill>
                    </w:rPr>
                  </w:pP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氨氮</w:t>
                  </w:r>
                </w:p>
              </w:tc>
              <w:tc>
                <w:tcPr>
                  <w:tcW w:w="561" w:type="pct"/>
                  <w:gridSpan w:val="2"/>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25</w:t>
                  </w:r>
                </w:p>
              </w:tc>
              <w:tc>
                <w:tcPr>
                  <w:tcW w:w="497" w:type="pct"/>
                  <w:vAlign w:val="center"/>
                </w:tcPr>
                <w:p>
                  <w:pPr>
                    <w:widowControl/>
                    <w:jc w:val="center"/>
                    <w:textAlignment w:val="center"/>
                    <w:rPr>
                      <w:bCs/>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0.135</w:t>
                  </w:r>
                </w:p>
              </w:tc>
              <w:tc>
                <w:tcPr>
                  <w:tcW w:w="403" w:type="pct"/>
                  <w:vMerge w:val="continue"/>
                  <w:vAlign w:val="center"/>
                </w:tcPr>
                <w:p>
                  <w:pPr>
                    <w:wordWrap w:val="0"/>
                    <w:topLinePunct/>
                    <w:adjustRightInd w:val="0"/>
                    <w:snapToGrid w:val="0"/>
                    <w:spacing w:line="240" w:lineRule="exact"/>
                    <w:jc w:val="center"/>
                    <w:rPr>
                      <w:color w:val="000000" w:themeColor="text1"/>
                      <w:kern w:val="0"/>
                      <w:sz w:val="18"/>
                      <w:szCs w:val="18"/>
                      <w14:textFill>
                        <w14:solidFill>
                          <w14:schemeClr w14:val="tx1"/>
                        </w14:solidFill>
                      </w14:textFill>
                    </w:rPr>
                  </w:pPr>
                </w:p>
              </w:tc>
              <w:tc>
                <w:tcPr>
                  <w:tcW w:w="534"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25</w:t>
                  </w:r>
                </w:p>
              </w:tc>
              <w:tc>
                <w:tcPr>
                  <w:tcW w:w="733"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0.135</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color w:val="000000" w:themeColor="text1"/>
                      <w:kern w:val="0"/>
                      <w:sz w:val="18"/>
                      <w:szCs w:val="18"/>
                      <w:lang w:bidi="ar"/>
                      <w14:textFill>
                        <w14:solidFill>
                          <w14:schemeClr w14:val="tx1"/>
                        </w14:solidFill>
                      </w14:textFill>
                    </w:rPr>
                  </w:pPr>
                </w:p>
              </w:tc>
              <w:tc>
                <w:tcPr>
                  <w:tcW w:w="482" w:type="pct"/>
                  <w:vMerge w:val="continue"/>
                  <w:vAlign w:val="center"/>
                </w:tcPr>
                <w:p>
                  <w:pPr>
                    <w:adjustRightInd w:val="0"/>
                    <w:snapToGrid w:val="0"/>
                    <w:jc w:val="center"/>
                    <w:rPr>
                      <w:bCs/>
                      <w:color w:val="000000" w:themeColor="text1"/>
                      <w:sz w:val="18"/>
                      <w:szCs w:val="18"/>
                      <w14:textFill>
                        <w14:solidFill>
                          <w14:schemeClr w14:val="tx1"/>
                        </w14:solidFill>
                      </w14:textFill>
                    </w:rPr>
                  </w:pP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总磷</w:t>
                  </w:r>
                </w:p>
              </w:tc>
              <w:tc>
                <w:tcPr>
                  <w:tcW w:w="561" w:type="pct"/>
                  <w:gridSpan w:val="2"/>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497" w:type="pct"/>
                  <w:vAlign w:val="center"/>
                </w:tcPr>
                <w:p>
                  <w:pPr>
                    <w:widowControl/>
                    <w:jc w:val="center"/>
                    <w:textAlignment w:val="center"/>
                    <w:rPr>
                      <w:bCs/>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0.0216</w:t>
                  </w:r>
                </w:p>
              </w:tc>
              <w:tc>
                <w:tcPr>
                  <w:tcW w:w="403" w:type="pct"/>
                  <w:vMerge w:val="continue"/>
                  <w:vAlign w:val="center"/>
                </w:tcPr>
                <w:p>
                  <w:pPr>
                    <w:wordWrap w:val="0"/>
                    <w:topLinePunct/>
                    <w:adjustRightInd w:val="0"/>
                    <w:snapToGrid w:val="0"/>
                    <w:spacing w:line="240" w:lineRule="exact"/>
                    <w:jc w:val="center"/>
                    <w:rPr>
                      <w:color w:val="000000" w:themeColor="text1"/>
                      <w:kern w:val="0"/>
                      <w:sz w:val="18"/>
                      <w:szCs w:val="18"/>
                      <w14:textFill>
                        <w14:solidFill>
                          <w14:schemeClr w14:val="tx1"/>
                        </w14:solidFill>
                      </w14:textFill>
                    </w:rPr>
                  </w:pPr>
                </w:p>
              </w:tc>
              <w:tc>
                <w:tcPr>
                  <w:tcW w:w="534"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733"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0.0216</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63" w:type="pct"/>
                  <w:vMerge w:val="continue"/>
                  <w:vAlign w:val="center"/>
                </w:tcPr>
                <w:p>
                  <w:pPr>
                    <w:wordWrap w:val="0"/>
                    <w:topLinePunct/>
                    <w:adjustRightInd w:val="0"/>
                    <w:snapToGrid w:val="0"/>
                    <w:spacing w:line="240" w:lineRule="exact"/>
                    <w:jc w:val="center"/>
                    <w:rPr>
                      <w:color w:val="000000" w:themeColor="text1"/>
                      <w:kern w:val="0"/>
                      <w:sz w:val="18"/>
                      <w:szCs w:val="18"/>
                      <w:lang w:bidi="ar"/>
                      <w14:textFill>
                        <w14:solidFill>
                          <w14:schemeClr w14:val="tx1"/>
                        </w14:solidFill>
                      </w14:textFill>
                    </w:rPr>
                  </w:pPr>
                </w:p>
              </w:tc>
              <w:tc>
                <w:tcPr>
                  <w:tcW w:w="482" w:type="pct"/>
                  <w:vMerge w:val="continue"/>
                  <w:vAlign w:val="center"/>
                </w:tcPr>
                <w:p>
                  <w:pPr>
                    <w:adjustRightInd w:val="0"/>
                    <w:snapToGrid w:val="0"/>
                    <w:jc w:val="center"/>
                    <w:rPr>
                      <w:bCs/>
                      <w:color w:val="000000" w:themeColor="text1"/>
                      <w:sz w:val="18"/>
                      <w:szCs w:val="18"/>
                      <w14:textFill>
                        <w14:solidFill>
                          <w14:schemeClr w14:val="tx1"/>
                        </w14:solidFill>
                      </w14:textFill>
                    </w:rPr>
                  </w:pPr>
                </w:p>
              </w:tc>
              <w:tc>
                <w:tcPr>
                  <w:tcW w:w="44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总氮</w:t>
                  </w:r>
                </w:p>
              </w:tc>
              <w:tc>
                <w:tcPr>
                  <w:tcW w:w="561" w:type="pct"/>
                  <w:gridSpan w:val="2"/>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w:t>
                  </w:r>
                </w:p>
              </w:tc>
              <w:tc>
                <w:tcPr>
                  <w:tcW w:w="497" w:type="pct"/>
                  <w:vAlign w:val="center"/>
                </w:tcPr>
                <w:p>
                  <w:pPr>
                    <w:widowControl/>
                    <w:jc w:val="center"/>
                    <w:textAlignment w:val="center"/>
                    <w:rPr>
                      <w:bCs/>
                      <w:color w:val="000000" w:themeColor="text1"/>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0.216</w:t>
                  </w:r>
                </w:p>
              </w:tc>
              <w:tc>
                <w:tcPr>
                  <w:tcW w:w="403" w:type="pct"/>
                  <w:vMerge w:val="continue"/>
                  <w:vAlign w:val="center"/>
                </w:tcPr>
                <w:p>
                  <w:pPr>
                    <w:wordWrap w:val="0"/>
                    <w:topLinePunct/>
                    <w:adjustRightInd w:val="0"/>
                    <w:snapToGrid w:val="0"/>
                    <w:spacing w:line="240" w:lineRule="exact"/>
                    <w:jc w:val="center"/>
                    <w:rPr>
                      <w:color w:val="000000" w:themeColor="text1"/>
                      <w:kern w:val="0"/>
                      <w:sz w:val="18"/>
                      <w:szCs w:val="18"/>
                      <w14:textFill>
                        <w14:solidFill>
                          <w14:schemeClr w14:val="tx1"/>
                        </w14:solidFill>
                      </w14:textFill>
                    </w:rPr>
                  </w:pPr>
                </w:p>
              </w:tc>
              <w:tc>
                <w:tcPr>
                  <w:tcW w:w="534"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w:t>
                  </w:r>
                </w:p>
              </w:tc>
              <w:tc>
                <w:tcPr>
                  <w:tcW w:w="733"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0.216</w:t>
                  </w:r>
                </w:p>
              </w:tc>
              <w:tc>
                <w:tcPr>
                  <w:tcW w:w="541" w:type="pct"/>
                  <w:vAlign w:val="center"/>
                </w:tcPr>
                <w:p>
                  <w:pPr>
                    <w:wordWrap w:val="0"/>
                    <w:topLinePunct/>
                    <w:adjustRightInd w:val="0"/>
                    <w:snapToGrid w:val="0"/>
                    <w:spacing w:line="240" w:lineRule="exa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w:t>
                  </w:r>
                </w:p>
              </w:tc>
              <w:tc>
                <w:tcPr>
                  <w:tcW w:w="438" w:type="pct"/>
                  <w:vAlign w:val="center"/>
                </w:tcPr>
                <w:p>
                  <w:pPr>
                    <w:wordWrap w:val="0"/>
                    <w:topLinePunct/>
                    <w:adjustRightInd w:val="0"/>
                    <w:snapToGrid w:val="0"/>
                    <w:spacing w:line="240" w:lineRule="exact"/>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w:t>
                  </w:r>
                </w:p>
              </w:tc>
            </w:tr>
            <w:bookmarkEnd w:id="9"/>
          </w:tbl>
          <w:p>
            <w:pPr>
              <w:adjustRightInd w:val="0"/>
              <w:snapToGrid w:val="0"/>
              <w:spacing w:line="360" w:lineRule="auto"/>
              <w:ind w:firstLine="482" w:firstLineChars="200"/>
              <w:rPr>
                <w:bCs/>
                <w:color w:val="000000" w:themeColor="text1"/>
                <w:kern w:val="21"/>
                <w:sz w:val="24"/>
                <w14:textFill>
                  <w14:solidFill>
                    <w14:schemeClr w14:val="tx1"/>
                  </w14:solidFill>
                </w14:textFill>
              </w:rPr>
            </w:pPr>
            <w:r>
              <w:rPr>
                <w:b/>
                <w:bCs/>
                <w:color w:val="000000" w:themeColor="text1"/>
                <w:sz w:val="24"/>
                <w14:textFill>
                  <w14:solidFill>
                    <w14:schemeClr w14:val="tx1"/>
                  </w14:solidFill>
                </w14:textFill>
              </w:rPr>
              <w:t>2、废水污染源排放情况</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项目废水污染源排放情况统计如下：</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2</w:t>
            </w:r>
            <w:r>
              <w:rPr>
                <w:b/>
                <w:bCs/>
                <w:color w:val="000000" w:themeColor="text1"/>
                <w:szCs w:val="24"/>
                <w14:textFill>
                  <w14:solidFill>
                    <w14:schemeClr w14:val="tx1"/>
                  </w14:solidFill>
                </w14:textFill>
              </w:rPr>
              <w:t xml:space="preserve">  废水类别、污染物及污染治理设施信息表</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1"/>
              <w:gridCol w:w="534"/>
              <w:gridCol w:w="917"/>
              <w:gridCol w:w="701"/>
              <w:gridCol w:w="1107"/>
              <w:gridCol w:w="687"/>
              <w:gridCol w:w="715"/>
              <w:gridCol w:w="649"/>
              <w:gridCol w:w="654"/>
              <w:gridCol w:w="833"/>
              <w:gridCol w:w="7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vMerge w:val="restart"/>
                  <w:tcBorders>
                    <w:top w:val="single" w:color="auto" w:sz="12" w:space="0"/>
                    <w:left w:val="nil"/>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序号</w:t>
                  </w:r>
                </w:p>
              </w:tc>
              <w:tc>
                <w:tcPr>
                  <w:tcW w:w="534"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废水类别</w:t>
                  </w:r>
                </w:p>
              </w:tc>
              <w:tc>
                <w:tcPr>
                  <w:tcW w:w="917"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污染物种类</w:t>
                  </w:r>
                </w:p>
              </w:tc>
              <w:tc>
                <w:tcPr>
                  <w:tcW w:w="701"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排放去向</w:t>
                  </w:r>
                </w:p>
              </w:tc>
              <w:tc>
                <w:tcPr>
                  <w:tcW w:w="1107"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排放规律</w:t>
                  </w:r>
                </w:p>
              </w:tc>
              <w:tc>
                <w:tcPr>
                  <w:tcW w:w="2051" w:type="dxa"/>
                  <w:gridSpan w:val="3"/>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污染治理设施</w:t>
                  </w:r>
                </w:p>
              </w:tc>
              <w:tc>
                <w:tcPr>
                  <w:tcW w:w="654"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排放口编号</w:t>
                  </w:r>
                </w:p>
              </w:tc>
              <w:tc>
                <w:tcPr>
                  <w:tcW w:w="833" w:type="dxa"/>
                  <w:vMerge w:val="restart"/>
                  <w:tcBorders>
                    <w:top w:val="single" w:color="auto" w:sz="12" w:space="0"/>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排放口设置是否符合要求</w:t>
                  </w:r>
                </w:p>
              </w:tc>
              <w:tc>
                <w:tcPr>
                  <w:tcW w:w="755" w:type="dxa"/>
                  <w:vMerge w:val="restart"/>
                  <w:tcBorders>
                    <w:top w:val="single" w:color="auto" w:sz="12" w:space="0"/>
                    <w:right w:val="nil"/>
                  </w:tcBorders>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vMerge w:val="continue"/>
                  <w:tcBorders>
                    <w:left w:val="nil"/>
                  </w:tcBorders>
                  <w:vAlign w:val="center"/>
                </w:tcPr>
                <w:p>
                  <w:pPr>
                    <w:adjustRightInd w:val="0"/>
                    <w:snapToGrid w:val="0"/>
                    <w:jc w:val="center"/>
                    <w:rPr>
                      <w:b/>
                      <w:color w:val="000000" w:themeColor="text1"/>
                      <w:sz w:val="18"/>
                      <w:szCs w:val="18"/>
                      <w14:textFill>
                        <w14:solidFill>
                          <w14:schemeClr w14:val="tx1"/>
                        </w14:solidFill>
                      </w14:textFill>
                    </w:rPr>
                  </w:pPr>
                </w:p>
              </w:tc>
              <w:tc>
                <w:tcPr>
                  <w:tcW w:w="534"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917"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701"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1107"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687" w:type="dxa"/>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污染治理设施编号</w:t>
                  </w:r>
                </w:p>
              </w:tc>
              <w:tc>
                <w:tcPr>
                  <w:tcW w:w="715" w:type="dxa"/>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污染治理设施名称</w:t>
                  </w:r>
                </w:p>
              </w:tc>
              <w:tc>
                <w:tcPr>
                  <w:tcW w:w="649" w:type="dxa"/>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污染治理设施工艺</w:t>
                  </w:r>
                </w:p>
              </w:tc>
              <w:tc>
                <w:tcPr>
                  <w:tcW w:w="654"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833" w:type="dxa"/>
                  <w:vMerge w:val="continue"/>
                  <w:vAlign w:val="center"/>
                </w:tcPr>
                <w:p>
                  <w:pPr>
                    <w:adjustRightInd w:val="0"/>
                    <w:snapToGrid w:val="0"/>
                    <w:jc w:val="center"/>
                    <w:rPr>
                      <w:b/>
                      <w:color w:val="000000" w:themeColor="text1"/>
                      <w:sz w:val="18"/>
                      <w:szCs w:val="18"/>
                      <w14:textFill>
                        <w14:solidFill>
                          <w14:schemeClr w14:val="tx1"/>
                        </w14:solidFill>
                      </w14:textFill>
                    </w:rPr>
                  </w:pPr>
                </w:p>
              </w:tc>
              <w:tc>
                <w:tcPr>
                  <w:tcW w:w="755" w:type="dxa"/>
                  <w:vMerge w:val="continue"/>
                  <w:tcBorders>
                    <w:right w:val="nil"/>
                  </w:tcBorders>
                  <w:vAlign w:val="center"/>
                </w:tcPr>
                <w:p>
                  <w:pPr>
                    <w:adjustRightInd w:val="0"/>
                    <w:snapToGrid w:val="0"/>
                    <w:jc w:val="center"/>
                    <w:rPr>
                      <w:b/>
                      <w:color w:val="000000" w:themeColor="text1"/>
                      <w:sz w:val="18"/>
                      <w:szCs w:val="18"/>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534" w:type="dxa"/>
                  <w:vAlign w:val="center"/>
                </w:tcPr>
                <w:p>
                  <w:pPr>
                    <w:adjustRightInd w:val="0"/>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生活污水</w:t>
                  </w:r>
                </w:p>
              </w:tc>
              <w:tc>
                <w:tcPr>
                  <w:tcW w:w="91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PH</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COD</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SS</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氨氮</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总磷</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总氮</w:t>
                  </w:r>
                </w:p>
              </w:tc>
              <w:tc>
                <w:tcPr>
                  <w:tcW w:w="701" w:type="dxa"/>
                  <w:vAlign w:val="center"/>
                </w:tcPr>
                <w:p>
                  <w:pPr>
                    <w:adjustRightInd w:val="0"/>
                    <w:snapToGrid w:val="0"/>
                    <w:jc w:val="center"/>
                    <w:rPr>
                      <w:rFonts w:hint="eastAsia" w:eastAsia="宋体"/>
                      <w:bCs/>
                      <w:color w:val="000000" w:themeColor="text1"/>
                      <w:sz w:val="18"/>
                      <w:szCs w:val="18"/>
                      <w:lang w:eastAsia="zh-CN"/>
                      <w14:textFill>
                        <w14:solidFill>
                          <w14:schemeClr w14:val="tx1"/>
                        </w14:solidFill>
                      </w14:textFill>
                    </w:rPr>
                  </w:pPr>
                  <w:r>
                    <w:rPr>
                      <w:bCs/>
                      <w:color w:val="000000" w:themeColor="text1"/>
                      <w:sz w:val="18"/>
                      <w:szCs w:val="18"/>
                      <w14:textFill>
                        <w14:solidFill>
                          <w14:schemeClr w14:val="tx1"/>
                        </w14:solidFill>
                      </w14:textFill>
                    </w:rPr>
                    <w:t>接管至</w:t>
                  </w:r>
                  <w:r>
                    <w:rPr>
                      <w:rFonts w:hint="eastAsia"/>
                      <w:bCs/>
                      <w:color w:val="000000" w:themeColor="text1"/>
                      <w:sz w:val="18"/>
                      <w:szCs w:val="18"/>
                      <w:lang w:eastAsia="zh-CN"/>
                      <w14:textFill>
                        <w14:solidFill>
                          <w14:schemeClr w14:val="tx1"/>
                        </w14:solidFill>
                      </w14:textFill>
                    </w:rPr>
                    <w:t>启迪浦华（泰州）水务有限公司</w:t>
                  </w:r>
                </w:p>
              </w:tc>
              <w:tc>
                <w:tcPr>
                  <w:tcW w:w="110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间断排放，排放期间流量不稳定且无规律，但不属于冲击型排放</w:t>
                  </w:r>
                </w:p>
              </w:tc>
              <w:tc>
                <w:tcPr>
                  <w:tcW w:w="68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c>
                <w:tcPr>
                  <w:tcW w:w="7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c>
                <w:tcPr>
                  <w:tcW w:w="649"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c>
                <w:tcPr>
                  <w:tcW w:w="654"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DW</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001</w:t>
                  </w:r>
                </w:p>
              </w:tc>
              <w:tc>
                <w:tcPr>
                  <w:tcW w:w="83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sym w:font="Wingdings 2" w:char="0052"/>
                  </w:r>
                  <w:r>
                    <w:rPr>
                      <w:bCs/>
                      <w:color w:val="000000" w:themeColor="text1"/>
                      <w:sz w:val="18"/>
                      <w:szCs w:val="18"/>
                      <w14:textFill>
                        <w14:solidFill>
                          <w14:schemeClr w14:val="tx1"/>
                        </w14:solidFill>
                      </w14:textFill>
                    </w:rPr>
                    <w:t>是</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sym w:font="Wingdings 2" w:char="00A3"/>
                  </w:r>
                  <w:r>
                    <w:rPr>
                      <w:bCs/>
                      <w:color w:val="000000" w:themeColor="text1"/>
                      <w:sz w:val="18"/>
                      <w:szCs w:val="18"/>
                      <w14:textFill>
                        <w14:solidFill>
                          <w14:schemeClr w14:val="tx1"/>
                        </w14:solidFill>
                      </w14:textFill>
                    </w:rPr>
                    <w:t>否</w:t>
                  </w:r>
                </w:p>
              </w:tc>
              <w:tc>
                <w:tcPr>
                  <w:tcW w:w="755" w:type="dxa"/>
                  <w:vAlign w:val="center"/>
                </w:tcPr>
                <w:p>
                  <w:pPr>
                    <w:adjustRightInd w:val="0"/>
                    <w:snapToGrid w:val="0"/>
                    <w:jc w:val="lef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sym w:font="Wingdings 2" w:char="0052"/>
                  </w:r>
                  <w:r>
                    <w:rPr>
                      <w:bCs/>
                      <w:color w:val="000000" w:themeColor="text1"/>
                      <w:sz w:val="18"/>
                      <w:szCs w:val="18"/>
                      <w14:textFill>
                        <w14:solidFill>
                          <w14:schemeClr w14:val="tx1"/>
                        </w14:solidFill>
                      </w14:textFill>
                    </w:rPr>
                    <w:t>企业总排口</w:t>
                  </w:r>
                </w:p>
              </w:tc>
            </w:tr>
          </w:tbl>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3</w:t>
            </w:r>
            <w:r>
              <w:rPr>
                <w:b/>
                <w:bCs/>
                <w:color w:val="000000" w:themeColor="text1"/>
                <w:szCs w:val="24"/>
                <w14:textFill>
                  <w14:solidFill>
                    <w14:schemeClr w14:val="tx1"/>
                  </w14:solidFill>
                </w14:textFill>
              </w:rPr>
              <w:t xml:space="preserve">  废水间接排放口基本情况表</w:t>
            </w:r>
          </w:p>
          <w:tbl>
            <w:tblPr>
              <w:tblStyle w:val="19"/>
              <w:tblW w:w="4919" w:type="pct"/>
              <w:jc w:val="center"/>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Layout w:type="fixed"/>
              <w:tblCellMar>
                <w:top w:w="0" w:type="dxa"/>
                <w:left w:w="108" w:type="dxa"/>
                <w:bottom w:w="0" w:type="dxa"/>
                <w:right w:w="108" w:type="dxa"/>
              </w:tblCellMar>
            </w:tblPr>
            <w:tblGrid>
              <w:gridCol w:w="409"/>
              <w:gridCol w:w="706"/>
              <w:gridCol w:w="762"/>
              <w:gridCol w:w="763"/>
              <w:gridCol w:w="672"/>
              <w:gridCol w:w="512"/>
              <w:gridCol w:w="488"/>
              <w:gridCol w:w="700"/>
              <w:gridCol w:w="757"/>
              <w:gridCol w:w="910"/>
              <w:gridCol w:w="1168"/>
            </w:tblGrid>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706"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排污口编号</w:t>
                  </w:r>
                </w:p>
              </w:tc>
              <w:tc>
                <w:tcPr>
                  <w:tcW w:w="1525" w:type="dxa"/>
                  <w:gridSpan w:val="2"/>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排放口地理坐标</w:t>
                  </w:r>
                </w:p>
              </w:tc>
              <w:tc>
                <w:tcPr>
                  <w:tcW w:w="672"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废水排放量（t/a）</w:t>
                  </w:r>
                </w:p>
              </w:tc>
              <w:tc>
                <w:tcPr>
                  <w:tcW w:w="512"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排放去向</w:t>
                  </w:r>
                </w:p>
              </w:tc>
              <w:tc>
                <w:tcPr>
                  <w:tcW w:w="488"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排放规律</w:t>
                  </w:r>
                </w:p>
              </w:tc>
              <w:tc>
                <w:tcPr>
                  <w:tcW w:w="700"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间歇排放时段</w:t>
                  </w:r>
                </w:p>
              </w:tc>
              <w:tc>
                <w:tcPr>
                  <w:tcW w:w="2835" w:type="dxa"/>
                  <w:gridSpan w:val="3"/>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汇入污水处理厂信息</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706"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762"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经度</w:t>
                  </w:r>
                </w:p>
              </w:tc>
              <w:tc>
                <w:tcPr>
                  <w:tcW w:w="763"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纬度</w:t>
                  </w:r>
                </w:p>
              </w:tc>
              <w:tc>
                <w:tcPr>
                  <w:tcW w:w="672"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512"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488"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700"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757"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910"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污染物种类</w:t>
                  </w:r>
                </w:p>
              </w:tc>
              <w:tc>
                <w:tcPr>
                  <w:tcW w:w="1168"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706"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DW</w:t>
                  </w:r>
                </w:p>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001</w:t>
                  </w:r>
                </w:p>
              </w:tc>
              <w:tc>
                <w:tcPr>
                  <w:tcW w:w="76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119.978391</w:t>
                  </w:r>
                </w:p>
              </w:tc>
              <w:tc>
                <w:tcPr>
                  <w:tcW w:w="763"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32.4706790</w:t>
                  </w:r>
                </w:p>
              </w:tc>
              <w:tc>
                <w:tcPr>
                  <w:tcW w:w="67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5400</w:t>
                  </w:r>
                </w:p>
              </w:tc>
              <w:tc>
                <w:tcPr>
                  <w:tcW w:w="51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污水处理厂</w:t>
                  </w:r>
                </w:p>
              </w:tc>
              <w:tc>
                <w:tcPr>
                  <w:tcW w:w="488"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间接排放</w:t>
                  </w:r>
                </w:p>
              </w:tc>
              <w:tc>
                <w:tcPr>
                  <w:tcW w:w="700"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57" w:type="dxa"/>
                  <w:vMerge w:val="restart"/>
                  <w:vAlign w:val="center"/>
                </w:tcPr>
                <w:p>
                  <w:pPr>
                    <w:widowControl/>
                    <w:jc w:val="center"/>
                    <w:textAlignment w:val="center"/>
                    <w:rPr>
                      <w:rFonts w:hint="eastAsia" w:eastAsia="宋体"/>
                      <w:color w:val="000000" w:themeColor="text1"/>
                      <w:kern w:val="0"/>
                      <w:szCs w:val="21"/>
                      <w:lang w:eastAsia="zh-CN" w:bidi="ar"/>
                      <w14:textFill>
                        <w14:solidFill>
                          <w14:schemeClr w14:val="tx1"/>
                        </w14:solidFill>
                      </w14:textFill>
                    </w:rPr>
                  </w:pPr>
                  <w:r>
                    <w:rPr>
                      <w:rFonts w:hint="eastAsia"/>
                      <w:color w:val="000000" w:themeColor="text1"/>
                      <w:szCs w:val="21"/>
                      <w:lang w:eastAsia="zh-CN"/>
                      <w14:textFill>
                        <w14:solidFill>
                          <w14:schemeClr w14:val="tx1"/>
                        </w14:solidFill>
                      </w14:textFill>
                    </w:rPr>
                    <w:t>启迪浦华（泰州）水务有限公司</w:t>
                  </w: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PH</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6~9</w:t>
                  </w:r>
                </w:p>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（无量纲）</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3"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6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1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488"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57"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COD</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3"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6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1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488"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57"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SS</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3"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6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1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488"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57"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3"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6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1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488"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57"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6" w:space="0"/>
                </w:tblBorders>
                <w:tblCellMar>
                  <w:top w:w="0" w:type="dxa"/>
                  <w:left w:w="108" w:type="dxa"/>
                  <w:bottom w:w="0" w:type="dxa"/>
                  <w:right w:w="108" w:type="dxa"/>
                </w:tblCellMar>
              </w:tblPrEx>
              <w:trPr>
                <w:trHeight w:val="340" w:hRule="atLeast"/>
                <w:jc w:val="center"/>
              </w:trPr>
              <w:tc>
                <w:tcPr>
                  <w:tcW w:w="409"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6"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63"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67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1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488"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00"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757"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91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11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r>
          </w:tbl>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4</w:t>
            </w:r>
            <w:r>
              <w:rPr>
                <w:b/>
                <w:bCs/>
                <w:color w:val="000000" w:themeColor="text1"/>
                <w:szCs w:val="24"/>
                <w14:textFill>
                  <w14:solidFill>
                    <w14:schemeClr w14:val="tx1"/>
                  </w14:solidFill>
                </w14:textFill>
              </w:rPr>
              <w:t xml:space="preserve">  废水污染物排放执行标准表</w:t>
            </w:r>
          </w:p>
          <w:tbl>
            <w:tblPr>
              <w:tblStyle w:val="19"/>
              <w:tblW w:w="4964"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2"/>
              <w:gridCol w:w="1132"/>
              <w:gridCol w:w="2996"/>
              <w:gridCol w:w="1526"/>
              <w:gridCol w:w="162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1132"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w:t>
                  </w:r>
                </w:p>
              </w:tc>
              <w:tc>
                <w:tcPr>
                  <w:tcW w:w="2996" w:type="dxa"/>
                  <w:vMerge w:val="restar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污染物种类</w:t>
                  </w:r>
                </w:p>
              </w:tc>
              <w:tc>
                <w:tcPr>
                  <w:tcW w:w="3149" w:type="dxa"/>
                  <w:gridSpan w:val="2"/>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1132"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2996" w:type="dxa"/>
                  <w:vMerge w:val="continue"/>
                  <w:vAlign w:val="center"/>
                </w:tcPr>
                <w:p>
                  <w:pPr>
                    <w:widowControl/>
                    <w:adjustRightInd w:val="0"/>
                    <w:snapToGrid w:val="0"/>
                    <w:jc w:val="center"/>
                    <w:rPr>
                      <w:b/>
                      <w:bCs/>
                      <w:color w:val="000000" w:themeColor="text1"/>
                      <w:szCs w:val="21"/>
                      <w14:textFill>
                        <w14:solidFill>
                          <w14:schemeClr w14:val="tx1"/>
                        </w14:solidFill>
                      </w14:textFill>
                    </w:rPr>
                  </w:pPr>
                </w:p>
              </w:tc>
              <w:tc>
                <w:tcPr>
                  <w:tcW w:w="1526"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1623" w:type="dxa"/>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浓度限值（mg/L）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restar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32" w:type="dxa"/>
                  <w:vMerge w:val="restar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DW001</w:t>
                  </w: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PH</w:t>
                  </w:r>
                </w:p>
              </w:tc>
              <w:tc>
                <w:tcPr>
                  <w:tcW w:w="1526" w:type="dxa"/>
                  <w:vMerge w:val="restart"/>
                  <w:vAlign w:val="center"/>
                </w:tcPr>
                <w:p>
                  <w:pPr>
                    <w:widowControl/>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接管标准</w:t>
                  </w:r>
                </w:p>
              </w:tc>
              <w:tc>
                <w:tcPr>
                  <w:tcW w:w="1623"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6~9（无量纲）</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132"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COD</w:t>
                  </w:r>
                </w:p>
              </w:tc>
              <w:tc>
                <w:tcPr>
                  <w:tcW w:w="1526"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62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132"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SS</w:t>
                  </w:r>
                </w:p>
              </w:tc>
              <w:tc>
                <w:tcPr>
                  <w:tcW w:w="1526"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62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250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132"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1526"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62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132"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1526" w:type="dxa"/>
                  <w:vMerge w:val="continue"/>
                  <w:vAlign w:val="center"/>
                </w:tcPr>
                <w:p>
                  <w:pPr>
                    <w:widowControl/>
                    <w:adjustRightInd w:val="0"/>
                    <w:snapToGrid w:val="0"/>
                    <w:jc w:val="center"/>
                    <w:rPr>
                      <w:color w:val="000000" w:themeColor="text1"/>
                      <w:szCs w:val="21"/>
                      <w14:textFill>
                        <w14:solidFill>
                          <w14:schemeClr w14:val="tx1"/>
                        </w14:solidFill>
                      </w14:textFill>
                    </w:rPr>
                  </w:pPr>
                </w:p>
              </w:tc>
              <w:tc>
                <w:tcPr>
                  <w:tcW w:w="162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43" w:type="dxa"/>
                  <w:vMerge w:val="continue"/>
                  <w:vAlign w:val="center"/>
                </w:tcPr>
                <w:p>
                  <w:pPr>
                    <w:pStyle w:val="26"/>
                    <w:adjustRightInd/>
                    <w:spacing w:line="240" w:lineRule="auto"/>
                    <w:jc w:val="center"/>
                    <w:rPr>
                      <w:rFonts w:ascii="Times New Roman" w:hAnsi="Times New Roman" w:cs="Times New Roman"/>
                      <w:color w:val="000000" w:themeColor="text1"/>
                      <w:sz w:val="21"/>
                      <w:szCs w:val="21"/>
                      <w14:textFill>
                        <w14:solidFill>
                          <w14:schemeClr w14:val="tx1"/>
                        </w14:solidFill>
                      </w14:textFill>
                    </w:rPr>
                  </w:pPr>
                </w:p>
              </w:tc>
              <w:tc>
                <w:tcPr>
                  <w:tcW w:w="1132" w:type="dxa"/>
                  <w:vMerge w:val="continue"/>
                  <w:vAlign w:val="center"/>
                </w:tcPr>
                <w:p>
                  <w:pPr>
                    <w:pStyle w:val="26"/>
                    <w:adjustRightInd/>
                    <w:spacing w:line="240" w:lineRule="auto"/>
                    <w:jc w:val="center"/>
                    <w:rPr>
                      <w:rFonts w:ascii="Times New Roman" w:hAnsi="Times New Roman" w:cs="Times New Roman"/>
                      <w:color w:val="000000" w:themeColor="text1"/>
                      <w:sz w:val="21"/>
                      <w:szCs w:val="21"/>
                      <w14:textFill>
                        <w14:solidFill>
                          <w14:schemeClr w14:val="tx1"/>
                        </w14:solidFill>
                      </w14:textFill>
                    </w:rPr>
                  </w:pPr>
                </w:p>
              </w:tc>
              <w:tc>
                <w:tcPr>
                  <w:tcW w:w="2996" w:type="dxa"/>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1526" w:type="dxa"/>
                  <w:vMerge w:val="continue"/>
                  <w:vAlign w:val="center"/>
                </w:tcPr>
                <w:p>
                  <w:pPr>
                    <w:pStyle w:val="26"/>
                    <w:adjustRightInd/>
                    <w:spacing w:line="240" w:lineRule="auto"/>
                    <w:jc w:val="center"/>
                    <w:rPr>
                      <w:rFonts w:ascii="Times New Roman" w:hAnsi="Times New Roman" w:cs="Times New Roman"/>
                      <w:color w:val="000000" w:themeColor="text1"/>
                      <w:sz w:val="21"/>
                      <w:szCs w:val="21"/>
                      <w14:textFill>
                        <w14:solidFill>
                          <w14:schemeClr w14:val="tx1"/>
                        </w14:solidFill>
                      </w14:textFill>
                    </w:rPr>
                  </w:pPr>
                </w:p>
              </w:tc>
              <w:tc>
                <w:tcPr>
                  <w:tcW w:w="1623"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r>
          </w:tbl>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5</w:t>
            </w:r>
            <w:r>
              <w:rPr>
                <w:b/>
                <w:bCs/>
                <w:color w:val="000000" w:themeColor="text1"/>
                <w:szCs w:val="24"/>
                <w14:textFill>
                  <w14:solidFill>
                    <w14:schemeClr w14:val="tx1"/>
                  </w14:solidFill>
                </w14:textFill>
              </w:rPr>
              <w:t xml:space="preserve">  废水污染物排放（接管）信息表</w:t>
            </w:r>
          </w:p>
          <w:tbl>
            <w:tblPr>
              <w:tblStyle w:val="19"/>
              <w:tblW w:w="797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262"/>
              <w:gridCol w:w="1263"/>
              <w:gridCol w:w="1008"/>
              <w:gridCol w:w="1542"/>
              <w:gridCol w:w="2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tcBorders>
                    <w:top w:val="single" w:color="auto" w:sz="12" w:space="0"/>
                    <w:left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序号</w:t>
                  </w:r>
                </w:p>
              </w:tc>
              <w:tc>
                <w:tcPr>
                  <w:tcW w:w="1262" w:type="dxa"/>
                  <w:tcBorders>
                    <w:top w:val="single" w:color="auto" w:sz="12" w:space="0"/>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w:t>
                  </w:r>
                </w:p>
              </w:tc>
              <w:tc>
                <w:tcPr>
                  <w:tcW w:w="1263" w:type="dxa"/>
                  <w:tcBorders>
                    <w:top w:val="single" w:color="auto" w:sz="12" w:space="0"/>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污染物种类</w:t>
                  </w:r>
                </w:p>
              </w:tc>
              <w:tc>
                <w:tcPr>
                  <w:tcW w:w="1008" w:type="dxa"/>
                  <w:tcBorders>
                    <w:top w:val="single" w:color="auto" w:sz="12" w:space="0"/>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排放浓度mg/L</w:t>
                  </w:r>
                </w:p>
              </w:tc>
              <w:tc>
                <w:tcPr>
                  <w:tcW w:w="1542" w:type="dxa"/>
                  <w:tcBorders>
                    <w:top w:val="single" w:color="auto" w:sz="12" w:space="0"/>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日排放量t/d</w:t>
                  </w:r>
                </w:p>
              </w:tc>
              <w:tc>
                <w:tcPr>
                  <w:tcW w:w="2160" w:type="dxa"/>
                  <w:tcBorders>
                    <w:top w:val="single" w:color="auto" w:sz="12" w:space="0"/>
                    <w:right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1262" w:type="dxa"/>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DW001</w:t>
                  </w:r>
                </w:p>
              </w:tc>
              <w:tc>
                <w:tcPr>
                  <w:tcW w:w="1263"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bidi="ar"/>
                      <w14:textFill>
                        <w14:solidFill>
                          <w14:schemeClr w14:val="tx1"/>
                        </w14:solidFill>
                      </w14:textFill>
                    </w:rPr>
                    <w:t>p</w:t>
                  </w:r>
                  <w:r>
                    <w:rPr>
                      <w:color w:val="000000" w:themeColor="text1"/>
                      <w:kern w:val="0"/>
                      <w:szCs w:val="21"/>
                      <w:lang w:bidi="ar"/>
                      <w14:textFill>
                        <w14:solidFill>
                          <w14:schemeClr w14:val="tx1"/>
                        </w14:solidFill>
                      </w14:textFill>
                    </w:rPr>
                    <w:t>H</w:t>
                  </w:r>
                </w:p>
              </w:tc>
              <w:tc>
                <w:tcPr>
                  <w:tcW w:w="4710"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6~9（无量纲）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COD</w:t>
                  </w:r>
                </w:p>
              </w:tc>
              <w:tc>
                <w:tcPr>
                  <w:tcW w:w="100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340</w:t>
                  </w:r>
                </w:p>
              </w:tc>
              <w:tc>
                <w:tcPr>
                  <w:tcW w:w="154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0.00612</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SS</w:t>
                  </w:r>
                </w:p>
              </w:tc>
              <w:tc>
                <w:tcPr>
                  <w:tcW w:w="100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180</w:t>
                  </w:r>
                </w:p>
              </w:tc>
              <w:tc>
                <w:tcPr>
                  <w:tcW w:w="154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0.00324</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100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25</w:t>
                  </w:r>
                </w:p>
              </w:tc>
              <w:tc>
                <w:tcPr>
                  <w:tcW w:w="154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0.00045</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100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154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0.000072</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2" w:type="dxa"/>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1263"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1008"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40</w:t>
                  </w:r>
                </w:p>
              </w:tc>
              <w:tc>
                <w:tcPr>
                  <w:tcW w:w="1542"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0.00072</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全厂排放口合计</w:t>
                  </w: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p</w:t>
                  </w:r>
                  <w:r>
                    <w:rPr>
                      <w:color w:val="000000" w:themeColor="text1"/>
                      <w:kern w:val="0"/>
                      <w:szCs w:val="21"/>
                      <w:lang w:bidi="ar"/>
                      <w14:textFill>
                        <w14:solidFill>
                          <w14:schemeClr w14:val="tx1"/>
                        </w14:solidFill>
                      </w14:textFill>
                    </w:rPr>
                    <w:t>H</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6~9（无量纲）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COD</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SS</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04" w:type="dxa"/>
                  <w:gridSpan w:val="2"/>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813" w:type="dxa"/>
                  <w:gridSpan w:val="3"/>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2160"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r>
          </w:tbl>
          <w:p>
            <w:pPr>
              <w:adjustRightInd w:val="0"/>
              <w:spacing w:line="360" w:lineRule="auto"/>
              <w:ind w:firstLine="442" w:firstLineChars="200"/>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3、废水监测要求</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根据《排污单位自行监测技术指南 总则》（HJ942-2018）中相关要求确定废水监测方案，具体下表。</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6</w:t>
            </w:r>
            <w:r>
              <w:rPr>
                <w:b/>
                <w:bCs/>
                <w:color w:val="000000" w:themeColor="text1"/>
                <w:szCs w:val="24"/>
                <w14:textFill>
                  <w14:solidFill>
                    <w14:schemeClr w14:val="tx1"/>
                  </w14:solidFill>
                </w14:textFill>
              </w:rPr>
              <w:t xml:space="preserve">  废水监测要求</w:t>
            </w:r>
          </w:p>
          <w:tbl>
            <w:tblPr>
              <w:tblStyle w:val="19"/>
              <w:tblW w:w="794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461"/>
              <w:gridCol w:w="3716"/>
              <w:gridCol w:w="17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0"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类别</w:t>
                  </w:r>
                </w:p>
              </w:tc>
              <w:tc>
                <w:tcPr>
                  <w:tcW w:w="1461"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监测点位</w:t>
                  </w:r>
                </w:p>
              </w:tc>
              <w:tc>
                <w:tcPr>
                  <w:tcW w:w="3716"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监测指标</w:t>
                  </w:r>
                </w:p>
              </w:tc>
              <w:tc>
                <w:tcPr>
                  <w:tcW w:w="1749"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0" w:type="dxa"/>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废水</w:t>
                  </w:r>
                </w:p>
              </w:tc>
              <w:tc>
                <w:tcPr>
                  <w:tcW w:w="1461" w:type="dxa"/>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DW001</w:t>
                  </w:r>
                </w:p>
              </w:tc>
              <w:tc>
                <w:tcPr>
                  <w:tcW w:w="3716" w:type="dxa"/>
                  <w:vAlign w:val="center"/>
                </w:tcPr>
                <w:p>
                  <w:pPr>
                    <w:widowControl/>
                    <w:jc w:val="center"/>
                    <w:textAlignment w:val="center"/>
                    <w:rPr>
                      <w:bCs/>
                      <w:color w:val="000000" w:themeColor="text1"/>
                      <w14:textFill>
                        <w14:solidFill>
                          <w14:schemeClr w14:val="tx1"/>
                        </w14:solidFill>
                      </w14:textFill>
                    </w:rPr>
                  </w:pPr>
                  <w:r>
                    <w:rPr>
                      <w:rFonts w:hint="eastAsia"/>
                      <w:color w:val="000000" w:themeColor="text1"/>
                      <w:kern w:val="0"/>
                      <w:szCs w:val="21"/>
                      <w:lang w:bidi="ar"/>
                      <w14:textFill>
                        <w14:solidFill>
                          <w14:schemeClr w14:val="tx1"/>
                        </w14:solidFill>
                      </w14:textFill>
                    </w:rPr>
                    <w:t>p</w:t>
                  </w:r>
                  <w:r>
                    <w:rPr>
                      <w:color w:val="000000" w:themeColor="text1"/>
                      <w:kern w:val="0"/>
                      <w:szCs w:val="21"/>
                      <w:lang w:bidi="ar"/>
                      <w14:textFill>
                        <w14:solidFill>
                          <w14:schemeClr w14:val="tx1"/>
                        </w14:solidFill>
                      </w14:textFill>
                    </w:rPr>
                    <w:t>H、COD</w:t>
                  </w:r>
                  <w:r>
                    <w:rPr>
                      <w:color w:val="000000" w:themeColor="text1"/>
                      <w:szCs w:val="21"/>
                      <w14:textFill>
                        <w14:solidFill>
                          <w14:schemeClr w14:val="tx1"/>
                        </w14:solidFill>
                      </w14:textFill>
                    </w:rPr>
                    <w:t>、</w:t>
                  </w:r>
                  <w:r>
                    <w:rPr>
                      <w:color w:val="000000" w:themeColor="text1"/>
                      <w:kern w:val="0"/>
                      <w:szCs w:val="21"/>
                      <w:lang w:bidi="ar"/>
                      <w14:textFill>
                        <w14:solidFill>
                          <w14:schemeClr w14:val="tx1"/>
                        </w14:solidFill>
                      </w14:textFill>
                    </w:rPr>
                    <w:t>SS</w:t>
                  </w:r>
                  <w:r>
                    <w:rPr>
                      <w:color w:val="000000" w:themeColor="text1"/>
                      <w:szCs w:val="21"/>
                      <w14:textFill>
                        <w14:solidFill>
                          <w14:schemeClr w14:val="tx1"/>
                        </w14:solidFill>
                      </w14:textFill>
                    </w:rPr>
                    <w:t>、</w:t>
                  </w:r>
                  <w:r>
                    <w:rPr>
                      <w:color w:val="000000" w:themeColor="text1"/>
                      <w:kern w:val="0"/>
                      <w:szCs w:val="21"/>
                      <w:lang w:bidi="ar"/>
                      <w14:textFill>
                        <w14:solidFill>
                          <w14:schemeClr w14:val="tx1"/>
                        </w14:solidFill>
                      </w14:textFill>
                    </w:rPr>
                    <w:t>氨氮</w:t>
                  </w:r>
                  <w:r>
                    <w:rPr>
                      <w:color w:val="000000" w:themeColor="text1"/>
                      <w:szCs w:val="21"/>
                      <w14:textFill>
                        <w14:solidFill>
                          <w14:schemeClr w14:val="tx1"/>
                        </w14:solidFill>
                      </w14:textFill>
                    </w:rPr>
                    <w:t>、</w:t>
                  </w:r>
                  <w:r>
                    <w:rPr>
                      <w:color w:val="000000" w:themeColor="text1"/>
                      <w:kern w:val="0"/>
                      <w:szCs w:val="21"/>
                      <w:lang w:bidi="ar"/>
                      <w14:textFill>
                        <w14:solidFill>
                          <w14:schemeClr w14:val="tx1"/>
                        </w14:solidFill>
                      </w14:textFill>
                    </w:rPr>
                    <w:t>总磷</w:t>
                  </w:r>
                  <w:r>
                    <w:rPr>
                      <w:color w:val="000000" w:themeColor="text1"/>
                      <w:szCs w:val="21"/>
                      <w14:textFill>
                        <w14:solidFill>
                          <w14:schemeClr w14:val="tx1"/>
                        </w14:solidFill>
                      </w14:textFill>
                    </w:rPr>
                    <w:t>、</w:t>
                  </w:r>
                  <w:r>
                    <w:rPr>
                      <w:color w:val="000000" w:themeColor="text1"/>
                      <w:kern w:val="0"/>
                      <w:szCs w:val="21"/>
                      <w:lang w:bidi="ar"/>
                      <w14:textFill>
                        <w14:solidFill>
                          <w14:schemeClr w14:val="tx1"/>
                        </w14:solidFill>
                      </w14:textFill>
                    </w:rPr>
                    <w:t>总氮</w:t>
                  </w:r>
                </w:p>
              </w:tc>
              <w:tc>
                <w:tcPr>
                  <w:tcW w:w="1749" w:type="dxa"/>
                  <w:vAlign w:val="center"/>
                </w:tcPr>
                <w:p>
                  <w:pPr>
                    <w:jc w:val="center"/>
                    <w:rPr>
                      <w:bCs/>
                      <w:color w:val="000000" w:themeColor="text1"/>
                      <w14:textFill>
                        <w14:solidFill>
                          <w14:schemeClr w14:val="tx1"/>
                        </w14:solidFill>
                      </w14:textFill>
                    </w:rPr>
                  </w:pPr>
                  <w:r>
                    <w:rPr>
                      <w:bCs/>
                      <w:color w:val="000000" w:themeColor="text1"/>
                      <w14:textFill>
                        <w14:solidFill>
                          <w14:schemeClr w14:val="tx1"/>
                        </w14:solidFill>
                      </w14:textFill>
                    </w:rPr>
                    <w:t>1次/年</w:t>
                  </w:r>
                </w:p>
              </w:tc>
            </w:tr>
          </w:tbl>
          <w:p>
            <w:pPr>
              <w:adjustRightInd w:val="0"/>
              <w:spacing w:line="360" w:lineRule="auto"/>
              <w:ind w:firstLine="442" w:firstLineChars="200"/>
              <w:rPr>
                <w:b/>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4、措施可行性及影响分析</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（1）污水处理设施可行性分析</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本项目废水主要为生活污水，</w:t>
            </w:r>
            <w:r>
              <w:rPr>
                <w:rFonts w:hint="eastAsia"/>
                <w:color w:val="000000" w:themeColor="text1"/>
                <w:sz w:val="24"/>
                <w14:textFill>
                  <w14:solidFill>
                    <w14:schemeClr w14:val="tx1"/>
                  </w14:solidFill>
                </w14:textFill>
              </w:rPr>
              <w:t>经化粪池预</w:t>
            </w:r>
            <w:r>
              <w:rPr>
                <w:color w:val="000000" w:themeColor="text1"/>
                <w:sz w:val="24"/>
                <w14:textFill>
                  <w14:solidFill>
                    <w14:schemeClr w14:val="tx1"/>
                  </w14:solidFill>
                </w14:textFill>
              </w:rPr>
              <w:t>处理达标后部分接管至</w:t>
            </w:r>
            <w:r>
              <w:rPr>
                <w:rFonts w:hint="eastAsia"/>
                <w:color w:val="000000" w:themeColor="text1"/>
                <w:sz w:val="24"/>
                <w:lang w:eastAsia="zh-CN"/>
                <w14:textFill>
                  <w14:solidFill>
                    <w14:schemeClr w14:val="tx1"/>
                  </w14:solidFill>
                </w14:textFill>
              </w:rPr>
              <w:t>启迪浦华（泰州）水务有限公司</w:t>
            </w:r>
            <w:r>
              <w:rPr>
                <w:color w:val="000000" w:themeColor="text1"/>
                <w:sz w:val="24"/>
                <w14:textFill>
                  <w14:solidFill>
                    <w14:schemeClr w14:val="tx1"/>
                  </w14:solidFill>
                </w14:textFill>
              </w:rPr>
              <w:t>进行深度处理，尾水经许郑河，最终排入新通扬运河。</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化粪池原理：是一种利用沉淀和厌氧发酵的原理，去除生活污水中悬浮性有机物的处理设施，大体分为三步，即过滤沉淀、厌氧发酵、固体物分解。生活污水中含有大量粪便、纸屑、病原虫、悬浮物固体浓度为100~350mg/L，有机物浓度CODCr在100~400mg/L之间，其中悬浮性的有机物浓度BOD5为 50~200mg/L。污水进入化粪池经过12~24h的沉淀，可去除60%~70%的悬浮物。</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本项目生活污水产生量为</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/d，项目</w:t>
            </w:r>
            <w:r>
              <w:rPr>
                <w:rFonts w:hint="eastAsia"/>
                <w:color w:val="000000" w:themeColor="text1"/>
                <w:sz w:val="24"/>
                <w:lang w:val="en-US" w:eastAsia="zh-CN"/>
                <w14:textFill>
                  <w14:solidFill>
                    <w14:schemeClr w14:val="tx1"/>
                  </w14:solidFill>
                </w14:textFill>
              </w:rPr>
              <w:t>依托</w:t>
            </w:r>
            <w:r>
              <w:rPr>
                <w:color w:val="000000" w:themeColor="text1"/>
                <w:sz w:val="24"/>
                <w14:textFill>
                  <w14:solidFill>
                    <w14:schemeClr w14:val="tx1"/>
                  </w14:solidFill>
                </w14:textFill>
              </w:rPr>
              <w:t>化粪池处理能力为</w:t>
            </w:r>
            <w:r>
              <w:rPr>
                <w:rFonts w:hint="eastAsia"/>
                <w:color w:val="000000" w:themeColor="text1"/>
                <w:sz w:val="24"/>
                <w14:textFill>
                  <w14:solidFill>
                    <w14:schemeClr w14:val="tx1"/>
                  </w14:solidFill>
                </w14:textFill>
              </w:rPr>
              <w:t>30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，有足够的容量处理本项目产生的生活污水。项目产生的生活污水水质简单，通过化粪池处理后接管是可行的。</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（2）接管可行性分析</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①污水处理厂概况</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启迪浦华（泰州）水务有限公司</w:t>
            </w:r>
            <w:r>
              <w:rPr>
                <w:rFonts w:hint="eastAsia"/>
                <w:color w:val="000000" w:themeColor="text1"/>
                <w:sz w:val="24"/>
                <w14:textFill>
                  <w14:solidFill>
                    <w14:schemeClr w14:val="tx1"/>
                  </w14:solidFill>
                </w14:textFill>
              </w:rPr>
              <w:t>位于海陵工业园区西侧，济川东路与老328国道交界处。污水处理厂分两期建设，其中一期规模4万m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采用CAST工艺，一期工程于2000年3月2日通过江苏省环境保护局环评批复，2008年1月14日通过环保竣工验收。改扩建工程建设内容包括一期工程（4万吨/日）提标改造和二期扩建（4万吨/日），最终形成8万吨/日的污水处理总规模，一期、二期工程处理工艺整合为“多模式A</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O+混凝沉淀+纤维转盘过滤+二氧化氯消毒”的处理工艺，出水水质执行《城镇污水处理厂污染物排放标准》（GB18918-2002）一级A标准。改扩建工程项目于2011年3月2日经泰州环保局环评批复，其中一期提标改造工程于2014年2月通过泰州市环保局环保竣工验收。设计污水收集范围由一期泰州城河内老城区、海陵工业园区扩展至春兰工业园、高教园区和周山河街区等片区，目前污水处理厂日处理污水量约43000吨，剩余日处理污水量37000吨。</w:t>
            </w:r>
          </w:p>
          <w:p>
            <w:pPr>
              <w:wordWrap w:val="0"/>
              <w:topLinePunct/>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启迪浦华（泰州）水务有限公司</w:t>
            </w:r>
            <w:r>
              <w:rPr>
                <w:rFonts w:hint="eastAsia"/>
                <w:color w:val="000000" w:themeColor="text1"/>
                <w:sz w:val="24"/>
                <w14:textFill>
                  <w14:solidFill>
                    <w14:schemeClr w14:val="tx1"/>
                  </w14:solidFill>
                </w14:textFill>
              </w:rPr>
              <w:t>污水处理工艺见图4-1。</w:t>
            </w:r>
          </w:p>
          <w:p>
            <w:pPr>
              <w:wordWrap w:val="0"/>
              <w:topLinePunct/>
              <w:adjustRightInd w:val="0"/>
              <w:snapToGrid w:val="0"/>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object>
                <v:shape id="_x0000_i1028" o:spt="75" type="#_x0000_t75" style="height:205.35pt;width:398.05pt;" o:ole="t" filled="f" o:preferrelative="t" stroked="f" coordsize="21600,21600">
                  <v:path/>
                  <v:fill on="f" focussize="0,0"/>
                  <v:stroke on="f" joinstyle="miter"/>
                  <v:imagedata r:id="rId13" o:title=""/>
                  <o:lock v:ext="edit" aspectratio="f"/>
                  <w10:wrap type="none"/>
                  <w10:anchorlock/>
                </v:shape>
                <o:OLEObject Type="Embed" ProgID="Visio.Drawing.15" ShapeID="_x0000_i1028" DrawAspect="Content" ObjectID="_1468075728" r:id="rId12">
                  <o:LockedField>false</o:LockedField>
                </o:OLEObject>
              </w:objec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图4-</w:t>
            </w:r>
            <w:r>
              <w:rPr>
                <w:rFonts w:hint="eastAsia"/>
                <w:b/>
                <w:bCs/>
                <w:color w:val="000000" w:themeColor="text1"/>
                <w:szCs w:val="24"/>
                <w14:textFill>
                  <w14:solidFill>
                    <w14:schemeClr w14:val="tx1"/>
                  </w14:solidFill>
                </w14:textFill>
              </w:rPr>
              <w:t xml:space="preserve">1 </w:t>
            </w:r>
            <w:r>
              <w:rPr>
                <w:b/>
                <w:bCs/>
                <w:color w:val="000000" w:themeColor="text1"/>
                <w:szCs w:val="24"/>
                <w14:textFill>
                  <w14:solidFill>
                    <w14:schemeClr w14:val="tx1"/>
                  </w14:solidFill>
                </w14:textFill>
              </w:rPr>
              <w:t xml:space="preserve"> </w:t>
            </w:r>
            <w:r>
              <w:rPr>
                <w:rFonts w:hint="eastAsia"/>
                <w:b/>
                <w:bCs/>
                <w:color w:val="000000" w:themeColor="text1"/>
                <w:szCs w:val="24"/>
                <w:lang w:eastAsia="zh-CN"/>
                <w14:textFill>
                  <w14:solidFill>
                    <w14:schemeClr w14:val="tx1"/>
                  </w14:solidFill>
                </w14:textFill>
              </w:rPr>
              <w:t>启迪浦华（泰州）水务有限公司</w:t>
            </w:r>
            <w:r>
              <w:rPr>
                <w:b/>
                <w:bCs/>
                <w:color w:val="000000" w:themeColor="text1"/>
                <w:szCs w:val="24"/>
                <w14:textFill>
                  <w14:solidFill>
                    <w14:schemeClr w14:val="tx1"/>
                  </w14:solidFill>
                </w14:textFill>
              </w:rPr>
              <w:t>污水处理工艺</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②接管可行性分析</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I.水量：本项目建成后排放水量约为</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/d，排放量不大，仅占污水处理厂日处理量的0.1</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‰，在</w:t>
            </w:r>
            <w:r>
              <w:rPr>
                <w:rFonts w:hint="eastAsia"/>
                <w:color w:val="000000" w:themeColor="text1"/>
                <w:sz w:val="24"/>
                <w:lang w:eastAsia="zh-CN"/>
                <w14:textFill>
                  <w14:solidFill>
                    <w14:schemeClr w14:val="tx1"/>
                  </w14:solidFill>
                </w14:textFill>
              </w:rPr>
              <w:t>启迪浦华（泰州）水务有限公司</w:t>
            </w:r>
            <w:r>
              <w:rPr>
                <w:color w:val="000000" w:themeColor="text1"/>
                <w:sz w:val="24"/>
                <w14:textFill>
                  <w14:solidFill>
                    <w14:schemeClr w14:val="tx1"/>
                  </w14:solidFill>
                </w14:textFill>
              </w:rPr>
              <w:t>的处理容量范围之内，项目废水量不会对污水厂处理系统造成冲击负荷。</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II.水质：项目废水中主要含有COD、SS、NH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-N、TP</w:t>
            </w:r>
            <w:r>
              <w:rPr>
                <w:rFonts w:hint="eastAsia"/>
                <w:color w:val="000000" w:themeColor="text1"/>
                <w:sz w:val="24"/>
                <w14:textFill>
                  <w14:solidFill>
                    <w14:schemeClr w14:val="tx1"/>
                  </w14:solidFill>
                </w14:textFill>
              </w:rPr>
              <w:t>、TN</w:t>
            </w:r>
            <w:r>
              <w:rPr>
                <w:color w:val="000000" w:themeColor="text1"/>
                <w:sz w:val="24"/>
                <w14:textFill>
                  <w14:solidFill>
                    <w14:schemeClr w14:val="tx1"/>
                  </w14:solidFill>
                </w14:textFill>
              </w:rPr>
              <w:t>等常规指标，均可达到接管标准，可生化性好，污水处理厂对本项目废水去除效果较好，能做到达标排放，因此本项目废水经市政污水管网接入</w:t>
            </w:r>
            <w:r>
              <w:rPr>
                <w:rFonts w:hint="eastAsia"/>
                <w:color w:val="000000" w:themeColor="text1"/>
                <w:sz w:val="24"/>
                <w:lang w:eastAsia="zh-CN"/>
                <w14:textFill>
                  <w14:solidFill>
                    <w14:schemeClr w14:val="tx1"/>
                  </w14:solidFill>
                </w14:textFill>
              </w:rPr>
              <w:t>启迪浦华（泰州）水务有限公司</w:t>
            </w:r>
            <w:r>
              <w:rPr>
                <w:color w:val="000000" w:themeColor="text1"/>
                <w:sz w:val="24"/>
                <w14:textFill>
                  <w14:solidFill>
                    <w14:schemeClr w14:val="tx1"/>
                  </w14:solidFill>
                </w14:textFill>
              </w:rPr>
              <w:t>集中处理，从水质角度考虑是可行的。</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III.管网配套：项目所在区域污水管网已铺设到位。本项目产生的废水可通过项目所在区域污水管网</w:t>
            </w:r>
            <w:r>
              <w:rPr>
                <w:rFonts w:hint="eastAsia"/>
                <w:color w:val="000000" w:themeColor="text1"/>
                <w:sz w:val="24"/>
                <w14:textFill>
                  <w14:solidFill>
                    <w14:schemeClr w14:val="tx1"/>
                  </w14:solidFill>
                </w14:textFill>
              </w:rPr>
              <w:t>进入</w:t>
            </w:r>
            <w:r>
              <w:rPr>
                <w:color w:val="000000" w:themeColor="text1"/>
                <w:sz w:val="24"/>
                <w14:textFill>
                  <w14:solidFill>
                    <w14:schemeClr w14:val="tx1"/>
                  </w14:solidFill>
                </w14:textFill>
              </w:rPr>
              <w:t>污水处理厂处理。</w:t>
            </w:r>
          </w:p>
          <w:p>
            <w:pPr>
              <w:wordWrap w:val="0"/>
              <w:topLinePunct/>
              <w:spacing w:line="360" w:lineRule="auto"/>
              <w:ind w:firstLine="480" w:firstLineChars="200"/>
              <w:rPr>
                <w:b/>
                <w:bCs/>
                <w:color w:val="000000" w:themeColor="text1"/>
                <w14:textFill>
                  <w14:solidFill>
                    <w14:schemeClr w14:val="tx1"/>
                  </w14:solidFill>
                </w14:textFill>
              </w:rPr>
            </w:pPr>
            <w:r>
              <w:rPr>
                <w:color w:val="000000" w:themeColor="text1"/>
                <w:sz w:val="24"/>
                <w14:textFill>
                  <w14:solidFill>
                    <w14:schemeClr w14:val="tx1"/>
                  </w14:solidFill>
                </w14:textFill>
              </w:rPr>
              <w:t>综上所述，项目废水接管至</w:t>
            </w:r>
            <w:r>
              <w:rPr>
                <w:rFonts w:hint="eastAsia"/>
                <w:color w:val="000000" w:themeColor="text1"/>
                <w:sz w:val="24"/>
                <w:lang w:eastAsia="zh-CN"/>
                <w14:textFill>
                  <w14:solidFill>
                    <w14:schemeClr w14:val="tx1"/>
                  </w14:solidFill>
                </w14:textFill>
              </w:rPr>
              <w:t>启迪浦华（泰州）水务有限公司</w:t>
            </w:r>
            <w:r>
              <w:rPr>
                <w:color w:val="000000" w:themeColor="text1"/>
                <w:sz w:val="24"/>
                <w14:textFill>
                  <w14:solidFill>
                    <w14:schemeClr w14:val="tx1"/>
                  </w14:solidFill>
                </w14:textFill>
              </w:rPr>
              <w:t>具有可行性，废水经处理后排入</w:t>
            </w:r>
            <w:r>
              <w:rPr>
                <w:rFonts w:hint="eastAsia"/>
                <w:color w:val="000000" w:themeColor="text1"/>
                <w:sz w:val="24"/>
                <w14:textFill>
                  <w14:solidFill>
                    <w14:schemeClr w14:val="tx1"/>
                  </w14:solidFill>
                </w14:textFill>
              </w:rPr>
              <w:t>许郑河</w:t>
            </w:r>
            <w:r>
              <w:rPr>
                <w:color w:val="000000" w:themeColor="text1"/>
                <w:sz w:val="24"/>
                <w14:textFill>
                  <w14:solidFill>
                    <w14:schemeClr w14:val="tx1"/>
                  </w14:solidFill>
                </w14:textFill>
              </w:rPr>
              <w:t>，对项目周边地表水环境影响很小。</w:t>
            </w:r>
          </w:p>
          <w:p>
            <w:pPr>
              <w:adjustRightInd w:val="0"/>
              <w:spacing w:line="360" w:lineRule="auto"/>
              <w:rPr>
                <w:bCs/>
                <w:color w:val="000000" w:themeColor="text1"/>
                <w:spacing w:val="-10"/>
                <w:szCs w:val="21"/>
                <w14:textFill>
                  <w14:solidFill>
                    <w14:schemeClr w14:val="tx1"/>
                  </w14:solidFill>
                </w14:textFill>
              </w:rPr>
            </w:pP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0" w:hRule="atLeast"/>
        </w:trPr>
        <w:tc>
          <w:tcPr>
            <w:tcW w:w="327" w:type="pct"/>
          </w:tcPr>
          <w:p>
            <w:pPr>
              <w:pStyle w:val="17"/>
              <w:jc w:val="center"/>
              <w:outlineLvl w:val="0"/>
              <w:rPr>
                <w:rFonts w:ascii="Times New Roman" w:hAnsi="Times New Roman"/>
                <w:snapToGrid w:val="0"/>
                <w:color w:val="000000" w:themeColor="text1"/>
                <w:sz w:val="30"/>
                <w:szCs w:val="30"/>
                <w14:textFill>
                  <w14:solidFill>
                    <w14:schemeClr w14:val="tx1"/>
                  </w14:solidFill>
                </w14:textFill>
              </w:rPr>
            </w:pPr>
          </w:p>
        </w:tc>
        <w:tc>
          <w:tcPr>
            <w:tcW w:w="4672" w:type="pct"/>
          </w:tcPr>
          <w:p>
            <w:pPr>
              <w:spacing w:line="360" w:lineRule="auto"/>
              <w:ind w:firstLine="482" w:firstLineChars="200"/>
              <w:rPr>
                <w:b/>
                <w:bCs/>
                <w:color w:val="000000" w:themeColor="text1"/>
                <w:kern w:val="0"/>
                <w:sz w:val="24"/>
                <w14:textFill>
                  <w14:solidFill>
                    <w14:schemeClr w14:val="tx1"/>
                  </w14:solidFill>
                </w14:textFill>
              </w:rPr>
            </w:pPr>
            <w:r>
              <w:rPr>
                <w:b/>
                <w:bCs/>
                <w:color w:val="000000" w:themeColor="text1"/>
                <w:sz w:val="24"/>
                <w14:textFill>
                  <w14:solidFill>
                    <w14:schemeClr w14:val="tx1"/>
                  </w14:solidFill>
                </w14:textFill>
              </w:rPr>
              <w:t>三、噪声环境影响和保护措施</w:t>
            </w:r>
          </w:p>
          <w:p>
            <w:pPr>
              <w:adjustRightInd w:val="0"/>
              <w:snapToGrid w:val="0"/>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1、噪声源及降噪情况</w:t>
            </w:r>
          </w:p>
          <w:p>
            <w:pPr>
              <w:adjustRightInd w:val="0"/>
              <w:snapToGrid w:val="0"/>
              <w:spacing w:line="360" w:lineRule="auto"/>
              <w:ind w:firstLine="480" w:firstLineChars="200"/>
              <w:jc w:val="left"/>
              <w:rPr>
                <w:color w:val="000000" w:themeColor="text1"/>
                <w:sz w:val="24"/>
                <w14:textFill>
                  <w14:solidFill>
                    <w14:schemeClr w14:val="tx1"/>
                  </w14:solidFill>
                </w14:textFill>
              </w:rPr>
            </w:pPr>
            <w:r>
              <w:rPr>
                <w:bCs/>
                <w:color w:val="000000" w:themeColor="text1"/>
                <w:sz w:val="24"/>
                <w14:textFill>
                  <w14:solidFill>
                    <w14:schemeClr w14:val="tx1"/>
                  </w14:solidFill>
                </w14:textFill>
              </w:rPr>
              <w:t>本项目噪声主要为重力铸造机</w:t>
            </w:r>
            <w:r>
              <w:rPr>
                <w:rFonts w:hint="eastAsia"/>
                <w:bCs/>
                <w:color w:val="000000" w:themeColor="text1"/>
                <w:sz w:val="24"/>
                <w14:textFill>
                  <w14:solidFill>
                    <w14:schemeClr w14:val="tx1"/>
                  </w14:solidFill>
                </w14:textFill>
              </w:rPr>
              <w:t>、电动螺旋压力机、双室低压铸造机、立式带锯床、数控锯床</w:t>
            </w:r>
            <w:r>
              <w:rPr>
                <w:bCs/>
                <w:color w:val="000000" w:themeColor="text1"/>
                <w:sz w:val="24"/>
                <w14:textFill>
                  <w14:solidFill>
                    <w14:schemeClr w14:val="tx1"/>
                  </w14:solidFill>
                </w14:textFill>
              </w:rPr>
              <w:t>等运转产生的噪声，预计噪声源在95-105dB（A）。项目主要噪声设备情况见下表</w:t>
            </w:r>
            <w:r>
              <w:rPr>
                <w:color w:val="000000" w:themeColor="text1"/>
                <w:sz w:val="24"/>
                <w14:textFill>
                  <w14:solidFill>
                    <w14:schemeClr w14:val="tx1"/>
                  </w14:solidFill>
                </w14:textFill>
              </w:rPr>
              <w:t>。</w:t>
            </w:r>
            <w:bookmarkStart w:id="10" w:name="_Ref4661962"/>
            <w:bookmarkStart w:id="11" w:name="_Ref4773105"/>
          </w:p>
          <w:p>
            <w:pPr>
              <w:adjustRightInd w:val="0"/>
              <w:snapToGrid w:val="0"/>
              <w:jc w:val="center"/>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表</w:t>
            </w:r>
            <w:bookmarkEnd w:id="10"/>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7</w:t>
            </w:r>
            <w:r>
              <w:rPr>
                <w:b/>
                <w:color w:val="000000" w:themeColor="text1"/>
                <w:sz w:val="24"/>
                <w14:textFill>
                  <w14:solidFill>
                    <w14:schemeClr w14:val="tx1"/>
                  </w14:solidFill>
                </w14:textFill>
              </w:rPr>
              <w:t xml:space="preserve">  项目主要噪声源一览表</w:t>
            </w:r>
            <w:bookmarkEnd w:id="11"/>
            <w:r>
              <w:rPr>
                <w:b/>
                <w:color w:val="000000" w:themeColor="text1"/>
                <w:sz w:val="24"/>
                <w14:textFill>
                  <w14:solidFill>
                    <w14:schemeClr w14:val="tx1"/>
                  </w14:solidFill>
                </w14:textFill>
              </w:rPr>
              <w:t xml:space="preserve">  单位：</w:t>
            </w:r>
            <w:r>
              <w:rPr>
                <w:b/>
                <w:bCs/>
                <w:color w:val="000000" w:themeColor="text1"/>
                <w:sz w:val="24"/>
                <w14:textFill>
                  <w14:solidFill>
                    <w14:schemeClr w14:val="tx1"/>
                  </w14:solidFill>
                </w14:textFill>
              </w:rPr>
              <w:t>dB（A）</w:t>
            </w:r>
          </w:p>
          <w:tbl>
            <w:tblPr>
              <w:tblStyle w:val="19"/>
              <w:tblW w:w="4998" w:type="pct"/>
              <w:tblInd w:w="0" w:type="dxa"/>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413"/>
              <w:gridCol w:w="597"/>
              <w:gridCol w:w="816"/>
              <w:gridCol w:w="413"/>
              <w:gridCol w:w="345"/>
              <w:gridCol w:w="668"/>
              <w:gridCol w:w="400"/>
              <w:gridCol w:w="608"/>
              <w:gridCol w:w="561"/>
              <w:gridCol w:w="326"/>
              <w:gridCol w:w="412"/>
              <w:gridCol w:w="412"/>
              <w:gridCol w:w="412"/>
              <w:gridCol w:w="414"/>
              <w:gridCol w:w="550"/>
              <w:gridCol w:w="612"/>
              <w:gridCol w:w="550"/>
              <w:gridCol w:w="557"/>
              <w:gridCol w:w="706"/>
              <w:gridCol w:w="550"/>
              <w:gridCol w:w="555"/>
              <w:gridCol w:w="602"/>
              <w:gridCol w:w="552"/>
              <w:gridCol w:w="578"/>
              <w:gridCol w:w="414"/>
            </w:tblGrid>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序号</w:t>
                  </w:r>
                </w:p>
              </w:tc>
              <w:tc>
                <w:tcPr>
                  <w:tcW w:w="229"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建筑物名称</w:t>
                  </w:r>
                </w:p>
              </w:tc>
              <w:tc>
                <w:tcPr>
                  <w:tcW w:w="313"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声源名称</w:t>
                  </w:r>
                </w:p>
              </w:tc>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型号</w:t>
                  </w:r>
                </w:p>
              </w:tc>
              <w:tc>
                <w:tcPr>
                  <w:tcW w:w="132"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数量</w:t>
                  </w:r>
                </w:p>
              </w:tc>
              <w:tc>
                <w:tcPr>
                  <w:tcW w:w="256"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声源源强（声功率级）</w:t>
                  </w:r>
                </w:p>
              </w:tc>
              <w:tc>
                <w:tcPr>
                  <w:tcW w:w="153" w:type="pct"/>
                  <w:vMerge w:val="restart"/>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声源控制措施</w:t>
                  </w:r>
                </w:p>
              </w:tc>
              <w:tc>
                <w:tcPr>
                  <w:tcW w:w="573" w:type="pct"/>
                  <w:gridSpan w:val="3"/>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空间相对位置/m</w:t>
                  </w:r>
                </w:p>
              </w:tc>
              <w:tc>
                <w:tcPr>
                  <w:tcW w:w="633" w:type="pct"/>
                  <w:gridSpan w:val="4"/>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距室内边界距离/m</w:t>
                  </w:r>
                </w:p>
              </w:tc>
              <w:tc>
                <w:tcPr>
                  <w:tcW w:w="871" w:type="pct"/>
                  <w:gridSpan w:val="4"/>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室内边界声级/dB(A)</w:t>
                  </w:r>
                </w:p>
              </w:tc>
              <w:tc>
                <w:tcPr>
                  <w:tcW w:w="271" w:type="pc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运行</w:t>
                  </w:r>
                </w:p>
              </w:tc>
              <w:tc>
                <w:tcPr>
                  <w:tcW w:w="211"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建筑物插入损失/dB(A)</w:t>
                  </w:r>
                </w:p>
              </w:tc>
              <w:tc>
                <w:tcPr>
                  <w:tcW w:w="1037" w:type="pct"/>
                  <w:gridSpan w:val="5"/>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建筑物外噪声</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29"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31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32"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56"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33"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X</w:t>
                  </w:r>
                </w:p>
              </w:tc>
              <w:tc>
                <w:tcPr>
                  <w:tcW w:w="215"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Y</w:t>
                  </w:r>
                </w:p>
              </w:tc>
              <w:tc>
                <w:tcPr>
                  <w:tcW w:w="124"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Z</w:t>
                  </w:r>
                </w:p>
              </w:tc>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北</w:t>
                  </w:r>
                </w:p>
              </w:tc>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东</w:t>
                  </w:r>
                </w:p>
              </w:tc>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西</w:t>
                  </w:r>
                </w:p>
              </w:tc>
              <w:tc>
                <w:tcPr>
                  <w:tcW w:w="159"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南</w:t>
                  </w:r>
                </w:p>
              </w:tc>
              <w:tc>
                <w:tcPr>
                  <w:tcW w:w="211"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北</w:t>
                  </w:r>
                </w:p>
              </w:tc>
              <w:tc>
                <w:tcPr>
                  <w:tcW w:w="235"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东</w:t>
                  </w:r>
                </w:p>
              </w:tc>
              <w:tc>
                <w:tcPr>
                  <w:tcW w:w="211"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西</w:t>
                  </w:r>
                </w:p>
              </w:tc>
              <w:tc>
                <w:tcPr>
                  <w:tcW w:w="213"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南</w:t>
                  </w:r>
                </w:p>
              </w:tc>
              <w:tc>
                <w:tcPr>
                  <w:tcW w:w="271"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时段</w:t>
                  </w:r>
                </w:p>
              </w:tc>
              <w:tc>
                <w:tcPr>
                  <w:tcW w:w="211"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878" w:type="pct"/>
                  <w:gridSpan w:val="4"/>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声压级/dB(A )</w:t>
                  </w:r>
                </w:p>
              </w:tc>
              <w:tc>
                <w:tcPr>
                  <w:tcW w:w="158" w:type="pct"/>
                  <w:vMerge w:val="restar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建筑物外距离/m</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29"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31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32"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56"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3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5"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24"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159"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1"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35"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1"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3"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71"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1"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c>
                <w:tcPr>
                  <w:tcW w:w="213" w:type="pc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北</w:t>
                  </w:r>
                </w:p>
              </w:tc>
              <w:tc>
                <w:tcPr>
                  <w:tcW w:w="231" w:type="pc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东</w:t>
                  </w:r>
                </w:p>
              </w:tc>
              <w:tc>
                <w:tcPr>
                  <w:tcW w:w="212" w:type="pc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西</w:t>
                  </w:r>
                </w:p>
              </w:tc>
              <w:tc>
                <w:tcPr>
                  <w:tcW w:w="221" w:type="pct"/>
                  <w:tcBorders>
                    <w:tl2br w:val="nil"/>
                    <w:tr2bl w:val="nil"/>
                  </w:tcBorders>
                  <w:vAlign w:val="center"/>
                </w:tcPr>
                <w:p>
                  <w:pPr>
                    <w:wordWrap w:val="0"/>
                    <w:topLinePunct/>
                    <w:jc w:val="center"/>
                    <w:textAlignment w:val="center"/>
                    <w:rPr>
                      <w:b/>
                      <w:bCs/>
                      <w:color w:val="000000" w:themeColor="text1"/>
                      <w:sz w:val="15"/>
                      <w:szCs w:val="15"/>
                      <w14:textFill>
                        <w14:solidFill>
                          <w14:schemeClr w14:val="tx1"/>
                        </w14:solidFill>
                      </w14:textFill>
                    </w:rPr>
                  </w:pPr>
                  <w:r>
                    <w:rPr>
                      <w:b/>
                      <w:bCs/>
                      <w:color w:val="000000" w:themeColor="text1"/>
                      <w:kern w:val="0"/>
                      <w:sz w:val="15"/>
                      <w:szCs w:val="15"/>
                      <w:lang w:bidi="ar"/>
                      <w14:textFill>
                        <w14:solidFill>
                          <w14:schemeClr w14:val="tx1"/>
                        </w14:solidFill>
                      </w14:textFill>
                    </w:rPr>
                    <w:t>南</w:t>
                  </w:r>
                </w:p>
              </w:tc>
              <w:tc>
                <w:tcPr>
                  <w:tcW w:w="158" w:type="pct"/>
                  <w:vMerge w:val="continue"/>
                  <w:tcBorders>
                    <w:tl2br w:val="nil"/>
                    <w:tr2bl w:val="nil"/>
                  </w:tcBorders>
                  <w:vAlign w:val="center"/>
                </w:tcPr>
                <w:p>
                  <w:pPr>
                    <w:wordWrap w:val="0"/>
                    <w:topLinePunct/>
                    <w:jc w:val="center"/>
                    <w:rPr>
                      <w:b/>
                      <w:bCs/>
                      <w:color w:val="000000" w:themeColor="text1"/>
                      <w:sz w:val="15"/>
                      <w:szCs w:val="15"/>
                      <w14:textFill>
                        <w14:solidFill>
                          <w14:schemeClr w14:val="tx1"/>
                        </w14:solidFill>
                      </w14:textFill>
                    </w:rPr>
                  </w:pP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229" w:type="pct"/>
                  <w:vMerge w:val="restar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铸造及锻造车间</w:t>
                  </w: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重力铸造机（半自动）</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8</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80</w:t>
                  </w:r>
                </w:p>
              </w:tc>
              <w:tc>
                <w:tcPr>
                  <w:tcW w:w="153" w:type="pct"/>
                  <w:vMerge w:val="restar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减振、厂房隔声、距离衰减声</w:t>
                  </w: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18</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57.9</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59.5</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37.0</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37.0</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37.9</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重力铸造机（自动化）</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12</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80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12</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21</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51.0</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53.2</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56.6</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31.0</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33.2</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36.6</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双室低压铸造机</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3</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46</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12</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42.1</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43.5</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47.0</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45.1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立式带锯床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3</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58</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47.7</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49.4</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51.0</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34.7</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36.4</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42.0</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卧式带锯床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3</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w:t>
                  </w:r>
                  <w:r>
                    <w:rPr>
                      <w:rFonts w:hint="eastAsia"/>
                      <w:color w:val="000000" w:themeColor="text1"/>
                      <w:kern w:val="0"/>
                      <w:sz w:val="15"/>
                      <w:szCs w:val="15"/>
                      <w:lang w:bidi="ar"/>
                      <w14:textFill>
                        <w14:solidFill>
                          <w14:schemeClr w14:val="tx1"/>
                        </w14:solidFill>
                      </w14:textFill>
                    </w:rPr>
                    <w:t>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50.5</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49.0</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39.9</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42.1</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42.5</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41.0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6</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全自动圆盘锯床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1</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48.2</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50.5</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37.9</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40.1</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38.2</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7</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数控锯床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5</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37.9</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40.1</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47.0</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数控电动螺旋压力机</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105</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46</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49.8</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49.9</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57.0</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数控电液锤</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7</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31</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48.9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58.4</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53.2</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35.8</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45.4</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40.2</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bottom w:val="single" w:color="auto" w:sz="4" w:space="0"/>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10</w:t>
                  </w:r>
                </w:p>
              </w:tc>
              <w:tc>
                <w:tcPr>
                  <w:tcW w:w="229" w:type="pct"/>
                  <w:vMerge w:val="continue"/>
                  <w:tcBorders>
                    <w:bottom w:val="single" w:color="auto" w:sz="4" w:space="0"/>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bottom w:val="single" w:color="auto" w:sz="4" w:space="0"/>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闭式单点冲</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2</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30</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59.5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53.5</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40.1</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49.5</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43.5</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op w:val="single" w:color="auto" w:sz="4" w:space="0"/>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11</w:t>
                  </w:r>
                </w:p>
              </w:tc>
              <w:tc>
                <w:tcPr>
                  <w:tcW w:w="229" w:type="pct"/>
                  <w:vMerge w:val="restart"/>
                  <w:tcBorders>
                    <w:top w:val="single" w:color="auto" w:sz="4" w:space="0"/>
                    <w:tl2br w:val="nil"/>
                    <w:tr2bl w:val="nil"/>
                  </w:tcBorders>
                  <w:vAlign w:val="center"/>
                </w:tcPr>
                <w:p>
                  <w:pPr>
                    <w:wordWrap w:val="0"/>
                    <w:topLinePunct/>
                    <w:jc w:val="center"/>
                    <w:rPr>
                      <w:color w:val="000000" w:themeColor="text1"/>
                      <w:sz w:val="15"/>
                      <w:szCs w:val="15"/>
                      <w14:textFill>
                        <w14:solidFill>
                          <w14:schemeClr w14:val="tx1"/>
                        </w14:solidFill>
                      </w14:textFill>
                    </w:rPr>
                  </w:pPr>
                  <w:r>
                    <w:rPr>
                      <w:rFonts w:hint="eastAsia"/>
                      <w:color w:val="000000" w:themeColor="text1"/>
                      <w:sz w:val="15"/>
                      <w:szCs w:val="15"/>
                      <w14:textFill>
                        <w14:solidFill>
                          <w14:schemeClr w14:val="tx1"/>
                        </w14:solidFill>
                      </w14:textFill>
                    </w:rPr>
                    <w:t>机加工及后处理车间</w:t>
                  </w:r>
                </w:p>
              </w:tc>
              <w:tc>
                <w:tcPr>
                  <w:tcW w:w="313" w:type="pct"/>
                  <w:tcBorders>
                    <w:top w:val="single" w:color="auto" w:sz="4" w:space="0"/>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数控车床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4</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w:t>
                  </w:r>
                </w:p>
              </w:tc>
              <w:tc>
                <w:tcPr>
                  <w:tcW w:w="21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13</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30</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60.7</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53.5</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39.1</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47.7</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40.5</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12</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数控车床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4</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31</w:t>
                  </w:r>
                </w:p>
              </w:tc>
              <w:tc>
                <w:tcPr>
                  <w:tcW w:w="215"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2</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12</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34</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60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53.2</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61.4</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52.4</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47.4</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43.2</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51.4</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42.4</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37.4</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13</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数控车床</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22</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27</w:t>
                  </w:r>
                </w:p>
              </w:tc>
              <w:tc>
                <w:tcPr>
                  <w:tcW w:w="215"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32</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54.4</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62.2</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51.4</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52.9</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41.4</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49.2</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38.4</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39.9</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14</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立式加工中心</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16</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18</w:t>
                  </w:r>
                </w:p>
              </w:tc>
              <w:tc>
                <w:tcPr>
                  <w:tcW w:w="215"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57.9</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57.9</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49.6</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51.0</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47.9</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39.6</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41.0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15</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钻攻中心</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8</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90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21</w:t>
                  </w:r>
                </w:p>
              </w:tc>
              <w:tc>
                <w:tcPr>
                  <w:tcW w:w="215"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-8</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18</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56.6</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57.9</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50.1</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43.6</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44.9</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37.1</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42.0</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r>
              <w:tblPrEx>
                <w:tblBorders>
                  <w:top w:val="single" w:color="000000" w:sz="12" w:space="0"/>
                  <w:left w:val="none" w:color="auto" w:sz="0" w:space="0"/>
                  <w:bottom w:val="single" w:color="000000" w:sz="8"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trPr>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16</w:t>
                  </w:r>
                </w:p>
              </w:tc>
              <w:tc>
                <w:tcPr>
                  <w:tcW w:w="229"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313"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悬挂式抛丸机</w:t>
                  </w:r>
                </w:p>
              </w:tc>
              <w:tc>
                <w:tcPr>
                  <w:tcW w:w="158"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w:t>
                  </w:r>
                </w:p>
              </w:tc>
              <w:tc>
                <w:tcPr>
                  <w:tcW w:w="132"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rFonts w:hint="eastAsia"/>
                      <w:color w:val="000000" w:themeColor="text1"/>
                      <w:kern w:val="0"/>
                      <w:sz w:val="15"/>
                      <w:szCs w:val="15"/>
                      <w:lang w:bidi="ar"/>
                      <w14:textFill>
                        <w14:solidFill>
                          <w14:schemeClr w14:val="tx1"/>
                        </w14:solidFill>
                      </w14:textFill>
                    </w:rPr>
                    <w:t>1</w:t>
                  </w:r>
                </w:p>
              </w:tc>
              <w:tc>
                <w:tcPr>
                  <w:tcW w:w="256"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100</w:t>
                  </w:r>
                </w:p>
              </w:tc>
              <w:tc>
                <w:tcPr>
                  <w:tcW w:w="153" w:type="pct"/>
                  <w:vMerge w:val="continue"/>
                  <w:tcBorders>
                    <w:tl2br w:val="nil"/>
                    <w:tr2bl w:val="nil"/>
                  </w:tcBorders>
                  <w:vAlign w:val="center"/>
                </w:tcPr>
                <w:p>
                  <w:pPr>
                    <w:wordWrap w:val="0"/>
                    <w:topLinePunct/>
                    <w:jc w:val="center"/>
                    <w:rPr>
                      <w:color w:val="000000" w:themeColor="text1"/>
                      <w:sz w:val="15"/>
                      <w:szCs w:val="15"/>
                      <w14:textFill>
                        <w14:solidFill>
                          <w14:schemeClr w14:val="tx1"/>
                        </w14:solidFill>
                      </w14:textFill>
                    </w:rPr>
                  </w:pPr>
                </w:p>
              </w:tc>
              <w:tc>
                <w:tcPr>
                  <w:tcW w:w="23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215" w:type="pct"/>
                  <w:tcBorders>
                    <w:tl2br w:val="nil"/>
                    <w:tr2bl w:val="nil"/>
                  </w:tcBorders>
                  <w:vAlign w:val="center"/>
                </w:tcPr>
                <w:p>
                  <w:pPr>
                    <w:wordWrap w:val="0"/>
                    <w:topLinePunct/>
                    <w:jc w:val="center"/>
                    <w:textAlignment w:val="center"/>
                    <w:rPr>
                      <w:color w:val="000000" w:themeColor="text1"/>
                      <w:kern w:val="0"/>
                      <w:sz w:val="15"/>
                      <w:szCs w:val="15"/>
                      <w:lang w:bidi="ar"/>
                      <w14:textFill>
                        <w14:solidFill>
                          <w14:schemeClr w14:val="tx1"/>
                        </w14:solidFill>
                      </w14:textFill>
                    </w:rPr>
                  </w:pPr>
                  <w:r>
                    <w:rPr>
                      <w:color w:val="000000" w:themeColor="text1"/>
                      <w:kern w:val="0"/>
                      <w:sz w:val="15"/>
                      <w:szCs w:val="15"/>
                      <w:lang w:bidi="ar"/>
                      <w14:textFill>
                        <w14:solidFill>
                          <w14:schemeClr w14:val="tx1"/>
                        </w14:solidFill>
                      </w14:textFill>
                    </w:rPr>
                    <w:t>-7</w:t>
                  </w:r>
                </w:p>
              </w:tc>
              <w:tc>
                <w:tcPr>
                  <w:tcW w:w="124"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25</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17</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40</w:t>
                  </w:r>
                </w:p>
              </w:tc>
              <w:tc>
                <w:tcPr>
                  <w:tcW w:w="159"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35</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35"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58.4</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27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昼/夜</w:t>
                  </w:r>
                </w:p>
              </w:tc>
              <w:tc>
                <w:tcPr>
                  <w:tcW w:w="21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20</w:t>
                  </w:r>
                </w:p>
              </w:tc>
              <w:tc>
                <w:tcPr>
                  <w:tcW w:w="213"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55.1</w:t>
                  </w:r>
                </w:p>
              </w:tc>
              <w:tc>
                <w:tcPr>
                  <w:tcW w:w="23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58.4</w:t>
                  </w:r>
                </w:p>
              </w:tc>
              <w:tc>
                <w:tcPr>
                  <w:tcW w:w="212"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51.0</w:t>
                  </w:r>
                </w:p>
              </w:tc>
              <w:tc>
                <w:tcPr>
                  <w:tcW w:w="221"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52.1</w:t>
                  </w:r>
                </w:p>
              </w:tc>
              <w:tc>
                <w:tcPr>
                  <w:tcW w:w="158" w:type="pct"/>
                  <w:tcBorders>
                    <w:tl2br w:val="nil"/>
                    <w:tr2bl w:val="nil"/>
                  </w:tcBorders>
                  <w:vAlign w:val="center"/>
                </w:tcPr>
                <w:p>
                  <w:pPr>
                    <w:wordWrap w:val="0"/>
                    <w:topLinePunct/>
                    <w:jc w:val="center"/>
                    <w:textAlignment w:val="center"/>
                    <w:rPr>
                      <w:color w:val="000000" w:themeColor="text1"/>
                      <w:sz w:val="15"/>
                      <w:szCs w:val="15"/>
                      <w14:textFill>
                        <w14:solidFill>
                          <w14:schemeClr w14:val="tx1"/>
                        </w14:solidFill>
                      </w14:textFill>
                    </w:rPr>
                  </w:pPr>
                  <w:r>
                    <w:rPr>
                      <w:color w:val="000000" w:themeColor="text1"/>
                      <w:kern w:val="0"/>
                      <w:sz w:val="15"/>
                      <w:szCs w:val="15"/>
                      <w:lang w:bidi="ar"/>
                      <w14:textFill>
                        <w14:solidFill>
                          <w14:schemeClr w14:val="tx1"/>
                        </w14:solidFill>
                      </w14:textFill>
                    </w:rPr>
                    <w:t>1</w:t>
                  </w:r>
                </w:p>
              </w:tc>
            </w:tr>
          </w:tbl>
          <w:p>
            <w:pPr>
              <w:pStyle w:val="17"/>
              <w:jc w:val="both"/>
              <w:outlineLvl w:val="0"/>
              <w:rPr>
                <w:rFonts w:ascii="Times New Roman" w:hAnsi="Times New Roman"/>
                <w:snapToGrid w:val="0"/>
                <w:color w:val="000000" w:themeColor="text1"/>
                <w:sz w:val="30"/>
                <w:szCs w:val="30"/>
                <w14:textFill>
                  <w14:solidFill>
                    <w14:schemeClr w14:val="tx1"/>
                  </w14:solidFill>
                </w14:textFill>
              </w:rPr>
            </w:pPr>
          </w:p>
        </w:tc>
      </w:tr>
    </w:tbl>
    <w:p>
      <w:pPr>
        <w:rPr>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8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3" w:hRule="atLeast"/>
        </w:trPr>
        <w:tc>
          <w:tcPr>
            <w:tcW w:w="508" w:type="dxa"/>
          </w:tcPr>
          <w:p>
            <w:pPr>
              <w:pStyle w:val="17"/>
              <w:jc w:val="center"/>
              <w:outlineLvl w:val="0"/>
              <w:rPr>
                <w:rFonts w:ascii="Times New Roman" w:hAnsi="Times New Roman"/>
                <w:snapToGrid w:val="0"/>
                <w:color w:val="000000" w:themeColor="text1"/>
                <w:sz w:val="30"/>
                <w:szCs w:val="30"/>
                <w14:textFill>
                  <w14:solidFill>
                    <w14:schemeClr w14:val="tx1"/>
                  </w14:solidFill>
                </w14:textFill>
              </w:rPr>
            </w:pPr>
          </w:p>
        </w:tc>
        <w:tc>
          <w:tcPr>
            <w:tcW w:w="8014" w:type="dxa"/>
          </w:tcPr>
          <w:p>
            <w:pPr>
              <w:adjustRightInd w:val="0"/>
              <w:snapToGrid w:val="0"/>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2、项目噪声环境影响</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本次环境噪声影响预测采用《环境影响评价技术导则声环境》（HJ2.4-2021）中推荐的噪声预测模式，主要对本项目噪声源对厂界的影响进行预测。</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根据项目各个噪声源的特征，项目的噪声源均可视为点源，对于室内声源则进行等效为室外声源。</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（1）室内声源等效室外声源声功率级计算方法</w: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声源位于室内，室内声源可采用等效室外声源声功率级法进行计算。设靠近开口处（或窗户）室内、室外某倍频带的声压级或A声级分别为L</w:t>
            </w:r>
            <w:r>
              <w:rPr>
                <w:color w:val="000000" w:themeColor="text1"/>
                <w:sz w:val="24"/>
                <w:vertAlign w:val="subscript"/>
                <w14:textFill>
                  <w14:solidFill>
                    <w14:schemeClr w14:val="tx1"/>
                  </w14:solidFill>
                </w14:textFill>
              </w:rPr>
              <w:t>p1</w:t>
            </w:r>
            <w:r>
              <w:rPr>
                <w:color w:val="000000" w:themeColor="text1"/>
                <w:sz w:val="24"/>
                <w14:textFill>
                  <w14:solidFill>
                    <w14:schemeClr w14:val="tx1"/>
                  </w14:solidFill>
                </w14:textFill>
              </w:rPr>
              <w:t>和L</w:t>
            </w:r>
            <w:r>
              <w:rPr>
                <w:color w:val="000000" w:themeColor="text1"/>
                <w:sz w:val="24"/>
                <w:vertAlign w:val="subscript"/>
                <w14:textFill>
                  <w14:solidFill>
                    <w14:schemeClr w14:val="tx1"/>
                  </w14:solidFill>
                </w14:textFill>
              </w:rPr>
              <w:t>p2</w:t>
            </w:r>
            <w:r>
              <w:rPr>
                <w:color w:val="000000" w:themeColor="text1"/>
                <w:sz w:val="24"/>
                <w14:textFill>
                  <w14:solidFill>
                    <w14:schemeClr w14:val="tx1"/>
                  </w14:solidFill>
                </w14:textFill>
              </w:rPr>
              <w:t>。若声源所在室内声场为近似扩散声场，则室外的倍频带声压级可按式（B.1）近似求出：</w:t>
            </w:r>
          </w:p>
          <w:p>
            <w:pPr>
              <w:spacing w:after="120" w:line="360" w:lineRule="auto"/>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drawing>
                <wp:inline distT="0" distB="0" distL="114300" distR="114300">
                  <wp:extent cx="3545205" cy="1746250"/>
                  <wp:effectExtent l="0" t="0" r="17145" b="635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14"/>
                          <a:stretch>
                            <a:fillRect/>
                          </a:stretch>
                        </pic:blipFill>
                        <pic:spPr>
                          <a:xfrm>
                            <a:off x="0" y="0"/>
                            <a:ext cx="3545205" cy="1746250"/>
                          </a:xfrm>
                          <a:prstGeom prst="rect">
                            <a:avLst/>
                          </a:prstGeom>
                          <a:noFill/>
                          <a:ln>
                            <a:noFill/>
                          </a:ln>
                        </pic:spPr>
                      </pic:pic>
                    </a:graphicData>
                  </a:graphic>
                </wp:inline>
              </w:drawing>
            </w:r>
          </w:p>
          <w:p>
            <w:pPr>
              <w:spacing w:line="360" w:lineRule="auto"/>
              <w:ind w:firstLine="361" w:firstLineChars="150"/>
              <w:jc w:val="center"/>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图4-</w:t>
            </w:r>
            <w:r>
              <w:rPr>
                <w:rFonts w:hint="eastAsia"/>
                <w:b/>
                <w:bCs/>
                <w:color w:val="000000" w:themeColor="text1"/>
                <w:kern w:val="0"/>
                <w:sz w:val="24"/>
                <w14:textFill>
                  <w14:solidFill>
                    <w14:schemeClr w14:val="tx1"/>
                  </w14:solidFill>
                </w14:textFill>
              </w:rPr>
              <w:t>2</w:t>
            </w:r>
            <w:r>
              <w:rPr>
                <w:b/>
                <w:bCs/>
                <w:color w:val="000000" w:themeColor="text1"/>
                <w:kern w:val="0"/>
                <w:sz w:val="24"/>
                <w14:textFill>
                  <w14:solidFill>
                    <w14:schemeClr w14:val="tx1"/>
                  </w14:solidFill>
                </w14:textFill>
              </w:rPr>
              <w:t xml:space="preserve">  室内声源等效为室外声源图例</w:t>
            </w:r>
          </w:p>
          <w:p>
            <w:pPr>
              <w:spacing w:line="360" w:lineRule="auto"/>
              <w:ind w:firstLine="360" w:firstLineChars="15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式中：L</w:t>
            </w:r>
            <w:r>
              <w:rPr>
                <w:color w:val="000000" w:themeColor="text1"/>
                <w:kern w:val="0"/>
                <w:sz w:val="24"/>
                <w:vertAlign w:val="subscript"/>
                <w14:textFill>
                  <w14:solidFill>
                    <w14:schemeClr w14:val="tx1"/>
                  </w14:solidFill>
                </w14:textFill>
              </w:rPr>
              <w:t>p1</w:t>
            </w:r>
            <w:r>
              <w:rPr>
                <w:color w:val="000000" w:themeColor="text1"/>
                <w:kern w:val="0"/>
                <w:sz w:val="24"/>
                <w14:textFill>
                  <w14:solidFill>
                    <w14:schemeClr w14:val="tx1"/>
                  </w14:solidFill>
                </w14:textFill>
              </w:rPr>
              <w:t>——_靠近开口处（或窗户）室内某倍频带的声压级或A 声级，dB；</w:t>
            </w:r>
          </w:p>
          <w:p>
            <w:pPr>
              <w:spacing w:line="360" w:lineRule="auto"/>
              <w:ind w:firstLine="1080" w:firstLineChars="45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w:t>
            </w:r>
            <w:r>
              <w:rPr>
                <w:color w:val="000000" w:themeColor="text1"/>
                <w:kern w:val="0"/>
                <w:sz w:val="24"/>
                <w:vertAlign w:val="subscript"/>
                <w14:textFill>
                  <w14:solidFill>
                    <w14:schemeClr w14:val="tx1"/>
                  </w14:solidFill>
                </w14:textFill>
              </w:rPr>
              <w:t>p2</w:t>
            </w:r>
            <w:r>
              <w:rPr>
                <w:color w:val="000000" w:themeColor="text1"/>
                <w:kern w:val="0"/>
                <w:sz w:val="24"/>
                <w14:textFill>
                  <w14:solidFill>
                    <w14:schemeClr w14:val="tx1"/>
                  </w14:solidFill>
                </w14:textFill>
              </w:rPr>
              <w:t>——靠近开口处（或窗户）室外某倍频带的声压级或 A 声级，dB；</w:t>
            </w:r>
          </w:p>
          <w:p>
            <w:pPr>
              <w:spacing w:line="360" w:lineRule="auto"/>
              <w:ind w:firstLine="960" w:firstLineChars="4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T</w:t>
            </w:r>
            <w:r>
              <w:rPr>
                <w:color w:val="000000" w:themeColor="text1"/>
                <w:kern w:val="0"/>
                <w:sz w:val="24"/>
                <w:vertAlign w:val="subscript"/>
                <w14:textFill>
                  <w14:solidFill>
                    <w14:schemeClr w14:val="tx1"/>
                  </w14:solidFill>
                </w14:textFill>
              </w:rPr>
              <w:t>L</w:t>
            </w:r>
            <w:r>
              <w:rPr>
                <w:color w:val="000000" w:themeColor="text1"/>
                <w:kern w:val="0"/>
                <w:sz w:val="24"/>
                <w14:textFill>
                  <w14:solidFill>
                    <w14:schemeClr w14:val="tx1"/>
                  </w14:solidFill>
                </w14:textFill>
              </w:rPr>
              <w:t>——隔墙（或窗户）倍频带或A声级的隔声量，dB。</w:t>
            </w:r>
          </w:p>
          <w:p>
            <w:pPr>
              <w:spacing w:line="360" w:lineRule="auto"/>
              <w:ind w:firstLine="360" w:firstLineChars="1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按下式计算某一室内声源靠近围护结构处产生的倍频带声压级或A 声级：</w:t>
            </w:r>
          </w:p>
          <w:p>
            <w:pPr>
              <w:spacing w:line="360" w:lineRule="auto"/>
              <w:ind w:firstLine="360" w:firstLineChars="15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29" o:spt="75" type="#_x0000_t75" style="height:31pt;width:141pt;" o:ole="t" filled="f" o:preferrelative="t" stroked="f" coordsize="21600,21600">
                  <v:path/>
                  <v:fill on="f" focussize="0,0"/>
                  <v:stroke on="f" joinstyle="miter"/>
                  <v:imagedata r:id="rId16" o:title=""/>
                  <o:lock v:ext="edit" aspectratio="t"/>
                  <w10:wrap type="none"/>
                  <w10:anchorlock/>
                </v:shape>
                <o:OLEObject Type="Embed" ProgID="Equation.3" ShapeID="_x0000_i1029" DrawAspect="Content" ObjectID="_1468075729" r:id="rId15">
                  <o:LockedField>false</o:LockedField>
                </o:OLEObject>
              </w:object>
            </w:r>
          </w:p>
          <w:p>
            <w:pPr>
              <w:spacing w:line="360" w:lineRule="auto"/>
              <w:ind w:firstLine="360" w:firstLineChars="1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式中：Lp</w:t>
            </w:r>
            <w:r>
              <w:rPr>
                <w:color w:val="000000" w:themeColor="text1"/>
                <w:sz w:val="24"/>
                <w:vertAlign w:val="subscript"/>
                <w:lang w:val="zh-CN"/>
                <w14:textFill>
                  <w14:solidFill>
                    <w14:schemeClr w14:val="tx1"/>
                  </w14:solidFill>
                </w14:textFill>
              </w:rPr>
              <w:t>1</w:t>
            </w:r>
            <w:r>
              <w:rPr>
                <w:color w:val="000000" w:themeColor="text1"/>
                <w:sz w:val="24"/>
                <w:lang w:val="zh-CN"/>
                <w14:textFill>
                  <w14:solidFill>
                    <w14:schemeClr w14:val="tx1"/>
                  </w14:solidFill>
                </w14:textFill>
              </w:rPr>
              <w:t>——靠近开口处（或窗户）室内某倍频带的声压级或A 声级，dB；</w:t>
            </w:r>
          </w:p>
          <w:p>
            <w:pPr>
              <w:spacing w:line="360" w:lineRule="auto"/>
              <w:ind w:firstLine="360" w:firstLineChars="1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Lw——点声源声功率级（A 计权或倍频带），dB；</w:t>
            </w:r>
          </w:p>
          <w:p>
            <w:pPr>
              <w:spacing w:line="360" w:lineRule="auto"/>
              <w:ind w:firstLine="360" w:firstLineChars="1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Q——指向性因数；通常对无指向性声源，当声源放在房间中心时，Q=1；当放在一面墙的中心时，Q=2；当放在两面墙夹角处时，Q=4；当放在三面墙夹角处时，Q=8；R——房间常数；R</w:t>
            </w:r>
            <w:r>
              <w:rPr>
                <w:color w:val="000000" w:themeColor="text1"/>
                <w:sz w:val="24"/>
                <w14:textFill>
                  <w14:solidFill>
                    <w14:schemeClr w14:val="tx1"/>
                  </w14:solidFill>
                </w14:textFill>
              </w:rPr>
              <w:t>=</w:t>
            </w:r>
            <w:r>
              <w:rPr>
                <w:color w:val="000000" w:themeColor="text1"/>
                <w:sz w:val="24"/>
                <w:lang w:val="zh-CN"/>
                <w14:textFill>
                  <w14:solidFill>
                    <w14:schemeClr w14:val="tx1"/>
                  </w14:solidFill>
                </w14:textFill>
              </w:rPr>
              <w:t>Sα</w:t>
            </w:r>
            <w:r>
              <w:rPr>
                <w:color w:val="000000" w:themeColor="text1"/>
                <w:sz w:val="24"/>
                <w14:textFill>
                  <w14:solidFill>
                    <w14:schemeClr w14:val="tx1"/>
                  </w14:solidFill>
                </w14:textFill>
              </w:rPr>
              <w:t>/(1-</w:t>
            </w:r>
            <w:r>
              <w:rPr>
                <w:color w:val="000000" w:themeColor="text1"/>
                <w:sz w:val="24"/>
                <w:lang w:val="zh-CN"/>
                <w14:textFill>
                  <w14:solidFill>
                    <w14:schemeClr w14:val="tx1"/>
                  </w14:solidFill>
                </w14:textFill>
              </w:rPr>
              <w:t>α</w:t>
            </w:r>
            <w:r>
              <w:rPr>
                <w:color w:val="000000" w:themeColor="text1"/>
                <w:sz w:val="24"/>
                <w14:textFill>
                  <w14:solidFill>
                    <w14:schemeClr w14:val="tx1"/>
                  </w14:solidFill>
                </w14:textFill>
              </w:rPr>
              <w:t>)</w:t>
            </w:r>
            <w:r>
              <w:rPr>
                <w:color w:val="000000" w:themeColor="text1"/>
                <w:sz w:val="24"/>
                <w:lang w:val="zh-CN"/>
                <w14:textFill>
                  <w14:solidFill>
                    <w14:schemeClr w14:val="tx1"/>
                  </w14:solidFill>
                </w14:textFill>
              </w:rPr>
              <w:t>，S为房间内表面面积，m</w:t>
            </w:r>
            <w:r>
              <w:rPr>
                <w:color w:val="000000" w:themeColor="text1"/>
                <w:sz w:val="24"/>
                <w:vertAlign w:val="superscript"/>
                <w:lang w:val="zh-CN"/>
                <w14:textFill>
                  <w14:solidFill>
                    <w14:schemeClr w14:val="tx1"/>
                  </w14:solidFill>
                </w14:textFill>
              </w:rPr>
              <w:t>2</w:t>
            </w:r>
            <w:r>
              <w:rPr>
                <w:color w:val="000000" w:themeColor="text1"/>
                <w:sz w:val="24"/>
                <w:lang w:val="zh-CN"/>
                <w14:textFill>
                  <w14:solidFill>
                    <w14:schemeClr w14:val="tx1"/>
                  </w14:solidFill>
                </w14:textFill>
              </w:rPr>
              <w:t>；α为平均吸声系数；</w:t>
            </w:r>
          </w:p>
          <w:p>
            <w:pPr>
              <w:spacing w:line="360" w:lineRule="auto"/>
              <w:ind w:firstLine="360" w:firstLineChars="1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然后计算出所有室内声源在围护结构处产生的</w:t>
            </w:r>
            <w:r>
              <w:rPr>
                <w:i/>
                <w:color w:val="000000" w:themeColor="text1"/>
                <w:sz w:val="24"/>
                <w14:textFill>
                  <w14:solidFill>
                    <w14:schemeClr w14:val="tx1"/>
                  </w14:solidFill>
                </w14:textFill>
              </w:rPr>
              <w:t>i</w:t>
            </w:r>
            <w:r>
              <w:rPr>
                <w:color w:val="000000" w:themeColor="text1"/>
                <w:sz w:val="24"/>
                <w14:textFill>
                  <w14:solidFill>
                    <w14:schemeClr w14:val="tx1"/>
                  </w14:solidFill>
                </w14:textFill>
              </w:rPr>
              <w:t>倍频带叠加声压级：</w:t>
            </w:r>
          </w:p>
          <w:p>
            <w:pPr>
              <w:spacing w:line="360" w:lineRule="auto"/>
              <w:jc w:val="center"/>
              <w:rPr>
                <w:color w:val="000000" w:themeColor="text1"/>
                <w:sz w:val="24"/>
                <w14:textFill>
                  <w14:solidFill>
                    <w14:schemeClr w14:val="tx1"/>
                  </w14:solidFill>
                </w14:textFill>
              </w:rPr>
            </w:pPr>
            <w:r>
              <w:rPr>
                <w:color w:val="000000" w:themeColor="text1"/>
                <w:position w:val="-30"/>
                <w:sz w:val="24"/>
                <w14:textFill>
                  <w14:solidFill>
                    <w14:schemeClr w14:val="tx1"/>
                  </w14:solidFill>
                </w14:textFill>
              </w:rPr>
              <w:object>
                <v:shape id="_x0000_i1030" o:spt="75" type="#_x0000_t75" style="height:35pt;width:132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p>
          <w:p>
            <w:pPr>
              <w:spacing w:line="360" w:lineRule="auto"/>
              <w:ind w:firstLine="360" w:firstLineChars="1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式中：L</w:t>
            </w:r>
            <w:r>
              <w:rPr>
                <w:color w:val="000000" w:themeColor="text1"/>
                <w:sz w:val="24"/>
                <w:vertAlign w:val="subscript"/>
                <w:lang w:val="zh-CN"/>
                <w14:textFill>
                  <w14:solidFill>
                    <w14:schemeClr w14:val="tx1"/>
                  </w14:solidFill>
                </w14:textFill>
              </w:rPr>
              <w:t>p1i</w:t>
            </w:r>
            <w:r>
              <w:rPr>
                <w:color w:val="000000" w:themeColor="text1"/>
                <w:sz w:val="24"/>
                <w:lang w:val="zh-CN"/>
                <w14:textFill>
                  <w14:solidFill>
                    <w14:schemeClr w14:val="tx1"/>
                  </w14:solidFill>
                </w14:textFill>
              </w:rPr>
              <w:t>（T）——靠近围护结构处室内N个声源i倍频带的叠加声压级，dB；</w:t>
            </w:r>
          </w:p>
          <w:p>
            <w:pPr>
              <w:spacing w:line="360" w:lineRule="auto"/>
              <w:ind w:firstLine="1080" w:firstLineChars="4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L</w:t>
            </w:r>
            <w:r>
              <w:rPr>
                <w:color w:val="000000" w:themeColor="text1"/>
                <w:sz w:val="24"/>
                <w:vertAlign w:val="subscript"/>
                <w:lang w:val="zh-CN"/>
                <w14:textFill>
                  <w14:solidFill>
                    <w14:schemeClr w14:val="tx1"/>
                  </w14:solidFill>
                </w14:textFill>
              </w:rPr>
              <w:t>p1ij</w:t>
            </w:r>
            <w:r>
              <w:rPr>
                <w:color w:val="000000" w:themeColor="text1"/>
                <w:sz w:val="24"/>
                <w:lang w:val="zh-CN"/>
                <w14:textFill>
                  <w14:solidFill>
                    <w14:schemeClr w14:val="tx1"/>
                  </w14:solidFill>
                </w14:textFill>
              </w:rPr>
              <w:t>——室内j声源i倍频带的声压级，dB；</w:t>
            </w:r>
          </w:p>
          <w:p>
            <w:pPr>
              <w:spacing w:line="360" w:lineRule="auto"/>
              <w:ind w:firstLine="1080" w:firstLineChars="450"/>
              <w:jc w:val="left"/>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N——室内声源总数。</w:t>
            </w:r>
          </w:p>
          <w:p>
            <w:pPr>
              <w:spacing w:line="360" w:lineRule="auto"/>
              <w:ind w:firstLine="360" w:firstLineChars="150"/>
              <w:jc w:val="left"/>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（2）</w:t>
            </w:r>
            <w:r>
              <w:rPr>
                <w:color w:val="000000" w:themeColor="text1"/>
                <w:kern w:val="0"/>
                <w:sz w:val="24"/>
                <w14:textFill>
                  <w14:solidFill>
                    <w14:schemeClr w14:val="tx1"/>
                  </w14:solidFill>
                </w14:textFill>
              </w:rPr>
              <w:t>建设项目声源在预测点产生的等效声级贡献值(L</w:t>
            </w:r>
            <w:r>
              <w:rPr>
                <w:i/>
                <w:iCs/>
                <w:color w:val="000000" w:themeColor="text1"/>
                <w:kern w:val="0"/>
                <w:sz w:val="24"/>
                <w14:textFill>
                  <w14:solidFill>
                    <w14:schemeClr w14:val="tx1"/>
                  </w14:solidFill>
                </w14:textFill>
              </w:rPr>
              <w:t>eq g</w:t>
            </w:r>
            <w:r>
              <w:rPr>
                <w:color w:val="000000" w:themeColor="text1"/>
                <w:kern w:val="0"/>
                <w:sz w:val="24"/>
                <w14:textFill>
                  <w14:solidFill>
                    <w14:schemeClr w14:val="tx1"/>
                  </w14:solidFill>
                </w14:textFill>
              </w:rPr>
              <w:t>)计算公式：</w:t>
            </w:r>
          </w:p>
          <w:p>
            <w:pPr>
              <w:spacing w:before="60" w:after="60" w:line="360" w:lineRule="auto"/>
              <w:ind w:firstLine="48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object>
                <v:shape id="_x0000_i1031" o:spt="75" type="#_x0000_t75" style="height:32.25pt;width:132.8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p>
          <w:p>
            <w:pPr>
              <w:spacing w:line="360" w:lineRule="auto"/>
              <w:ind w:firstLine="48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eqg</w:t>
            </w:r>
            <w:r>
              <w:rPr>
                <w:color w:val="000000" w:themeColor="text1"/>
                <w:sz w:val="24"/>
                <w14:textFill>
                  <w14:solidFill>
                    <w14:schemeClr w14:val="tx1"/>
                  </w14:solidFill>
                </w14:textFill>
              </w:rPr>
              <w:t>—建设项目声源在预测点的等效声级贡献值，dB(A)；</w:t>
            </w:r>
          </w:p>
          <w:p>
            <w:pPr>
              <w:spacing w:line="360" w:lineRule="auto"/>
              <w:ind w:firstLine="1200" w:firstLineChars="500"/>
              <w:jc w:val="left"/>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Ai</w:t>
            </w:r>
            <w:r>
              <w:rPr>
                <w:color w:val="000000" w:themeColor="text1"/>
                <w:sz w:val="24"/>
                <w14:textFill>
                  <w14:solidFill>
                    <w14:schemeClr w14:val="tx1"/>
                  </w14:solidFill>
                </w14:textFill>
              </w:rPr>
              <w:t>—i声源在预测点产生的A声级，dB(A)；</w:t>
            </w:r>
          </w:p>
          <w:p>
            <w:pPr>
              <w:spacing w:line="360" w:lineRule="auto"/>
              <w:ind w:firstLine="1200" w:firstLineChars="500"/>
              <w:jc w:val="left"/>
              <w:rPr>
                <w:color w:val="000000" w:themeColor="text1"/>
                <w:sz w:val="24"/>
                <w14:textFill>
                  <w14:solidFill>
                    <w14:schemeClr w14:val="tx1"/>
                  </w14:solidFill>
                </w14:textFill>
              </w:rPr>
            </w:pPr>
            <w:r>
              <w:rPr>
                <w:i/>
                <w:color w:val="000000" w:themeColor="text1"/>
                <w:sz w:val="24"/>
                <w14:textFill>
                  <w14:solidFill>
                    <w14:schemeClr w14:val="tx1"/>
                  </w14:solidFill>
                </w14:textFill>
              </w:rPr>
              <w:t>T</w:t>
            </w:r>
            <w:r>
              <w:rPr>
                <w:color w:val="000000" w:themeColor="text1"/>
                <w:sz w:val="24"/>
                <w14:textFill>
                  <w14:solidFill>
                    <w14:schemeClr w14:val="tx1"/>
                  </w14:solidFill>
                </w14:textFill>
              </w:rPr>
              <w:t>—预测计算的时间段，s；</w:t>
            </w:r>
          </w:p>
          <w:p>
            <w:pPr>
              <w:spacing w:line="360" w:lineRule="auto"/>
              <w:ind w:firstLine="1200" w:firstLineChars="500"/>
              <w:jc w:val="left"/>
              <w:rPr>
                <w:color w:val="000000" w:themeColor="text1"/>
                <w:sz w:val="24"/>
                <w14:textFill>
                  <w14:solidFill>
                    <w14:schemeClr w14:val="tx1"/>
                  </w14:solidFill>
                </w14:textFill>
              </w:rPr>
            </w:pPr>
            <w:r>
              <w:rPr>
                <w:i/>
                <w:color w:val="000000" w:themeColor="text1"/>
                <w:sz w:val="24"/>
                <w14:textFill>
                  <w14:solidFill>
                    <w14:schemeClr w14:val="tx1"/>
                  </w14:solidFill>
                </w14:textFill>
              </w:rPr>
              <w:t>t</w:t>
            </w:r>
            <w:r>
              <w:rPr>
                <w:i/>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—i声源在T时段内的运行时间，s。</w:t>
            </w:r>
          </w:p>
          <w:p>
            <w:pPr>
              <w:spacing w:line="360" w:lineRule="auto"/>
              <w:ind w:firstLine="360" w:firstLineChars="15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（3）预测点的预测等效声级(</w:t>
            </w:r>
            <w:r>
              <w:rPr>
                <w:i/>
                <w:iCs/>
                <w:color w:val="000000" w:themeColor="text1"/>
                <w:kern w:val="0"/>
                <w:sz w:val="24"/>
                <w14:textFill>
                  <w14:solidFill>
                    <w14:schemeClr w14:val="tx1"/>
                  </w14:solidFill>
                </w14:textFill>
              </w:rPr>
              <w:t xml:space="preserve">L eq </w:t>
            </w:r>
            <w:r>
              <w:rPr>
                <w:color w:val="000000" w:themeColor="text1"/>
                <w:kern w:val="0"/>
                <w:sz w:val="24"/>
                <w14:textFill>
                  <w14:solidFill>
                    <w14:schemeClr w14:val="tx1"/>
                  </w14:solidFill>
                </w14:textFill>
              </w:rPr>
              <w:t>)计算公式</w:t>
            </w:r>
          </w:p>
          <w:p>
            <w:pPr>
              <w:spacing w:before="60" w:after="60" w:line="360" w:lineRule="auto"/>
              <w:ind w:firstLine="480"/>
              <w:jc w:val="center"/>
              <w:rPr>
                <w:color w:val="000000" w:themeColor="text1"/>
                <w:sz w:val="24"/>
                <w14:textFill>
                  <w14:solidFill>
                    <w14:schemeClr w14:val="tx1"/>
                  </w14:solidFill>
                </w14:textFill>
              </w:rPr>
            </w:pPr>
            <w:r>
              <w:rPr>
                <w:color w:val="000000" w:themeColor="text1"/>
                <w:position w:val="-14"/>
                <w:sz w:val="24"/>
                <w14:textFill>
                  <w14:solidFill>
                    <w14:schemeClr w14:val="tx1"/>
                  </w14:solidFill>
                </w14:textFill>
              </w:rPr>
              <w:object>
                <v:shape id="_x0000_i1032" o:spt="75" type="#_x0000_t75" style="height:21.1pt;width:136.5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w:t>
            </w:r>
            <w:r>
              <w:rPr>
                <w:i/>
                <w:iCs/>
                <w:color w:val="000000" w:themeColor="text1"/>
                <w:kern w:val="0"/>
                <w:sz w:val="24"/>
                <w14:textFill>
                  <w14:solidFill>
                    <w14:schemeClr w14:val="tx1"/>
                  </w14:solidFill>
                </w14:textFill>
              </w:rPr>
              <w:t>L</w:t>
            </w:r>
            <w:r>
              <w:rPr>
                <w:i/>
                <w:iCs/>
                <w:color w:val="000000" w:themeColor="text1"/>
                <w:kern w:val="0"/>
                <w:sz w:val="24"/>
                <w:vertAlign w:val="subscript"/>
                <w14:textFill>
                  <w14:solidFill>
                    <w14:schemeClr w14:val="tx1"/>
                  </w14:solidFill>
                </w14:textFill>
              </w:rPr>
              <w:t>eqg</w:t>
            </w:r>
            <w:r>
              <w:rPr>
                <w:color w:val="000000" w:themeColor="text1"/>
                <w:kern w:val="0"/>
                <w:sz w:val="24"/>
                <w14:textFill>
                  <w14:solidFill>
                    <w14:schemeClr w14:val="tx1"/>
                  </w14:solidFill>
                </w14:textFill>
              </w:rPr>
              <w:t>—建设项目声源在预测点的等效声级贡献值，dB(A)；</w:t>
            </w:r>
          </w:p>
          <w:p>
            <w:pPr>
              <w:spacing w:line="360" w:lineRule="auto"/>
              <w:ind w:firstLine="1200" w:firstLineChars="500"/>
              <w:jc w:val="left"/>
              <w:rPr>
                <w:color w:val="000000" w:themeColor="text1"/>
                <w:kern w:val="0"/>
                <w:sz w:val="24"/>
                <w14:textFill>
                  <w14:solidFill>
                    <w14:schemeClr w14:val="tx1"/>
                  </w14:solidFill>
                </w14:textFill>
              </w:rPr>
            </w:pPr>
            <w:r>
              <w:rPr>
                <w:i/>
                <w:iCs/>
                <w:color w:val="000000" w:themeColor="text1"/>
                <w:kern w:val="0"/>
                <w:sz w:val="24"/>
                <w14:textFill>
                  <w14:solidFill>
                    <w14:schemeClr w14:val="tx1"/>
                  </w14:solidFill>
                </w14:textFill>
              </w:rPr>
              <w:t>L</w:t>
            </w:r>
            <w:r>
              <w:rPr>
                <w:i/>
                <w:iCs/>
                <w:color w:val="000000" w:themeColor="text1"/>
                <w:kern w:val="0"/>
                <w:sz w:val="24"/>
                <w:vertAlign w:val="subscript"/>
                <w14:textFill>
                  <w14:solidFill>
                    <w14:schemeClr w14:val="tx1"/>
                  </w14:solidFill>
                </w14:textFill>
              </w:rPr>
              <w:t>eqb</w:t>
            </w:r>
            <w:r>
              <w:rPr>
                <w:color w:val="000000" w:themeColor="text1"/>
                <w:kern w:val="0"/>
                <w:sz w:val="24"/>
                <w14:textFill>
                  <w14:solidFill>
                    <w14:schemeClr w14:val="tx1"/>
                  </w14:solidFill>
                </w14:textFill>
              </w:rPr>
              <w:t>—预测点的背景值，dB(A)。</w:t>
            </w:r>
          </w:p>
          <w:p>
            <w:pPr>
              <w:spacing w:line="360" w:lineRule="auto"/>
              <w:ind w:firstLine="360" w:firstLineChars="15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（4）户外声传播衰减计算</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①基本公式</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a)根据声源声功率级或靠近声源某一参考位置处的已知声级、户外声传播衰减，计算距离声源较远处的预测点的声级。在已知距离无指向性点声源参考点r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处的倍频带（用63Hz到8KHz的8个标称倍频带中心频率）声压级和计算出参考点(r0)和预测点(r)处之间的户外声传播衰减后，预测点8个倍频带声压级公式：</w:t>
            </w:r>
          </w:p>
          <w:p>
            <w:pPr>
              <w:spacing w:line="360" w:lineRule="auto"/>
              <w:ind w:firstLine="480" w:firstLineChars="200"/>
              <w:jc w:val="left"/>
              <w:rPr>
                <w:color w:val="000000" w:themeColor="text1"/>
                <w:kern w:val="0"/>
                <w:sz w:val="24"/>
                <w:lang w:val="de-DE"/>
                <w14:textFill>
                  <w14:solidFill>
                    <w14:schemeClr w14:val="tx1"/>
                  </w14:solidFill>
                </w14:textFill>
              </w:rPr>
            </w:pPr>
            <w:r>
              <w:rPr>
                <w:color w:val="000000" w:themeColor="text1"/>
                <w:kern w:val="0"/>
                <w:sz w:val="24"/>
                <w:lang w:val="de-DE"/>
                <w14:textFill>
                  <w14:solidFill>
                    <w14:schemeClr w14:val="tx1"/>
                  </w14:solidFill>
                </w14:textFill>
              </w:rPr>
              <w:t>Lp(r)=Lp(r</w:t>
            </w:r>
            <w:r>
              <w:rPr>
                <w:color w:val="000000" w:themeColor="text1"/>
                <w:kern w:val="0"/>
                <w:sz w:val="24"/>
                <w:vertAlign w:val="subscript"/>
                <w:lang w:val="de-DE"/>
                <w14:textFill>
                  <w14:solidFill>
                    <w14:schemeClr w14:val="tx1"/>
                  </w14:solidFill>
                </w14:textFill>
              </w:rPr>
              <w:t>0</w:t>
            </w:r>
            <w:r>
              <w:rPr>
                <w:color w:val="000000" w:themeColor="text1"/>
                <w:kern w:val="0"/>
                <w:sz w:val="24"/>
                <w:lang w:val="de-DE"/>
                <w14:textFill>
                  <w14:solidFill>
                    <w14:schemeClr w14:val="tx1"/>
                  </w14:solidFill>
                </w14:textFill>
              </w:rPr>
              <w:t>)-(Adiv+Aatm+Abar+ Agr+Amisc)</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式中：Lp(r)——距声源r处的倍频带声压级；</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Lp(r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)——参考位置r0处的倍频带声压级；</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Adiv——声波几何发散引起的倍频带衰减， dB； </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Aatm——大气吸收引起的倍频带衰减， dB； </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Abar——屏蔽屏障引起的倍频带衰减， dB； </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Agr ——地面效应引起的倍频带衰减， dB； </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Amisc——其他多方面效应引起的倍频带衰减， dB。</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b) 预测点的A声级可按下列公式计算，即将8个倍频带声压级合成，计算出预测点的A声级LA(r)：</w:t>
            </w:r>
          </w:p>
          <w:p>
            <w:pPr>
              <w:spacing w:before="60" w:after="60" w:line="360" w:lineRule="auto"/>
              <w:ind w:firstLine="48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object>
                <v:shape id="_x0000_i1033" o:spt="75" type="#_x0000_t75" style="height:36pt;width:148.55pt;" o:ole="t" fillcolor="#6D6D6D"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p>
          <w:p>
            <w:pPr>
              <w:spacing w:line="360" w:lineRule="auto"/>
              <w:ind w:firstLine="600" w:firstLineChars="25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式中：L</w:t>
            </w:r>
            <w:r>
              <w:rPr>
                <w:color w:val="000000" w:themeColor="text1"/>
                <w:kern w:val="0"/>
                <w:sz w:val="24"/>
                <w:vertAlign w:val="subscript"/>
                <w14:textFill>
                  <w14:solidFill>
                    <w14:schemeClr w14:val="tx1"/>
                  </w14:solidFill>
                </w14:textFill>
              </w:rPr>
              <w:t>Pi(r)</w:t>
            </w:r>
            <w:r>
              <w:rPr>
                <w:color w:val="000000" w:themeColor="text1"/>
                <w:kern w:val="0"/>
                <w:sz w:val="24"/>
                <w14:textFill>
                  <w14:solidFill>
                    <w14:schemeClr w14:val="tx1"/>
                  </w14:solidFill>
                </w14:textFill>
              </w:rPr>
              <w:t>——预测点(r)处，第i倍频带声压级，dB；</w:t>
            </w:r>
          </w:p>
          <w:p>
            <w:pPr>
              <w:spacing w:line="360" w:lineRule="auto"/>
              <w:ind w:firstLine="1440" w:firstLineChars="6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ΔL</w:t>
            </w:r>
            <w:r>
              <w:rPr>
                <w:color w:val="000000" w:themeColor="text1"/>
                <w:kern w:val="0"/>
                <w:sz w:val="24"/>
                <w:vertAlign w:val="subscript"/>
                <w14:textFill>
                  <w14:solidFill>
                    <w14:schemeClr w14:val="tx1"/>
                  </w14:solidFill>
                </w14:textFill>
              </w:rPr>
              <w:t>i</w:t>
            </w:r>
            <w:r>
              <w:rPr>
                <w:color w:val="000000" w:themeColor="text1"/>
                <w:kern w:val="0"/>
                <w:sz w:val="24"/>
                <w14:textFill>
                  <w14:solidFill>
                    <w14:schemeClr w14:val="tx1"/>
                  </w14:solidFill>
                </w14:textFill>
              </w:rPr>
              <w:t>——第i倍频带的A计权网络修正值（见附录B），dB。</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c)在只考虑几何发散衰减时，可用下列公式计算：</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LA(r)=LA(r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)-Adiv</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②几何发散衰减（Adiv）</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无指向性点声源几何发散衰减的基本公式是： </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Lp(r)=Lp(r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)-20lg(r/r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      Adiv= 20lg(r/r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③空气吸收引起的衰减（Aatm）</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空气吸收引起的衰减公式是: Aatm=a(r-r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)/1000</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式中：a——温度、湿度和声波频率的函数，根据建设项目所处区域常年平均气温和湿度选择相应的空气吸收系数</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r——预测点距声源的距离，m；</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r</w:t>
            </w:r>
            <w:r>
              <w:rPr>
                <w:color w:val="000000" w:themeColor="text1"/>
                <w:kern w:val="0"/>
                <w:sz w:val="24"/>
                <w:vertAlign w:val="subscript"/>
                <w14:textFill>
                  <w14:solidFill>
                    <w14:schemeClr w14:val="tx1"/>
                  </w14:solidFill>
                </w14:textFill>
              </w:rPr>
              <w:t>0</w:t>
            </w:r>
            <w:r>
              <w:rPr>
                <w:color w:val="000000" w:themeColor="text1"/>
                <w:kern w:val="0"/>
                <w:sz w:val="24"/>
                <w14:textFill>
                  <w14:solidFill>
                    <w14:schemeClr w14:val="tx1"/>
                  </w14:solidFill>
                </w14:textFill>
              </w:rPr>
              <w:t>——参考位置距离，m；</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④屏障引起的衰减(Abar) </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位于声源和预测点之间的实体障碍物，如围墙、建筑物、土坡或地堑等起声屏障作用，从而引起声能量的较大衰减。本噪声环境影响评价中忽略室外屏障引起的衰减(Abar)。</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⑤地面效应衰减(Agr)</w:t>
            </w:r>
          </w:p>
          <w:p>
            <w:pPr>
              <w:spacing w:line="360" w:lineRule="auto"/>
              <w:ind w:firstLine="482"/>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声波越过疏松地面传播时，或大部分为疏松地面的混合地面，在预测点仅计算A声级前提下，地面效应引起的倍频带衰减公式：</w:t>
            </w:r>
          </w:p>
          <w:p>
            <w:pPr>
              <w:spacing w:line="360" w:lineRule="auto"/>
              <w:ind w:firstLine="48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Agr=4.8-(hm/r)〔17+300/r〕</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式中：r—声源到预测点的距离，m；</w:t>
            </w:r>
          </w:p>
          <w:p>
            <w:pPr>
              <w:spacing w:line="360" w:lineRule="auto"/>
              <w:ind w:firstLine="1200" w:firstLineChars="5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hm—传播路径的平均离地高度，m；</w:t>
            </w:r>
          </w:p>
          <w:p>
            <w:pPr>
              <w:spacing w:line="360" w:lineRule="auto"/>
              <w:ind w:firstLine="1200" w:firstLineChars="5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hm=F/r；F：面积，m</w:t>
            </w:r>
            <w:r>
              <w:rPr>
                <w:color w:val="000000" w:themeColor="text1"/>
                <w:kern w:val="0"/>
                <w:sz w:val="24"/>
                <w:vertAlign w:val="superscript"/>
                <w14:textFill>
                  <w14:solidFill>
                    <w14:schemeClr w14:val="tx1"/>
                  </w14:solidFill>
                </w14:textFill>
              </w:rPr>
              <w:t>2</w:t>
            </w:r>
            <w:r>
              <w:rPr>
                <w:color w:val="000000" w:themeColor="text1"/>
                <w:kern w:val="0"/>
                <w:sz w:val="24"/>
                <w14:textFill>
                  <w14:solidFill>
                    <w14:schemeClr w14:val="tx1"/>
                  </w14:solidFill>
                </w14:textFill>
              </w:rPr>
              <w:t>；r，m；</w:t>
            </w:r>
          </w:p>
          <w:p>
            <w:pPr>
              <w:spacing w:line="360" w:lineRule="auto"/>
              <w:ind w:firstLine="48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若Agr计算出负值，则Agr可用“0”代替；</w:t>
            </w:r>
          </w:p>
          <w:p>
            <w:pPr>
              <w:spacing w:line="360" w:lineRule="auto"/>
              <w:ind w:firstLine="480" w:firstLineChars="200"/>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本噪声环境影响评价中忽略地面效应衰减(Agr)。</w:t>
            </w:r>
          </w:p>
          <w:p>
            <w:pPr>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根据噪声预测模式和设备的声功率预测计算各评价点处的噪声增量，噪声对厂界影响值见下表。</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考虑噪声距离衰减和隔声措施，本项目完成后噪声影响预测结果见下表。</w:t>
            </w:r>
          </w:p>
          <w:p>
            <w:pPr>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表4-</w:t>
            </w:r>
            <w:r>
              <w:rPr>
                <w:rFonts w:hint="eastAsia"/>
                <w:b/>
                <w:bCs/>
                <w:color w:val="000000" w:themeColor="text1"/>
                <w:sz w:val="24"/>
                <w14:textFill>
                  <w14:solidFill>
                    <w14:schemeClr w14:val="tx1"/>
                  </w14:solidFill>
                </w14:textFill>
              </w:rPr>
              <w:t>8</w:t>
            </w:r>
            <w:r>
              <w:rPr>
                <w:b/>
                <w:bCs/>
                <w:color w:val="000000" w:themeColor="text1"/>
                <w:sz w:val="24"/>
                <w14:textFill>
                  <w14:solidFill>
                    <w14:schemeClr w14:val="tx1"/>
                  </w14:solidFill>
                </w14:textFill>
              </w:rPr>
              <w:t xml:space="preserve">  项目厂界噪声预测结果（昼、夜间）   单位：dB(A)</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10"/>
              <w:gridCol w:w="573"/>
              <w:gridCol w:w="683"/>
              <w:gridCol w:w="683"/>
              <w:gridCol w:w="683"/>
              <w:gridCol w:w="686"/>
              <w:gridCol w:w="495"/>
              <w:gridCol w:w="495"/>
              <w:gridCol w:w="495"/>
              <w:gridCol w:w="498"/>
              <w:gridCol w:w="496"/>
              <w:gridCol w:w="501"/>
              <w:gridCol w:w="496"/>
              <w:gridCol w:w="5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restart"/>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车间名称</w:t>
                  </w:r>
                </w:p>
              </w:tc>
              <w:tc>
                <w:tcPr>
                  <w:tcW w:w="367" w:type="pct"/>
                  <w:vMerge w:val="restart"/>
                  <w:vAlign w:val="center"/>
                </w:tcPr>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建筑物外噪声</w:t>
                  </w:r>
                </w:p>
              </w:tc>
              <w:tc>
                <w:tcPr>
                  <w:tcW w:w="1754" w:type="pct"/>
                  <w:gridSpan w:val="4"/>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距厂界边界距离/m</w:t>
                  </w:r>
                </w:p>
              </w:tc>
              <w:tc>
                <w:tcPr>
                  <w:tcW w:w="1270" w:type="pct"/>
                  <w:gridSpan w:val="4"/>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噪声源对各厂界的贡献值dB(A)</w:t>
                  </w:r>
                </w:p>
              </w:tc>
              <w:tc>
                <w:tcPr>
                  <w:tcW w:w="639" w:type="pct"/>
                  <w:gridSpan w:val="2"/>
                  <w:vAlign w:val="center"/>
                </w:tcPr>
                <w:p>
                  <w:pPr>
                    <w:widowControl/>
                    <w:adjustRightInd w:val="0"/>
                    <w:snapToGrid w:val="0"/>
                    <w:jc w:val="center"/>
                    <w:rPr>
                      <w:b/>
                      <w:bCs/>
                      <w:color w:val="000000" w:themeColor="text1"/>
                      <w:szCs w:val="21"/>
                      <w:lang w:eastAsia="zh-Hans"/>
                      <w14:textFill>
                        <w14:solidFill>
                          <w14:schemeClr w14:val="tx1"/>
                        </w14:solidFill>
                      </w14:textFill>
                    </w:rPr>
                  </w:pPr>
                  <w:r>
                    <w:rPr>
                      <w:b/>
                      <w:bCs/>
                      <w:color w:val="000000" w:themeColor="text1"/>
                      <w:szCs w:val="21"/>
                      <w14:textFill>
                        <w14:solidFill>
                          <w14:schemeClr w14:val="tx1"/>
                        </w14:solidFill>
                      </w14:textFill>
                    </w:rPr>
                    <w:t>标准值</w:t>
                  </w:r>
                </w:p>
              </w:tc>
              <w:tc>
                <w:tcPr>
                  <w:tcW w:w="639" w:type="pct"/>
                  <w:gridSpan w:val="2"/>
                  <w:vAlign w:val="center"/>
                </w:tcPr>
                <w:p>
                  <w:pPr>
                    <w:widowControl/>
                    <w:adjustRightInd w:val="0"/>
                    <w:snapToGrid w:val="0"/>
                    <w:jc w:val="center"/>
                    <w:rPr>
                      <w:b/>
                      <w:bCs/>
                      <w:color w:val="000000" w:themeColor="text1"/>
                      <w:szCs w:val="21"/>
                      <w:lang w:eastAsia="zh-Hans"/>
                      <w14:textFill>
                        <w14:solidFill>
                          <w14:schemeClr w14:val="tx1"/>
                        </w14:solidFill>
                      </w14:textFill>
                    </w:rPr>
                  </w:pPr>
                  <w:r>
                    <w:rPr>
                      <w:b/>
                      <w:bCs/>
                      <w:color w:val="000000" w:themeColor="text1"/>
                      <w:szCs w:val="21"/>
                      <w:lang w:eastAsia="zh-Hans"/>
                      <w14:textFill>
                        <w14:solidFill>
                          <w14:schemeClr w14:val="tx1"/>
                        </w14:solidFill>
                      </w14:textFill>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continue"/>
                  <w:vAlign w:val="center"/>
                </w:tcPr>
                <w:p>
                  <w:pPr>
                    <w:adjustRightInd w:val="0"/>
                    <w:snapToGrid w:val="0"/>
                    <w:jc w:val="center"/>
                    <w:rPr>
                      <w:b/>
                      <w:bCs/>
                      <w:color w:val="000000" w:themeColor="text1"/>
                      <w:szCs w:val="21"/>
                      <w14:textFill>
                        <w14:solidFill>
                          <w14:schemeClr w14:val="tx1"/>
                        </w14:solidFill>
                      </w14:textFill>
                    </w:rPr>
                  </w:pPr>
                </w:p>
              </w:tc>
              <w:tc>
                <w:tcPr>
                  <w:tcW w:w="367" w:type="pct"/>
                  <w:vMerge w:val="continue"/>
                  <w:vAlign w:val="center"/>
                </w:tcPr>
                <w:p>
                  <w:pPr>
                    <w:adjustRightInd w:val="0"/>
                    <w:snapToGrid w:val="0"/>
                    <w:jc w:val="center"/>
                    <w:rPr>
                      <w:b/>
                      <w:bCs/>
                      <w:color w:val="000000" w:themeColor="text1"/>
                      <w:szCs w:val="21"/>
                      <w14:textFill>
                        <w14:solidFill>
                          <w14:schemeClr w14:val="tx1"/>
                        </w14:solidFill>
                      </w14:textFill>
                    </w:rPr>
                  </w:pPr>
                </w:p>
              </w:tc>
              <w:tc>
                <w:tcPr>
                  <w:tcW w:w="438"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北</w:t>
                  </w:r>
                </w:p>
              </w:tc>
              <w:tc>
                <w:tcPr>
                  <w:tcW w:w="438"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东</w:t>
                  </w:r>
                </w:p>
              </w:tc>
              <w:tc>
                <w:tcPr>
                  <w:tcW w:w="438"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西</w:t>
                  </w:r>
                </w:p>
              </w:tc>
              <w:tc>
                <w:tcPr>
                  <w:tcW w:w="440"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南</w:t>
                  </w:r>
                </w:p>
              </w:tc>
              <w:tc>
                <w:tcPr>
                  <w:tcW w:w="317"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北</w:t>
                  </w:r>
                </w:p>
              </w:tc>
              <w:tc>
                <w:tcPr>
                  <w:tcW w:w="317"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东</w:t>
                  </w:r>
                </w:p>
              </w:tc>
              <w:tc>
                <w:tcPr>
                  <w:tcW w:w="317"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西</w:t>
                  </w:r>
                </w:p>
              </w:tc>
              <w:tc>
                <w:tcPr>
                  <w:tcW w:w="318" w:type="pct"/>
                  <w:vAlign w:val="center"/>
                </w:tcPr>
                <w:p>
                  <w:pPr>
                    <w:widowControl/>
                    <w:jc w:val="center"/>
                    <w:textAlignment w:val="center"/>
                    <w:rPr>
                      <w:b/>
                      <w:bCs/>
                      <w:color w:val="000000" w:themeColor="text1"/>
                      <w:kern w:val="0"/>
                      <w:szCs w:val="21"/>
                      <w:lang w:bidi="ar"/>
                      <w14:textFill>
                        <w14:solidFill>
                          <w14:schemeClr w14:val="tx1"/>
                        </w14:solidFill>
                      </w14:textFill>
                    </w:rPr>
                  </w:pPr>
                  <w:r>
                    <w:rPr>
                      <w:b/>
                      <w:bCs/>
                      <w:color w:val="000000" w:themeColor="text1"/>
                      <w:kern w:val="0"/>
                      <w:szCs w:val="21"/>
                      <w:lang w:bidi="ar"/>
                      <w14:textFill>
                        <w14:solidFill>
                          <w14:schemeClr w14:val="tx1"/>
                        </w14:solidFill>
                      </w14:textFill>
                    </w:rPr>
                    <w:t>南</w:t>
                  </w:r>
                </w:p>
              </w:tc>
              <w:tc>
                <w:tcPr>
                  <w:tcW w:w="318"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lang w:eastAsia="zh-Hans"/>
                      <w14:textFill>
                        <w14:solidFill>
                          <w14:schemeClr w14:val="tx1"/>
                        </w14:solidFill>
                      </w14:textFill>
                    </w:rPr>
                    <w:t>昼</w:t>
                  </w:r>
                </w:p>
              </w:tc>
              <w:tc>
                <w:tcPr>
                  <w:tcW w:w="321"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夜</w:t>
                  </w:r>
                </w:p>
              </w:tc>
              <w:tc>
                <w:tcPr>
                  <w:tcW w:w="318"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szCs w:val="21"/>
                      <w:lang w:eastAsia="zh-Hans"/>
                      <w14:textFill>
                        <w14:solidFill>
                          <w14:schemeClr w14:val="tx1"/>
                        </w14:solidFill>
                      </w14:textFill>
                    </w:rPr>
                    <w:t>昼</w:t>
                  </w:r>
                </w:p>
              </w:tc>
              <w:tc>
                <w:tcPr>
                  <w:tcW w:w="321" w:type="pct"/>
                  <w:vAlign w:val="center"/>
                </w:tcPr>
                <w:p>
                  <w:pPr>
                    <w:widowControl/>
                    <w:adjustRightInd w:val="0"/>
                    <w:snapToGrid w:val="0"/>
                    <w:jc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327"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铸造及锻造车间</w:t>
                  </w: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北</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118</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13</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25</w:t>
                  </w:r>
                </w:p>
              </w:tc>
              <w:tc>
                <w:tcPr>
                  <w:tcW w:w="317"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53.2</w:t>
                  </w:r>
                </w:p>
              </w:tc>
              <w:tc>
                <w:tcPr>
                  <w:tcW w:w="317"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38.9</w:t>
                  </w:r>
                </w:p>
              </w:tc>
              <w:tc>
                <w:tcPr>
                  <w:tcW w:w="317"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49.1</w:t>
                  </w:r>
                </w:p>
              </w:tc>
              <w:tc>
                <w:tcPr>
                  <w:tcW w:w="318"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50.8</w:t>
                  </w:r>
                </w:p>
              </w:tc>
              <w:tc>
                <w:tcPr>
                  <w:tcW w:w="318" w:type="pct"/>
                  <w:vMerge w:val="restart"/>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65</w:t>
                  </w:r>
                </w:p>
              </w:tc>
              <w:tc>
                <w:tcPr>
                  <w:tcW w:w="321" w:type="pct"/>
                  <w:vMerge w:val="restart"/>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55</w:t>
                  </w:r>
                </w:p>
              </w:tc>
              <w:tc>
                <w:tcPr>
                  <w:tcW w:w="318" w:type="pct"/>
                  <w:vMerge w:val="restart"/>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c>
                <w:tcPr>
                  <w:tcW w:w="321" w:type="pct"/>
                  <w:vMerge w:val="restart"/>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东</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50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60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20</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15</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jc w:val="center"/>
                    <w:rPr>
                      <w:bCs/>
                      <w:color w:val="000000" w:themeColor="text1"/>
                      <w:szCs w:val="21"/>
                      <w14:textFill>
                        <w14:solidFill>
                          <w14:schemeClr w14:val="tx1"/>
                        </w14:solidFill>
                      </w14:textFill>
                    </w:rPr>
                  </w:pPr>
                </w:p>
              </w:tc>
              <w:tc>
                <w:tcPr>
                  <w:tcW w:w="321" w:type="pct"/>
                  <w:vMerge w:val="continue"/>
                  <w:vAlign w:val="center"/>
                </w:tcPr>
                <w:p>
                  <w:pPr>
                    <w:jc w:val="center"/>
                    <w:rPr>
                      <w:bCs/>
                      <w:color w:val="000000" w:themeColor="text1"/>
                      <w:szCs w:val="21"/>
                      <w14:textFill>
                        <w14:solidFill>
                          <w14:schemeClr w14:val="tx1"/>
                        </w14:solidFill>
                      </w14:textFill>
                    </w:rPr>
                  </w:pPr>
                </w:p>
              </w:tc>
              <w:tc>
                <w:tcPr>
                  <w:tcW w:w="318" w:type="pct"/>
                  <w:vMerge w:val="continue"/>
                  <w:vAlign w:val="center"/>
                </w:tcPr>
                <w:p>
                  <w:pPr>
                    <w:widowControl/>
                    <w:jc w:val="center"/>
                    <w:textAlignment w:val="center"/>
                    <w:rPr>
                      <w:bCs/>
                      <w:color w:val="000000" w:themeColor="text1"/>
                      <w:szCs w:val="21"/>
                      <w14:textFill>
                        <w14:solidFill>
                          <w14:schemeClr w14:val="tx1"/>
                        </w14:solidFill>
                      </w14:textFill>
                    </w:rPr>
                  </w:pPr>
                </w:p>
              </w:tc>
              <w:tc>
                <w:tcPr>
                  <w:tcW w:w="321" w:type="pct"/>
                  <w:vMerge w:val="continue"/>
                  <w:vAlign w:val="center"/>
                </w:tcPr>
                <w:p>
                  <w:pPr>
                    <w:widowControl/>
                    <w:jc w:val="center"/>
                    <w:textAlignment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西</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75</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13</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25</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jc w:val="center"/>
                    <w:rPr>
                      <w:bCs/>
                      <w:color w:val="000000" w:themeColor="text1"/>
                      <w:szCs w:val="21"/>
                      <w14:textFill>
                        <w14:solidFill>
                          <w14:schemeClr w14:val="tx1"/>
                        </w14:solidFill>
                      </w14:textFill>
                    </w:rPr>
                  </w:pPr>
                </w:p>
              </w:tc>
              <w:tc>
                <w:tcPr>
                  <w:tcW w:w="321" w:type="pct"/>
                  <w:vMerge w:val="continue"/>
                  <w:vAlign w:val="center"/>
                </w:tcPr>
                <w:p>
                  <w:pPr>
                    <w:jc w:val="center"/>
                    <w:rPr>
                      <w:bCs/>
                      <w:color w:val="000000" w:themeColor="text1"/>
                      <w:szCs w:val="21"/>
                      <w14:textFill>
                        <w14:solidFill>
                          <w14:schemeClr w14:val="tx1"/>
                        </w14:solidFill>
                      </w14:textFill>
                    </w:rPr>
                  </w:pPr>
                </w:p>
              </w:tc>
              <w:tc>
                <w:tcPr>
                  <w:tcW w:w="318" w:type="pct"/>
                  <w:vMerge w:val="continue"/>
                  <w:vAlign w:val="center"/>
                </w:tcPr>
                <w:p>
                  <w:pPr>
                    <w:widowControl/>
                    <w:jc w:val="center"/>
                    <w:textAlignment w:val="center"/>
                    <w:rPr>
                      <w:bCs/>
                      <w:color w:val="000000" w:themeColor="text1"/>
                      <w:szCs w:val="21"/>
                      <w14:textFill>
                        <w14:solidFill>
                          <w14:schemeClr w14:val="tx1"/>
                        </w14:solidFill>
                      </w14:textFill>
                    </w:rPr>
                  </w:pPr>
                </w:p>
              </w:tc>
              <w:tc>
                <w:tcPr>
                  <w:tcW w:w="321" w:type="pct"/>
                  <w:vMerge w:val="continue"/>
                  <w:vAlign w:val="center"/>
                </w:tcPr>
                <w:p>
                  <w:pPr>
                    <w:widowControl/>
                    <w:jc w:val="center"/>
                    <w:textAlignment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南</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118</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13</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40</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jc w:val="center"/>
                    <w:rPr>
                      <w:bCs/>
                      <w:color w:val="000000" w:themeColor="text1"/>
                      <w:szCs w:val="21"/>
                      <w14:textFill>
                        <w14:solidFill>
                          <w14:schemeClr w14:val="tx1"/>
                        </w14:solidFill>
                      </w14:textFill>
                    </w:rPr>
                  </w:pPr>
                </w:p>
              </w:tc>
              <w:tc>
                <w:tcPr>
                  <w:tcW w:w="321" w:type="pct"/>
                  <w:vMerge w:val="continue"/>
                  <w:vAlign w:val="center"/>
                </w:tcPr>
                <w:p>
                  <w:pPr>
                    <w:jc w:val="center"/>
                    <w:rPr>
                      <w:bCs/>
                      <w:color w:val="000000" w:themeColor="text1"/>
                      <w:szCs w:val="21"/>
                      <w14:textFill>
                        <w14:solidFill>
                          <w14:schemeClr w14:val="tx1"/>
                        </w14:solidFill>
                      </w14:textFill>
                    </w:rPr>
                  </w:pPr>
                </w:p>
              </w:tc>
              <w:tc>
                <w:tcPr>
                  <w:tcW w:w="318" w:type="pct"/>
                  <w:vMerge w:val="continue"/>
                  <w:vAlign w:val="center"/>
                </w:tcPr>
                <w:p>
                  <w:pPr>
                    <w:widowControl/>
                    <w:jc w:val="center"/>
                    <w:textAlignment w:val="center"/>
                    <w:rPr>
                      <w:bCs/>
                      <w:color w:val="000000" w:themeColor="text1"/>
                      <w:szCs w:val="21"/>
                      <w14:textFill>
                        <w14:solidFill>
                          <w14:schemeClr w14:val="tx1"/>
                        </w14:solidFill>
                      </w14:textFill>
                    </w:rPr>
                  </w:pPr>
                </w:p>
              </w:tc>
              <w:tc>
                <w:tcPr>
                  <w:tcW w:w="321" w:type="pct"/>
                  <w:vMerge w:val="continue"/>
                  <w:vAlign w:val="center"/>
                </w:tcPr>
                <w:p>
                  <w:pPr>
                    <w:widowControl/>
                    <w:jc w:val="center"/>
                    <w:textAlignment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机加工车间及后处理车间</w:t>
                  </w: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北</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18</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145</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20</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40</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东</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80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40</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18</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西</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15</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90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60</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60</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327" w:type="pct"/>
                  <w:vMerge w:val="continue"/>
                  <w:vAlign w:val="center"/>
                </w:tcPr>
                <w:p>
                  <w:pPr>
                    <w:jc w:val="center"/>
                    <w:rPr>
                      <w:color w:val="000000" w:themeColor="text1"/>
                      <w:kern w:val="0"/>
                      <w:szCs w:val="21"/>
                      <w:lang w:bidi="ar"/>
                      <w14:textFill>
                        <w14:solidFill>
                          <w14:schemeClr w14:val="tx1"/>
                        </w14:solidFill>
                      </w14:textFill>
                    </w:rPr>
                  </w:pPr>
                </w:p>
              </w:tc>
              <w:tc>
                <w:tcPr>
                  <w:tcW w:w="36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南</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40</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135</w:t>
                  </w:r>
                </w:p>
              </w:tc>
              <w:tc>
                <w:tcPr>
                  <w:tcW w:w="724"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20</w:t>
                  </w:r>
                </w:p>
              </w:tc>
              <w:tc>
                <w:tcPr>
                  <w:tcW w:w="72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 w:val="18"/>
                      <w:szCs w:val="18"/>
                      <w:lang w:bidi="ar"/>
                      <w14:textFill>
                        <w14:solidFill>
                          <w14:schemeClr w14:val="tx1"/>
                        </w14:solidFill>
                      </w14:textFill>
                    </w:rPr>
                    <w:t>15</w:t>
                  </w: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7"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c>
                <w:tcPr>
                  <w:tcW w:w="318" w:type="pct"/>
                  <w:vMerge w:val="continue"/>
                </w:tcPr>
                <w:p>
                  <w:pPr>
                    <w:rPr>
                      <w:color w:val="000000" w:themeColor="text1"/>
                      <w:kern w:val="0"/>
                      <w:szCs w:val="21"/>
                      <w:lang w:bidi="ar"/>
                      <w14:textFill>
                        <w14:solidFill>
                          <w14:schemeClr w14:val="tx1"/>
                        </w14:solidFill>
                      </w14:textFill>
                    </w:rPr>
                  </w:pPr>
                </w:p>
              </w:tc>
              <w:tc>
                <w:tcPr>
                  <w:tcW w:w="321" w:type="pct"/>
                  <w:vMerge w:val="continue"/>
                </w:tcPr>
                <w:p>
                  <w:pPr>
                    <w:rPr>
                      <w:color w:val="000000" w:themeColor="text1"/>
                      <w:kern w:val="0"/>
                      <w:szCs w:val="21"/>
                      <w:lang w:bidi="ar"/>
                      <w14:textFill>
                        <w14:solidFill>
                          <w14:schemeClr w14:val="tx1"/>
                        </w14:solidFill>
                      </w14:textFill>
                    </w:rPr>
                  </w:pPr>
                </w:p>
              </w:tc>
            </w:tr>
          </w:tbl>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根据上表结果可知：本项目投产后，各厂界噪声贡献值均可达到《工业企业厂界环境噪声排放标准》（GB12348-2008）中3类标准。因此，本项目投产后对周边声环境的影响较小。</w:t>
            </w:r>
          </w:p>
          <w:p>
            <w:pPr>
              <w:adjustRightInd w:val="0"/>
              <w:spacing w:line="360" w:lineRule="auto"/>
              <w:ind w:firstLine="442" w:firstLineChars="200"/>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3、噪声监测要求</w:t>
            </w:r>
          </w:p>
          <w:p>
            <w:pPr>
              <w:wordWrap w:val="0"/>
              <w:topLinePunct/>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根据《排污单位自行监测技术指南  总则》（HJ942-2018）、《排污许可证申请与核发技术规范 金属铸造工业》（HJ1115-2020），本项目噪声排放具体监测要求如下表所示。</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9</w:t>
            </w:r>
            <w:r>
              <w:rPr>
                <w:b/>
                <w:bCs/>
                <w:color w:val="000000" w:themeColor="text1"/>
                <w:szCs w:val="24"/>
                <w14:textFill>
                  <w14:solidFill>
                    <w14:schemeClr w14:val="tx1"/>
                  </w14:solidFill>
                </w14:textFill>
              </w:rPr>
              <w:t xml:space="preserve">  噪声监测要求</w:t>
            </w:r>
          </w:p>
          <w:tbl>
            <w:tblPr>
              <w:tblStyle w:val="1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317"/>
              <w:gridCol w:w="2287"/>
              <w:gridCol w:w="22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类别</w:t>
                  </w:r>
                </w:p>
              </w:tc>
              <w:tc>
                <w:tcPr>
                  <w:tcW w:w="1485"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监测点位</w:t>
                  </w:r>
                </w:p>
              </w:tc>
              <w:tc>
                <w:tcPr>
                  <w:tcW w:w="1466"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监测指标</w:t>
                  </w:r>
                </w:p>
              </w:tc>
              <w:tc>
                <w:tcPr>
                  <w:tcW w:w="1463" w:type="pct"/>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3"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1485" w:type="pct"/>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四周厂界外1m处</w:t>
                  </w:r>
                </w:p>
              </w:tc>
              <w:tc>
                <w:tcPr>
                  <w:tcW w:w="146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连续等效A声级</w:t>
                  </w:r>
                </w:p>
              </w:tc>
              <w:tc>
                <w:tcPr>
                  <w:tcW w:w="1463" w:type="pct"/>
                  <w:vAlign w:val="center"/>
                </w:tcPr>
                <w:p>
                  <w:pPr>
                    <w:adjustRightInd w:val="0"/>
                    <w:jc w:val="center"/>
                    <w:rPr>
                      <w:bCs/>
                      <w:color w:val="000000" w:themeColor="text1"/>
                      <w:spacing w:val="-10"/>
                      <w:szCs w:val="21"/>
                      <w14:textFill>
                        <w14:solidFill>
                          <w14:schemeClr w14:val="tx1"/>
                        </w14:solidFill>
                      </w14:textFill>
                    </w:rPr>
                  </w:pPr>
                  <w:r>
                    <w:rPr>
                      <w:bCs/>
                      <w:color w:val="000000" w:themeColor="text1"/>
                      <w:spacing w:val="-10"/>
                      <w:szCs w:val="21"/>
                      <w14:textFill>
                        <w14:solidFill>
                          <w14:schemeClr w14:val="tx1"/>
                        </w14:solidFill>
                      </w14:textFill>
                    </w:rPr>
                    <w:t>1次/季度</w:t>
                  </w:r>
                </w:p>
              </w:tc>
            </w:tr>
          </w:tbl>
          <w:p>
            <w:pPr>
              <w:adjustRightInd w:val="0"/>
              <w:snapToGrid w:val="0"/>
              <w:spacing w:line="360" w:lineRule="auto"/>
              <w:ind w:firstLine="482" w:firstLineChars="200"/>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四、</w:t>
            </w:r>
            <w:r>
              <w:rPr>
                <w:b/>
                <w:color w:val="000000" w:themeColor="text1"/>
                <w:spacing w:val="-10"/>
                <w:sz w:val="24"/>
                <w14:textFill>
                  <w14:solidFill>
                    <w14:schemeClr w14:val="tx1"/>
                  </w14:solidFill>
                </w14:textFill>
              </w:rPr>
              <w:t>固体废物</w:t>
            </w:r>
          </w:p>
          <w:p>
            <w:pPr>
              <w:pStyle w:val="8"/>
              <w:snapToGrid/>
              <w:spacing w:before="0" w:after="0" w:line="360" w:lineRule="auto"/>
              <w:ind w:right="0" w:firstLine="482" w:firstLineChars="200"/>
              <w:rPr>
                <w:bCs/>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w:t>
            </w:r>
            <w:r>
              <w:rPr>
                <w:b/>
                <w:color w:val="000000" w:themeColor="text1"/>
                <w:spacing w:val="-10"/>
                <w:sz w:val="24"/>
                <w:szCs w:val="24"/>
                <w14:textFill>
                  <w14:solidFill>
                    <w14:schemeClr w14:val="tx1"/>
                  </w14:solidFill>
                </w14:textFill>
              </w:rPr>
              <w:t>固体废物</w:t>
            </w:r>
            <w:r>
              <w:rPr>
                <w:b/>
                <w:color w:val="000000" w:themeColor="text1"/>
                <w:sz w:val="24"/>
                <w:szCs w:val="24"/>
                <w14:textFill>
                  <w14:solidFill>
                    <w14:schemeClr w14:val="tx1"/>
                  </w14:solidFill>
                </w14:textFill>
              </w:rPr>
              <w:t>污染源源强分析</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本项目产生的固废主要包括</w:t>
            </w:r>
            <w:r>
              <w:rPr>
                <w:rFonts w:hint="eastAsia"/>
                <w:bCs/>
                <w:color w:val="000000" w:themeColor="text1"/>
                <w:sz w:val="24"/>
                <w14:textFill>
                  <w14:solidFill>
                    <w14:schemeClr w14:val="tx1"/>
                  </w14:solidFill>
                </w14:textFill>
              </w:rPr>
              <w:t>废包装袋、废包装桶、废活性炭、废布袋、废液压油、废抹布、手套、</w:t>
            </w:r>
            <w:r>
              <w:rPr>
                <w:rFonts w:hint="eastAsia"/>
                <w:bCs/>
                <w:color w:val="000000" w:themeColor="text1"/>
                <w:sz w:val="24"/>
                <w:lang w:eastAsia="zh-CN"/>
                <w14:textFill>
                  <w14:solidFill>
                    <w14:schemeClr w14:val="tx1"/>
                  </w14:solidFill>
                </w14:textFill>
              </w:rPr>
              <w:t>铝渣、</w:t>
            </w:r>
            <w:r>
              <w:rPr>
                <w:rFonts w:hint="eastAsia"/>
                <w:bCs/>
                <w:color w:val="000000" w:themeColor="text1"/>
                <w:sz w:val="24"/>
                <w:lang w:val="en-US" w:eastAsia="zh-CN"/>
                <w14:textFill>
                  <w14:solidFill>
                    <w14:schemeClr w14:val="tx1"/>
                  </w14:solidFill>
                </w14:textFill>
              </w:rPr>
              <w:t>铝灰</w:t>
            </w:r>
            <w:r>
              <w:rPr>
                <w:rFonts w:hint="eastAsia"/>
                <w:bCs/>
                <w:color w:val="000000" w:themeColor="text1"/>
                <w:sz w:val="24"/>
                <w14:textFill>
                  <w14:solidFill>
                    <w14:schemeClr w14:val="tx1"/>
                  </w14:solidFill>
                </w14:textFill>
              </w:rPr>
              <w:t>、废砂芯、废边角料、废切削液、废钢丸、废导轨油、清洗残渣、喷淋残液、生活垃圾</w:t>
            </w:r>
            <w:r>
              <w:rPr>
                <w:bCs/>
                <w:color w:val="000000" w:themeColor="text1"/>
                <w:sz w:val="24"/>
                <w14:textFill>
                  <w14:solidFill>
                    <w14:schemeClr w14:val="tx1"/>
                  </w14:solidFill>
                </w14:textFill>
              </w:rPr>
              <w:t>等。</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废包装袋</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根据建设单位提供资料，</w:t>
            </w:r>
            <w:r>
              <w:rPr>
                <w:rFonts w:hint="eastAsia"/>
                <w:bCs/>
                <w:color w:val="000000" w:themeColor="text1"/>
                <w:sz w:val="24"/>
                <w14:textFill>
                  <w14:solidFill>
                    <w14:schemeClr w14:val="tx1"/>
                  </w14:solidFill>
                </w14:textFill>
              </w:rPr>
              <w:t>原辅材料使用过程中会产生废包装袋，废包装袋</w:t>
            </w:r>
            <w:r>
              <w:rPr>
                <w:bCs/>
                <w:color w:val="000000" w:themeColor="text1"/>
                <w:sz w:val="24"/>
                <w14:textFill>
                  <w14:solidFill>
                    <w14:schemeClr w14:val="tx1"/>
                  </w14:solidFill>
                </w14:textFill>
              </w:rPr>
              <w:t>产生量为</w:t>
            </w:r>
            <w:r>
              <w:rPr>
                <w:rFonts w:hint="eastAsia"/>
                <w:bCs/>
                <w:color w:val="000000" w:themeColor="text1"/>
                <w:sz w:val="24"/>
                <w14:textFill>
                  <w14:solidFill>
                    <w14:schemeClr w14:val="tx1"/>
                  </w14:solidFill>
                </w14:textFill>
              </w:rPr>
              <w:t>0.03</w:t>
            </w:r>
            <w:r>
              <w:rPr>
                <w:bCs/>
                <w:color w:val="000000" w:themeColor="text1"/>
                <w:sz w:val="24"/>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废包装桶</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根据企业提供资料，</w:t>
            </w:r>
            <w:r>
              <w:rPr>
                <w:rFonts w:hint="eastAsia"/>
                <w:bCs/>
                <w:color w:val="000000" w:themeColor="text1"/>
                <w:sz w:val="24"/>
                <w14:textFill>
                  <w14:solidFill>
                    <w14:schemeClr w14:val="tx1"/>
                  </w14:solidFill>
                </w14:textFill>
              </w:rPr>
              <w:t>导轨</w:t>
            </w:r>
            <w:r>
              <w:rPr>
                <w:bCs/>
                <w:color w:val="000000" w:themeColor="text1"/>
                <w:sz w:val="24"/>
                <w14:textFill>
                  <w14:solidFill>
                    <w14:schemeClr w14:val="tx1"/>
                  </w14:solidFill>
                </w14:textFill>
              </w:rPr>
              <w:t>油、乳化液、脱脂液等废包装桶产生量为</w:t>
            </w:r>
            <w:r>
              <w:rPr>
                <w:rFonts w:hint="eastAsia"/>
                <w:bCs/>
                <w:color w:val="000000" w:themeColor="text1"/>
                <w:sz w:val="24"/>
                <w14:textFill>
                  <w14:solidFill>
                    <w14:schemeClr w14:val="tx1"/>
                  </w14:solidFill>
                </w14:textFill>
              </w:rPr>
              <w:t>0.5</w:t>
            </w:r>
            <w:r>
              <w:rPr>
                <w:bCs/>
                <w:color w:val="000000" w:themeColor="text1"/>
                <w:sz w:val="24"/>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r>
              <w:rPr>
                <w:rFonts w:hint="eastAsia"/>
                <w:bCs/>
                <w:color w:val="000000" w:themeColor="text1"/>
                <w:sz w:val="24"/>
                <w14:textFill>
                  <w14:solidFill>
                    <w14:schemeClr w14:val="tx1"/>
                  </w14:solidFill>
                </w14:textFill>
              </w:rPr>
              <w:t>废活性炭</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本项目使用使用一次性颗粒活性炭，根据</w:t>
            </w:r>
            <w:r>
              <w:rPr>
                <w:color w:val="000000" w:themeColor="text1"/>
                <w:sz w:val="24"/>
                <w14:textFill>
                  <w14:solidFill>
                    <w14:schemeClr w14:val="tx1"/>
                  </w14:solidFill>
                </w14:textFill>
              </w:rPr>
              <w:t>《省生态环境厅关于深入开展涉VOCs治理重点工作核查的通知》（苏环办〔202</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〕218号）</w:t>
            </w:r>
            <w:r>
              <w:rPr>
                <w:rFonts w:hint="eastAsia"/>
                <w:color w:val="000000" w:themeColor="text1"/>
                <w:sz w:val="24"/>
                <w14:textFill>
                  <w14:solidFill>
                    <w14:schemeClr w14:val="tx1"/>
                  </w14:solidFill>
                </w14:textFill>
              </w:rPr>
              <w:t>：“采用一次性颗粒状活性炭处理VOCs废气，年活性炭使用量不应低于VOCs产生量的5倍，即1吨VOCs产生量，需5吨活性炭用于吸附。活性炭更换周期一般不应超过累计运行500小时或3个月，更换周期计算按《省生态环境厅关于将排污单位活性炭使用更换纳入排污许可管理的通知》有关要求执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VOC</w:t>
            </w:r>
            <w:r>
              <w:rPr>
                <w:rFonts w:hint="eastAsia"/>
                <w:color w:val="000000" w:themeColor="text1"/>
                <w:sz w:val="24"/>
                <w14:textFill>
                  <w14:solidFill>
                    <w14:schemeClr w14:val="tx1"/>
                  </w14:solidFill>
                </w14:textFill>
              </w:rPr>
              <w:t>s（非甲烷总烃+甲醛）产生量合计0.9095t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a，则至少需要4.5475t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a用于吸附，根据企业提供的相关方案，本项目使用活性炭合计4.64t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，满足要求。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熔化、保温、除渣、浇铸有机废气所对应二级活性炭箱填装量为120kg</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次，更换频次为3个月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制芯、锻造件加热、锻造件热处理有机废气所对应二级活性炭箱填装量为580kg</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次，更换频次为3个月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清洗有机废气所对应二级活性炭箱填装量为450kg</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次，更换频次为3个月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危废库有机废气所对应二级活性炭箱填装量为10kg</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次，更换频次为3个月</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活性炭吸附量为0.813t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，综上废活性炭产生量为5.453t</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r>
              <w:rPr>
                <w:rFonts w:hint="eastAsia"/>
                <w:bCs/>
                <w:color w:val="000000" w:themeColor="text1"/>
                <w:sz w:val="24"/>
                <w14:textFill>
                  <w14:solidFill>
                    <w14:schemeClr w14:val="tx1"/>
                  </w14:solidFill>
                </w14:textFill>
              </w:rPr>
              <w:t>废布袋</w:t>
            </w:r>
          </w:p>
          <w:p>
            <w:pPr>
              <w:pStyle w:val="42"/>
              <w:adjustRightInd w:val="0"/>
              <w:snapToGrid w:val="0"/>
              <w:jc w:val="both"/>
              <w:rPr>
                <w:rFonts w:hAnsi="Times New Roman"/>
                <w:color w:val="000000" w:themeColor="text1"/>
                <w:kern w:val="10"/>
                <w14:textFill>
                  <w14:solidFill>
                    <w14:schemeClr w14:val="tx1"/>
                  </w14:solidFill>
                </w14:textFill>
              </w:rPr>
            </w:pPr>
            <w:r>
              <w:rPr>
                <w:rFonts w:hAnsi="Times New Roman"/>
                <w:color w:val="000000" w:themeColor="text1"/>
                <w:kern w:val="10"/>
                <w14:textFill>
                  <w14:solidFill>
                    <w14:schemeClr w14:val="tx1"/>
                  </w14:solidFill>
                </w14:textFill>
              </w:rPr>
              <w:t>根据企业提供</w:t>
            </w:r>
            <w:r>
              <w:rPr>
                <w:rFonts w:hint="eastAsia" w:hAnsi="Times New Roman"/>
                <w:color w:val="000000" w:themeColor="text1"/>
                <w:kern w:val="10"/>
                <w14:textFill>
                  <w14:solidFill>
                    <w14:schemeClr w14:val="tx1"/>
                  </w14:solidFill>
                </w14:textFill>
              </w:rPr>
              <w:t>资料</w:t>
            </w:r>
            <w:r>
              <w:rPr>
                <w:rFonts w:hAnsi="Times New Roman"/>
                <w:color w:val="000000" w:themeColor="text1"/>
                <w:kern w:val="10"/>
                <w14:textFill>
                  <w14:solidFill>
                    <w14:schemeClr w14:val="tx1"/>
                  </w14:solidFill>
                </w14:textFill>
              </w:rPr>
              <w:t>，企业</w:t>
            </w:r>
            <w:r>
              <w:rPr>
                <w:rFonts w:hint="eastAsia" w:hAnsi="Times New Roman"/>
                <w:color w:val="000000" w:themeColor="text1"/>
                <w:kern w:val="10"/>
                <w14:textFill>
                  <w14:solidFill>
                    <w14:schemeClr w14:val="tx1"/>
                  </w14:solidFill>
                </w14:textFill>
              </w:rPr>
              <w:t>废布袋</w:t>
            </w:r>
            <w:r>
              <w:rPr>
                <w:rFonts w:hAnsi="Times New Roman"/>
                <w:color w:val="000000" w:themeColor="text1"/>
                <w:kern w:val="10"/>
                <w14:textFill>
                  <w14:solidFill>
                    <w14:schemeClr w14:val="tx1"/>
                  </w14:solidFill>
                </w14:textFill>
              </w:rPr>
              <w:t>产生量约</w:t>
            </w:r>
            <w:r>
              <w:rPr>
                <w:rFonts w:hint="eastAsia" w:hAnsi="Times New Roman"/>
                <w:color w:val="000000" w:themeColor="text1"/>
                <w:kern w:val="10"/>
                <w14:textFill>
                  <w14:solidFill>
                    <w14:schemeClr w14:val="tx1"/>
                  </w14:solidFill>
                </w14:textFill>
              </w:rPr>
              <w:t>2</w:t>
            </w:r>
            <w:r>
              <w:rPr>
                <w:rFonts w:hAnsi="Times New Roman"/>
                <w:color w:val="000000" w:themeColor="text1"/>
                <w:kern w:val="10"/>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r>
              <w:rPr>
                <w:rFonts w:hint="eastAsia"/>
                <w:bCs/>
                <w:color w:val="000000" w:themeColor="text1"/>
                <w:sz w:val="24"/>
                <w14:textFill>
                  <w14:solidFill>
                    <w14:schemeClr w14:val="tx1"/>
                  </w14:solidFill>
                </w14:textFill>
              </w:rPr>
              <w:t>废液压油</w:t>
            </w:r>
          </w:p>
          <w:p>
            <w:pPr>
              <w:adjustRightInd w:val="0"/>
              <w:snapToGrid w:val="0"/>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设备维修</w:t>
            </w:r>
            <w:r>
              <w:rPr>
                <w:rFonts w:hint="eastAsia"/>
                <w:color w:val="000000" w:themeColor="text1"/>
                <w:sz w:val="24"/>
                <w14:textFill>
                  <w14:solidFill>
                    <w14:schemeClr w14:val="tx1"/>
                  </w14:solidFill>
                </w14:textFill>
              </w:rPr>
              <w:t>、保养</w:t>
            </w:r>
            <w:r>
              <w:rPr>
                <w:color w:val="000000" w:themeColor="text1"/>
                <w:sz w:val="24"/>
                <w14:textFill>
                  <w14:solidFill>
                    <w14:schemeClr w14:val="tx1"/>
                  </w14:solidFill>
                </w14:textFill>
              </w:rPr>
              <w:t>产生</w:t>
            </w:r>
            <w:r>
              <w:rPr>
                <w:rFonts w:hint="eastAsia"/>
                <w:color w:val="000000" w:themeColor="text1"/>
                <w:sz w:val="24"/>
                <w14:textFill>
                  <w14:solidFill>
                    <w14:schemeClr w14:val="tx1"/>
                  </w14:solidFill>
                </w14:textFill>
              </w:rPr>
              <w:t>废液压油</w:t>
            </w:r>
            <w:r>
              <w:rPr>
                <w:color w:val="000000" w:themeColor="text1"/>
                <w:sz w:val="24"/>
                <w14:textFill>
                  <w14:solidFill>
                    <w14:schemeClr w14:val="tx1"/>
                  </w14:solidFill>
                </w14:textFill>
              </w:rPr>
              <w:t>，产生量约0.</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r>
              <w:rPr>
                <w:rFonts w:hint="eastAsia"/>
                <w:bCs/>
                <w:color w:val="000000" w:themeColor="text1"/>
                <w:sz w:val="24"/>
                <w14:textFill>
                  <w14:solidFill>
                    <w14:schemeClr w14:val="tx1"/>
                  </w14:solidFill>
                </w14:textFill>
              </w:rPr>
              <w:t>废抹布、手套</w:t>
            </w:r>
          </w:p>
          <w:p>
            <w:pPr>
              <w:adjustRightInd w:val="0"/>
              <w:snapToGrid w:val="0"/>
              <w:spacing w:line="360" w:lineRule="auto"/>
              <w:ind w:firstLine="480" w:firstLineChars="200"/>
              <w:rPr>
                <w:bCs/>
                <w:color w:val="000000" w:themeColor="text1"/>
                <w:sz w:val="24"/>
                <w14:textFill>
                  <w14:solidFill>
                    <w14:schemeClr w14:val="tx1"/>
                  </w14:solidFill>
                </w14:textFill>
              </w:rPr>
            </w:pPr>
            <w:r>
              <w:rPr>
                <w:color w:val="000000" w:themeColor="text1"/>
                <w:sz w:val="24"/>
                <w14:textFill>
                  <w14:solidFill>
                    <w14:schemeClr w14:val="tx1"/>
                  </w14:solidFill>
                </w14:textFill>
              </w:rPr>
              <w:t>设备维修过程产生含油废抹布、手套，产生量约0.2t/a，属于全过程豁免管理的危险废物，与生活垃圾一并收集处理。</w:t>
            </w:r>
          </w:p>
          <w:p>
            <w:pPr>
              <w:adjustRightInd w:val="0"/>
              <w:snapToGrid w:val="0"/>
              <w:spacing w:line="360" w:lineRule="auto"/>
              <w:ind w:firstLine="480" w:firstLineChars="200"/>
              <w:rPr>
                <w:rFonts w:hint="default" w:eastAsia="宋体"/>
                <w:bCs/>
                <w:color w:val="000000" w:themeColor="text1"/>
                <w:sz w:val="24"/>
                <w:lang w:val="en-US" w:eastAsia="zh-CN"/>
                <w14:textFill>
                  <w14:solidFill>
                    <w14:schemeClr w14:val="tx1"/>
                  </w14:solidFill>
                </w14:textFill>
              </w:rPr>
            </w:pPr>
            <w:r>
              <w:rPr>
                <w:bCs/>
                <w:color w:val="000000" w:themeColor="text1"/>
                <w:sz w:val="24"/>
                <w14:textFill>
                  <w14:solidFill>
                    <w14:schemeClr w14:val="tx1"/>
                  </w14:solidFill>
                </w14:textFill>
              </w:rPr>
              <w:t>（7）</w:t>
            </w:r>
            <w:r>
              <w:rPr>
                <w:rFonts w:hint="eastAsia"/>
                <w:bCs/>
                <w:color w:val="000000" w:themeColor="text1"/>
                <w:sz w:val="24"/>
                <w:lang w:eastAsia="zh-CN"/>
                <w14:textFill>
                  <w14:solidFill>
                    <w14:schemeClr w14:val="tx1"/>
                  </w14:solidFill>
                </w14:textFill>
              </w:rPr>
              <w:t>铝渣、</w:t>
            </w:r>
            <w:r>
              <w:rPr>
                <w:rFonts w:hint="eastAsia"/>
                <w:bCs/>
                <w:color w:val="000000" w:themeColor="text1"/>
                <w:sz w:val="24"/>
                <w:lang w:val="en-US" w:eastAsia="zh-CN"/>
                <w14:textFill>
                  <w14:solidFill>
                    <w14:schemeClr w14:val="tx1"/>
                  </w14:solidFill>
                </w14:textFill>
              </w:rPr>
              <w:t>铝灰</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铝液净化工段会产生</w:t>
            </w:r>
            <w:r>
              <w:rPr>
                <w:rFonts w:hint="eastAsia"/>
                <w:bCs/>
                <w:color w:val="000000" w:themeColor="text1"/>
                <w:sz w:val="24"/>
                <w:lang w:eastAsia="zh-CN"/>
                <w14:textFill>
                  <w14:solidFill>
                    <w14:schemeClr w14:val="tx1"/>
                  </w14:solidFill>
                </w14:textFill>
              </w:rPr>
              <w:t>铝渣，</w:t>
            </w:r>
            <w:r>
              <w:rPr>
                <w:rFonts w:hint="eastAsia"/>
                <w:bCs/>
                <w:color w:val="000000" w:themeColor="text1"/>
                <w:sz w:val="24"/>
                <w:lang w:val="en-US" w:eastAsia="zh-CN"/>
                <w14:textFill>
                  <w14:solidFill>
                    <w14:schemeClr w14:val="tx1"/>
                  </w14:solidFill>
                </w14:textFill>
              </w:rPr>
              <w:t>布袋除尘器收尘会产生铝灰，</w:t>
            </w:r>
            <w:r>
              <w:rPr>
                <w:rFonts w:hint="eastAsia"/>
                <w:bCs/>
                <w:color w:val="000000" w:themeColor="text1"/>
                <w:sz w:val="24"/>
                <w14:textFill>
                  <w14:solidFill>
                    <w14:schemeClr w14:val="tx1"/>
                  </w14:solidFill>
                </w14:textFill>
              </w:rPr>
              <w:t>根据企业提供资料，</w:t>
            </w:r>
            <w:r>
              <w:rPr>
                <w:rFonts w:hint="eastAsia"/>
                <w:bCs/>
                <w:color w:val="000000" w:themeColor="text1"/>
                <w:sz w:val="24"/>
                <w:lang w:eastAsia="zh-CN"/>
                <w14:textFill>
                  <w14:solidFill>
                    <w14:schemeClr w14:val="tx1"/>
                  </w14:solidFill>
                </w14:textFill>
              </w:rPr>
              <w:t>铝渣、</w:t>
            </w:r>
            <w:r>
              <w:rPr>
                <w:rFonts w:hint="eastAsia"/>
                <w:bCs/>
                <w:color w:val="000000" w:themeColor="text1"/>
                <w:sz w:val="24"/>
                <w:lang w:val="en-US" w:eastAsia="zh-CN"/>
                <w14:textFill>
                  <w14:solidFill>
                    <w14:schemeClr w14:val="tx1"/>
                  </w14:solidFill>
                </w14:textFill>
              </w:rPr>
              <w:t>铝灰</w:t>
            </w:r>
            <w:r>
              <w:rPr>
                <w:rFonts w:hint="eastAsia"/>
                <w:bCs/>
                <w:color w:val="000000" w:themeColor="text1"/>
                <w:sz w:val="24"/>
                <w14:textFill>
                  <w14:solidFill>
                    <w14:schemeClr w14:val="tx1"/>
                  </w14:solidFill>
                </w14:textFill>
              </w:rPr>
              <w:t>产生量</w:t>
            </w:r>
            <w:r>
              <w:rPr>
                <w:rFonts w:hint="eastAsia"/>
                <w:bCs/>
                <w:color w:val="000000" w:themeColor="text1"/>
                <w:sz w:val="24"/>
                <w:lang w:val="en-US" w:eastAsia="zh-CN"/>
                <w14:textFill>
                  <w14:solidFill>
                    <w14:schemeClr w14:val="tx1"/>
                  </w14:solidFill>
                </w14:textFill>
              </w:rPr>
              <w:t>合计</w:t>
            </w:r>
            <w:r>
              <w:rPr>
                <w:rFonts w:hint="eastAsia"/>
                <w:bCs/>
                <w:color w:val="000000" w:themeColor="text1"/>
                <w:sz w:val="24"/>
                <w14:textFill>
                  <w14:solidFill>
                    <w14:schemeClr w14:val="tx1"/>
                  </w14:solidFill>
                </w14:textFill>
              </w:rPr>
              <w:t>为</w:t>
            </w:r>
            <w:r>
              <w:rPr>
                <w:rFonts w:hint="eastAsia"/>
                <w:bCs/>
                <w:color w:val="000000" w:themeColor="text1"/>
                <w:sz w:val="24"/>
                <w:lang w:val="en-US" w:eastAsia="zh-CN"/>
                <w14:textFill>
                  <w14:solidFill>
                    <w14:schemeClr w14:val="tx1"/>
                  </w14:solidFill>
                </w14:textFill>
              </w:rPr>
              <w:t>25</w:t>
            </w:r>
            <w:r>
              <w:rPr>
                <w:rFonts w:hint="eastAsia"/>
                <w:bCs/>
                <w:color w:val="000000" w:themeColor="text1"/>
                <w:sz w:val="24"/>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（8）废砂芯</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本项目除砂芯过程中会产生废砂芯，根据企业提供资料，废砂芯产生量为5t/a，废砂芯厂家回收再利用。</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（9）废边角料</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企业切割、机加工过程中会产生废边角料，根据企业提供资料，废边角料产生量为35t/a。</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（10）废切削液</w:t>
            </w:r>
          </w:p>
          <w:p>
            <w:pPr>
              <w:pStyle w:val="42"/>
              <w:adjustRightInd w:val="0"/>
              <w:snapToGrid w:val="0"/>
              <w:jc w:val="both"/>
              <w:rPr>
                <w:rFonts w:hAnsi="Times New Roman"/>
                <w:color w:val="000000" w:themeColor="text1"/>
                <w:kern w:val="10"/>
                <w14:textFill>
                  <w14:solidFill>
                    <w14:schemeClr w14:val="tx1"/>
                  </w14:solidFill>
                </w14:textFill>
              </w:rPr>
            </w:pPr>
            <w:r>
              <w:rPr>
                <w:rFonts w:hAnsi="Times New Roman"/>
                <w:color w:val="000000" w:themeColor="text1"/>
                <w:kern w:val="10"/>
                <w14:textFill>
                  <w14:solidFill>
                    <w14:schemeClr w14:val="tx1"/>
                  </w14:solidFill>
                </w14:textFill>
              </w:rPr>
              <w:t>根据企业提供资料，本项目废</w:t>
            </w:r>
            <w:r>
              <w:rPr>
                <w:rFonts w:hint="eastAsia" w:hAnsi="Times New Roman"/>
                <w:color w:val="000000" w:themeColor="text1"/>
                <w:kern w:val="10"/>
                <w14:textFill>
                  <w14:solidFill>
                    <w14:schemeClr w14:val="tx1"/>
                  </w14:solidFill>
                </w14:textFill>
              </w:rPr>
              <w:t>切削液</w:t>
            </w:r>
            <w:r>
              <w:rPr>
                <w:rFonts w:hAnsi="Times New Roman"/>
                <w:color w:val="000000" w:themeColor="text1"/>
                <w:kern w:val="10"/>
                <w14:textFill>
                  <w14:solidFill>
                    <w14:schemeClr w14:val="tx1"/>
                  </w14:solidFill>
                </w14:textFill>
              </w:rPr>
              <w:t>产生量为</w:t>
            </w:r>
            <w:r>
              <w:rPr>
                <w:rFonts w:hint="eastAsia" w:hAnsi="Times New Roman"/>
                <w:color w:val="000000" w:themeColor="text1"/>
                <w:kern w:val="10"/>
                <w14:textFill>
                  <w14:solidFill>
                    <w14:schemeClr w14:val="tx1"/>
                  </w14:solidFill>
                </w14:textFill>
              </w:rPr>
              <w:t>0.15</w:t>
            </w:r>
            <w:r>
              <w:rPr>
                <w:rFonts w:hAnsi="Times New Roman"/>
                <w:color w:val="000000" w:themeColor="text1"/>
                <w:kern w:val="10"/>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（11）废钢丸</w:t>
            </w:r>
          </w:p>
          <w:p>
            <w:pPr>
              <w:pStyle w:val="42"/>
              <w:adjustRightInd w:val="0"/>
              <w:snapToGrid w:val="0"/>
              <w:jc w:val="both"/>
              <w:rPr>
                <w:rFonts w:hAnsi="Times New Roman"/>
                <w:color w:val="000000" w:themeColor="text1"/>
                <w:kern w:val="10"/>
                <w14:textFill>
                  <w14:solidFill>
                    <w14:schemeClr w14:val="tx1"/>
                  </w14:solidFill>
                </w14:textFill>
              </w:rPr>
            </w:pPr>
            <w:r>
              <w:rPr>
                <w:rFonts w:hAnsi="Times New Roman"/>
                <w:color w:val="000000" w:themeColor="text1"/>
                <w:kern w:val="10"/>
                <w14:textFill>
                  <w14:solidFill>
                    <w14:schemeClr w14:val="tx1"/>
                  </w14:solidFill>
                </w14:textFill>
              </w:rPr>
              <w:t>抛丸钢丸在使用</w:t>
            </w:r>
            <w:r>
              <w:rPr>
                <w:rFonts w:hint="eastAsia" w:hAnsi="Times New Roman"/>
                <w:color w:val="000000" w:themeColor="text1"/>
                <w:kern w:val="10"/>
                <w14:textFill>
                  <w14:solidFill>
                    <w14:schemeClr w14:val="tx1"/>
                  </w14:solidFill>
                </w14:textFill>
              </w:rPr>
              <w:t>一段时间</w:t>
            </w:r>
            <w:r>
              <w:rPr>
                <w:rFonts w:hAnsi="Times New Roman"/>
                <w:color w:val="000000" w:themeColor="text1"/>
                <w:kern w:val="10"/>
                <w14:textFill>
                  <w14:solidFill>
                    <w14:schemeClr w14:val="tx1"/>
                  </w14:solidFill>
                </w14:textFill>
              </w:rPr>
              <w:t>后达不到使用要求，有废钢丸产生，根据建设单位提供资料，其产生量约为</w:t>
            </w:r>
            <w:r>
              <w:rPr>
                <w:rFonts w:hint="eastAsia" w:hAnsi="Times New Roman"/>
                <w:color w:val="000000" w:themeColor="text1"/>
                <w:kern w:val="10"/>
                <w14:textFill>
                  <w14:solidFill>
                    <w14:schemeClr w14:val="tx1"/>
                  </w14:solidFill>
                </w14:textFill>
              </w:rPr>
              <w:t>3.5</w:t>
            </w:r>
            <w:r>
              <w:rPr>
                <w:rFonts w:hAnsi="Times New Roman"/>
                <w:color w:val="000000" w:themeColor="text1"/>
                <w:kern w:val="10"/>
                <w14:textFill>
                  <w14:solidFill>
                    <w14:schemeClr w14:val="tx1"/>
                  </w14:solidFill>
                </w14:textFill>
              </w:rPr>
              <w:t>t/a，收集后外售。</w:t>
            </w:r>
          </w:p>
          <w:p>
            <w:pPr>
              <w:pStyle w:val="42"/>
              <w:adjustRightInd w:val="0"/>
              <w:snapToGrid w:val="0"/>
              <w:jc w:val="both"/>
              <w:rPr>
                <w:rFonts w:hAnsi="Times New Roman"/>
                <w:color w:val="000000" w:themeColor="text1"/>
                <w:kern w:val="10"/>
                <w14:textFill>
                  <w14:solidFill>
                    <w14:schemeClr w14:val="tx1"/>
                  </w14:solidFill>
                </w14:textFill>
              </w:rPr>
            </w:pPr>
            <w:r>
              <w:rPr>
                <w:rFonts w:hint="eastAsia" w:hAnsi="Times New Roman"/>
                <w:color w:val="000000" w:themeColor="text1"/>
                <w:kern w:val="10"/>
                <w14:textFill>
                  <w14:solidFill>
                    <w14:schemeClr w14:val="tx1"/>
                  </w14:solidFill>
                </w14:textFill>
              </w:rPr>
              <w:t>（12）废导轨油</w:t>
            </w:r>
          </w:p>
          <w:p>
            <w:pPr>
              <w:pStyle w:val="42"/>
              <w:adjustRightInd w:val="0"/>
              <w:snapToGrid w:val="0"/>
              <w:jc w:val="both"/>
              <w:rPr>
                <w:rFonts w:hAnsi="Times New Roman"/>
                <w:color w:val="000000" w:themeColor="text1"/>
                <w:kern w:val="10"/>
                <w14:textFill>
                  <w14:solidFill>
                    <w14:schemeClr w14:val="tx1"/>
                  </w14:solidFill>
                </w14:textFill>
              </w:rPr>
            </w:pPr>
            <w:r>
              <w:rPr>
                <w:rFonts w:hint="eastAsia" w:hAnsi="Times New Roman"/>
                <w:color w:val="000000" w:themeColor="text1"/>
                <w:kern w:val="10"/>
                <w14:textFill>
                  <w14:solidFill>
                    <w14:schemeClr w14:val="tx1"/>
                  </w14:solidFill>
                </w14:textFill>
              </w:rPr>
              <w:t>企业机加工过程中会产生废导轨油，</w:t>
            </w:r>
            <w:r>
              <w:rPr>
                <w:rFonts w:hAnsi="Times New Roman"/>
                <w:color w:val="000000" w:themeColor="text1"/>
                <w:kern w:val="10"/>
                <w14:textFill>
                  <w14:solidFill>
                    <w14:schemeClr w14:val="tx1"/>
                  </w14:solidFill>
                </w14:textFill>
              </w:rPr>
              <w:t>废</w:t>
            </w:r>
            <w:r>
              <w:rPr>
                <w:rFonts w:hint="eastAsia" w:hAnsi="Times New Roman"/>
                <w:color w:val="000000" w:themeColor="text1"/>
                <w:kern w:val="10"/>
                <w14:textFill>
                  <w14:solidFill>
                    <w14:schemeClr w14:val="tx1"/>
                  </w14:solidFill>
                </w14:textFill>
              </w:rPr>
              <w:t>导轨油</w:t>
            </w:r>
            <w:r>
              <w:rPr>
                <w:rFonts w:hAnsi="Times New Roman"/>
                <w:color w:val="000000" w:themeColor="text1"/>
                <w:kern w:val="10"/>
                <w14:textFill>
                  <w14:solidFill>
                    <w14:schemeClr w14:val="tx1"/>
                  </w14:solidFill>
                </w14:textFill>
              </w:rPr>
              <w:t>产生量约占原料使用量的5%。本项目</w:t>
            </w:r>
            <w:r>
              <w:rPr>
                <w:rFonts w:hint="eastAsia" w:hAnsi="Times New Roman"/>
                <w:color w:val="000000" w:themeColor="text1"/>
                <w:kern w:val="10"/>
                <w14:textFill>
                  <w14:solidFill>
                    <w14:schemeClr w14:val="tx1"/>
                  </w14:solidFill>
                </w14:textFill>
              </w:rPr>
              <w:t>导轨油</w:t>
            </w:r>
            <w:r>
              <w:rPr>
                <w:rFonts w:hAnsi="Times New Roman"/>
                <w:color w:val="000000" w:themeColor="text1"/>
                <w:kern w:val="10"/>
                <w14:textFill>
                  <w14:solidFill>
                    <w14:schemeClr w14:val="tx1"/>
                  </w14:solidFill>
                </w14:textFill>
              </w:rPr>
              <w:t>使用量为</w:t>
            </w:r>
            <w:r>
              <w:rPr>
                <w:rFonts w:hint="eastAsia" w:hAnsi="Times New Roman"/>
                <w:color w:val="000000" w:themeColor="text1"/>
                <w:kern w:val="10"/>
                <w14:textFill>
                  <w14:solidFill>
                    <w14:schemeClr w14:val="tx1"/>
                  </w14:solidFill>
                </w14:textFill>
              </w:rPr>
              <w:t>1.7</w:t>
            </w:r>
            <w:r>
              <w:rPr>
                <w:rFonts w:hAnsi="Times New Roman"/>
                <w:color w:val="000000" w:themeColor="text1"/>
                <w:kern w:val="10"/>
                <w14:textFill>
                  <w14:solidFill>
                    <w14:schemeClr w14:val="tx1"/>
                  </w14:solidFill>
                </w14:textFill>
              </w:rPr>
              <w:t>t/a，则本项目废</w:t>
            </w:r>
            <w:r>
              <w:rPr>
                <w:rFonts w:hint="eastAsia" w:hAnsi="Times New Roman"/>
                <w:color w:val="000000" w:themeColor="text1"/>
                <w:kern w:val="10"/>
                <w14:textFill>
                  <w14:solidFill>
                    <w14:schemeClr w14:val="tx1"/>
                  </w14:solidFill>
                </w14:textFill>
              </w:rPr>
              <w:t>导轨油</w:t>
            </w:r>
            <w:r>
              <w:rPr>
                <w:rFonts w:hAnsi="Times New Roman"/>
                <w:color w:val="000000" w:themeColor="text1"/>
                <w:kern w:val="10"/>
                <w14:textFill>
                  <w14:solidFill>
                    <w14:schemeClr w14:val="tx1"/>
                  </w14:solidFill>
                </w14:textFill>
              </w:rPr>
              <w:t>产生量为</w:t>
            </w:r>
            <w:r>
              <w:rPr>
                <w:rFonts w:hint="eastAsia" w:hAnsi="Times New Roman"/>
                <w:color w:val="000000" w:themeColor="text1"/>
                <w:kern w:val="10"/>
                <w14:textFill>
                  <w14:solidFill>
                    <w14:schemeClr w14:val="tx1"/>
                  </w14:solidFill>
                </w14:textFill>
              </w:rPr>
              <w:t>0.085</w:t>
            </w:r>
            <w:r>
              <w:rPr>
                <w:rFonts w:hAnsi="Times New Roman"/>
                <w:color w:val="000000" w:themeColor="text1"/>
                <w:kern w:val="10"/>
                <w14:textFill>
                  <w14:solidFill>
                    <w14:schemeClr w14:val="tx1"/>
                  </w14:solidFill>
                </w14:textFill>
              </w:rPr>
              <w:t>t/a。</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（13）清洗残渣</w:t>
            </w:r>
          </w:p>
          <w:p>
            <w:pPr>
              <w:pStyle w:val="42"/>
              <w:adjustRightInd w:val="0"/>
              <w:snapToGrid w:val="0"/>
              <w:jc w:val="both"/>
              <w:rPr>
                <w:rFonts w:hAnsi="Times New Roman"/>
                <w:color w:val="000000" w:themeColor="text1"/>
                <w:kern w:val="10"/>
                <w14:textFill>
                  <w14:solidFill>
                    <w14:schemeClr w14:val="tx1"/>
                  </w14:solidFill>
                </w14:textFill>
              </w:rPr>
            </w:pPr>
            <w:r>
              <w:rPr>
                <w:rFonts w:hint="eastAsia" w:hAnsi="Times New Roman"/>
                <w:color w:val="000000" w:themeColor="text1"/>
                <w:kern w:val="10"/>
                <w14:textFill>
                  <w14:solidFill>
                    <w14:schemeClr w14:val="tx1"/>
                  </w14:solidFill>
                </w14:textFill>
              </w:rPr>
              <w:t>本项目超声波清洗过程中会产生清洗残渣，根据企业提供资料，清洗残渣的产生量为0.2t/a。</w:t>
            </w:r>
          </w:p>
          <w:p>
            <w:pPr>
              <w:adjustRightInd w:val="0"/>
              <w:snapToGrid w:val="0"/>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（14）喷淋残液</w:t>
            </w:r>
          </w:p>
          <w:p>
            <w:pPr>
              <w:pStyle w:val="42"/>
              <w:adjustRightInd w:val="0"/>
              <w:snapToGrid w:val="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本项目喷淋塔使用过程中会产生喷淋残液，根据企业提供资料，喷淋残液的产生量为0.5t/a。</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r>
              <w:rPr>
                <w:rFonts w:hint="eastAsia"/>
                <w:bCs/>
                <w:color w:val="000000" w:themeColor="text1"/>
                <w:sz w:val="24"/>
                <w14:textFill>
                  <w14:solidFill>
                    <w14:schemeClr w14:val="tx1"/>
                  </w14:solidFill>
                </w14:textFill>
              </w:rPr>
              <w:t>5</w:t>
            </w:r>
            <w:r>
              <w:rPr>
                <w:bCs/>
                <w:color w:val="000000" w:themeColor="text1"/>
                <w:sz w:val="24"/>
                <w14:textFill>
                  <w14:solidFill>
                    <w14:schemeClr w14:val="tx1"/>
                  </w14:solidFill>
                </w14:textFill>
              </w:rPr>
              <w:t>）生活垃圾</w:t>
            </w:r>
          </w:p>
          <w:p>
            <w:pPr>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本项目劳动定员</w:t>
            </w:r>
            <w:r>
              <w:rPr>
                <w:rFonts w:hint="eastAsia"/>
                <w:bCs/>
                <w:color w:val="000000" w:themeColor="text1"/>
                <w:sz w:val="24"/>
                <w14:textFill>
                  <w14:solidFill>
                    <w14:schemeClr w14:val="tx1"/>
                  </w14:solidFill>
                </w14:textFill>
              </w:rPr>
              <w:t>150</w:t>
            </w:r>
            <w:r>
              <w:rPr>
                <w:bCs/>
                <w:color w:val="000000" w:themeColor="text1"/>
                <w:sz w:val="24"/>
                <w14:textFill>
                  <w14:solidFill>
                    <w14:schemeClr w14:val="tx1"/>
                  </w14:solidFill>
                </w14:textFill>
              </w:rPr>
              <w:t>人，工作天数3</w:t>
            </w:r>
            <w:r>
              <w:rPr>
                <w:rFonts w:hint="eastAsia"/>
                <w:bCs/>
                <w:color w:val="000000" w:themeColor="text1"/>
                <w:sz w:val="24"/>
                <w14:textFill>
                  <w14:solidFill>
                    <w14:schemeClr w14:val="tx1"/>
                  </w14:solidFill>
                </w14:textFill>
              </w:rPr>
              <w:t>00</w:t>
            </w:r>
            <w:r>
              <w:rPr>
                <w:bCs/>
                <w:color w:val="000000" w:themeColor="text1"/>
                <w:sz w:val="24"/>
                <w14:textFill>
                  <w14:solidFill>
                    <w14:schemeClr w14:val="tx1"/>
                  </w14:solidFill>
                </w14:textFill>
              </w:rPr>
              <w:t>天，人均职工生活垃圾产生量按1kg/d计，则生活垃圾产生量约为</w:t>
            </w:r>
            <w:r>
              <w:rPr>
                <w:rFonts w:hint="eastAsia"/>
                <w:bCs/>
                <w:color w:val="000000" w:themeColor="text1"/>
                <w:sz w:val="24"/>
                <w14:textFill>
                  <w14:solidFill>
                    <w14:schemeClr w14:val="tx1"/>
                  </w14:solidFill>
                </w14:textFill>
              </w:rPr>
              <w:t>45</w:t>
            </w:r>
            <w:r>
              <w:rPr>
                <w:bCs/>
                <w:color w:val="000000" w:themeColor="text1"/>
                <w:sz w:val="24"/>
                <w14:textFill>
                  <w14:solidFill>
                    <w14:schemeClr w14:val="tx1"/>
                  </w14:solidFill>
                </w14:textFill>
              </w:rPr>
              <w:t>t/a。</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10</w:t>
            </w:r>
            <w:r>
              <w:rPr>
                <w:b/>
                <w:bCs/>
                <w:color w:val="000000" w:themeColor="text1"/>
                <w:szCs w:val="24"/>
                <w14:textFill>
                  <w14:solidFill>
                    <w14:schemeClr w14:val="tx1"/>
                  </w14:solidFill>
                </w14:textFill>
              </w:rPr>
              <w:t xml:space="preserve">  固体废物产生情况汇总表</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626"/>
              <w:gridCol w:w="1512"/>
              <w:gridCol w:w="1069"/>
              <w:gridCol w:w="1741"/>
              <w:gridCol w:w="11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序号</w:t>
                  </w:r>
                </w:p>
              </w:tc>
              <w:tc>
                <w:tcPr>
                  <w:tcW w:w="1726"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固体废物名称</w:t>
                  </w:r>
                </w:p>
              </w:tc>
              <w:tc>
                <w:tcPr>
                  <w:tcW w:w="1601"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产生工序</w:t>
                  </w:r>
                </w:p>
              </w:tc>
              <w:tc>
                <w:tcPr>
                  <w:tcW w:w="1134"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形态</w:t>
                  </w:r>
                </w:p>
              </w:tc>
              <w:tc>
                <w:tcPr>
                  <w:tcW w:w="1853"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主要成分</w:t>
                  </w:r>
                </w:p>
              </w:tc>
              <w:tc>
                <w:tcPr>
                  <w:tcW w:w="1211" w:type="dxa"/>
                  <w:vAlign w:val="center"/>
                </w:tcPr>
                <w:p>
                  <w:pPr>
                    <w:pStyle w:val="6"/>
                    <w:wordWrap w:val="0"/>
                    <w:adjustRightInd/>
                    <w:spacing w:line="240" w:lineRule="auto"/>
                    <w:ind w:firstLine="0"/>
                    <w:jc w:val="center"/>
                    <w:rPr>
                      <w:rFonts w:ascii="Times New Roman" w:hAnsi="Times New Roman"/>
                      <w:b/>
                      <w:bCs/>
                      <w:color w:val="000000" w:themeColor="text1"/>
                      <w:szCs w:val="21"/>
                      <w14:textFill>
                        <w14:solidFill>
                          <w14:schemeClr w14:val="tx1"/>
                        </w14:solidFill>
                      </w14:textFill>
                    </w:rPr>
                  </w:pPr>
                  <w:r>
                    <w:rPr>
                      <w:rFonts w:ascii="Times New Roman" w:hAnsi="Times New Roman"/>
                      <w:b/>
                      <w:bCs/>
                      <w:color w:val="000000" w:themeColor="text1"/>
                      <w:szCs w:val="21"/>
                      <w14:textFill>
                        <w14:solidFill>
                          <w14:schemeClr w14:val="tx1"/>
                        </w14:solidFill>
                      </w14:textFill>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塑料</w:t>
                  </w:r>
                  <w:r>
                    <w:rPr>
                      <w:rFonts w:hint="eastAsia"/>
                      <w:color w:val="000000" w:themeColor="text1"/>
                      <w:kern w:val="0"/>
                      <w:szCs w:val="21"/>
                      <w:lang w:bidi="ar"/>
                      <w14:textFill>
                        <w14:solidFill>
                          <w14:schemeClr w14:val="tx1"/>
                        </w14:solidFill>
                      </w14:textFill>
                    </w:rPr>
                    <w:t>、尼龙等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金属粉尘、</w:t>
                  </w:r>
                  <w:r>
                    <w:rPr>
                      <w:rFonts w:hint="eastAsia"/>
                      <w:color w:val="000000" w:themeColor="text1"/>
                      <w:kern w:val="0"/>
                      <w:szCs w:val="21"/>
                      <w:lang w:bidi="ar"/>
                      <w14:textFill>
                        <w14:solidFill>
                          <w14:schemeClr w14:val="tx1"/>
                        </w14:solidFill>
                      </w14:textFill>
                    </w:rPr>
                    <w:t>布袋</w:t>
                  </w:r>
                  <w:r>
                    <w:rPr>
                      <w:color w:val="000000" w:themeColor="text1"/>
                      <w:kern w:val="0"/>
                      <w:szCs w:val="21"/>
                      <w:lang w:bidi="ar"/>
                      <w14:textFill>
                        <w14:solidFill>
                          <w14:schemeClr w14:val="tx1"/>
                        </w14:solidFill>
                      </w14:textFill>
                    </w:rPr>
                    <w:t>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3</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切割、机加工</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铝合金、合金钢等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废砂芯</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去砂芯</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覆膜砂等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w:t>
                  </w:r>
                </w:p>
              </w:tc>
              <w:tc>
                <w:tcPr>
                  <w:tcW w:w="1726" w:type="dxa"/>
                  <w:vAlign w:val="center"/>
                </w:tcPr>
                <w:p>
                  <w:pPr>
                    <w:widowControl/>
                    <w:wordWrap w:val="0"/>
                    <w:topLinePunct/>
                    <w:jc w:val="center"/>
                    <w:textAlignment w:val="center"/>
                    <w:rPr>
                      <w:rFonts w:hint="eastAsia" w:eastAsia="宋体"/>
                      <w:color w:val="000000" w:themeColor="text1"/>
                      <w:kern w:val="0"/>
                      <w:szCs w:val="21"/>
                      <w:lang w:eastAsia="zh-CN" w:bidi="ar"/>
                      <w14:textFill>
                        <w14:solidFill>
                          <w14:schemeClr w14:val="tx1"/>
                        </w14:solidFill>
                      </w14:textFill>
                    </w:rPr>
                  </w:pPr>
                  <w:r>
                    <w:rPr>
                      <w:rFonts w:hint="eastAsia" w:eastAsia="宋体"/>
                      <w:color w:val="000000" w:themeColor="text1"/>
                      <w:kern w:val="0"/>
                      <w:szCs w:val="21"/>
                      <w:lang w:eastAsia="zh-CN" w:bidi="ar"/>
                      <w14:textFill>
                        <w14:solidFill>
                          <w14:schemeClr w14:val="tx1"/>
                        </w14:solidFill>
                      </w14:textFill>
                    </w:rPr>
                    <w:t>铝渣、</w:t>
                  </w:r>
                  <w:r>
                    <w:rPr>
                      <w:rFonts w:hint="eastAsia" w:eastAsia="宋体"/>
                      <w:color w:val="000000" w:themeColor="text1"/>
                      <w:kern w:val="0"/>
                      <w:szCs w:val="21"/>
                      <w:lang w:val="en-US" w:eastAsia="zh-CN" w:bidi="ar"/>
                      <w14:textFill>
                        <w14:solidFill>
                          <w14:schemeClr w14:val="tx1"/>
                        </w14:solidFill>
                      </w14:textFill>
                    </w:rPr>
                    <w:t>铝灰</w:t>
                  </w:r>
                </w:p>
              </w:tc>
              <w:tc>
                <w:tcPr>
                  <w:tcW w:w="1601" w:type="dxa"/>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铝液净化</w:t>
                  </w:r>
                  <w:r>
                    <w:rPr>
                      <w:rFonts w:hint="eastAsia"/>
                      <w:color w:val="000000" w:themeColor="text1"/>
                      <w:kern w:val="0"/>
                      <w:szCs w:val="21"/>
                      <w:lang w:eastAsia="zh-CN"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布袋除尘收尘</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铝合金等</w:t>
                  </w:r>
                </w:p>
              </w:tc>
              <w:tc>
                <w:tcPr>
                  <w:tcW w:w="1211" w:type="dxa"/>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6</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抛丸</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合金钢等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7</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废包装桶</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塑料、</w:t>
                  </w:r>
                  <w:r>
                    <w:rPr>
                      <w:rFonts w:hint="eastAsia"/>
                      <w:color w:val="000000" w:themeColor="text1"/>
                      <w:kern w:val="0"/>
                      <w:szCs w:val="21"/>
                      <w:lang w:bidi="ar"/>
                      <w14:textFill>
                        <w14:solidFill>
                          <w14:schemeClr w14:val="tx1"/>
                        </w14:solidFill>
                      </w14:textFill>
                    </w:rPr>
                    <w:t>铁、</w:t>
                  </w:r>
                  <w:r>
                    <w:rPr>
                      <w:color w:val="000000" w:themeColor="text1"/>
                      <w:kern w:val="0"/>
                      <w:szCs w:val="21"/>
                      <w:lang w:bidi="ar"/>
                      <w14:textFill>
                        <w14:solidFill>
                          <w14:schemeClr w14:val="tx1"/>
                        </w14:solidFill>
                      </w14:textFill>
                    </w:rPr>
                    <w:t>油类等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8</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活性炭</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废液压油</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废抹布、手套</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废弃的含油抹布、劳保用品</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1</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切割、切割、机加工</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2</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废导轨油</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打磨、切割、机加工</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3</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清洗残渣</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超声波清洗</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清洗剂等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14</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喷淋残液</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废气设备</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氯化氢、金属颗粒、甲醛等</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9"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5</w:t>
                  </w:r>
                </w:p>
              </w:tc>
              <w:tc>
                <w:tcPr>
                  <w:tcW w:w="1726"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160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员工生活</w:t>
                  </w:r>
                </w:p>
              </w:tc>
              <w:tc>
                <w:tcPr>
                  <w:tcW w:w="1134"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1853"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1211" w:type="dxa"/>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r>
          </w:tbl>
          <w:p>
            <w:pPr>
              <w:adjustRightInd w:val="0"/>
              <w:spacing w:line="360" w:lineRule="auto"/>
              <w:ind w:firstLine="480" w:firstLineChars="200"/>
              <w:rPr>
                <w:bCs/>
                <w:color w:val="000000" w:themeColor="text1"/>
                <w:spacing w:val="-10"/>
                <w:szCs w:val="21"/>
                <w14:textFill>
                  <w14:solidFill>
                    <w14:schemeClr w14:val="tx1"/>
                  </w14:solidFill>
                </w14:textFill>
              </w:rPr>
            </w:pPr>
            <w:r>
              <w:rPr>
                <w:bCs/>
                <w:color w:val="000000" w:themeColor="text1"/>
                <w:sz w:val="24"/>
                <w14:textFill>
                  <w14:solidFill>
                    <w14:schemeClr w14:val="tx1"/>
                  </w14:solidFill>
                </w14:textFill>
              </w:rPr>
              <w:t>根据《固体废物鉴别标准  通则》（GB34330-2017）判断每种副产物是否属于固体废物，具体判定结果见下表。</w:t>
            </w: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11</w:t>
            </w:r>
            <w:r>
              <w:rPr>
                <w:b/>
                <w:bCs/>
                <w:color w:val="000000" w:themeColor="text1"/>
                <w:szCs w:val="24"/>
                <w14:textFill>
                  <w14:solidFill>
                    <w14:schemeClr w14:val="tx1"/>
                  </w14:solidFill>
                </w14:textFill>
              </w:rPr>
              <w:t xml:space="preserve">  固废属性判定表</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917"/>
              <w:gridCol w:w="1095"/>
              <w:gridCol w:w="671"/>
              <w:gridCol w:w="1209"/>
              <w:gridCol w:w="871"/>
              <w:gridCol w:w="722"/>
              <w:gridCol w:w="727"/>
              <w:gridCol w:w="11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590"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工序/生产线</w:t>
                  </w:r>
                </w:p>
              </w:tc>
              <w:tc>
                <w:tcPr>
                  <w:tcW w:w="704"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固体废物名称</w:t>
                  </w:r>
                </w:p>
              </w:tc>
              <w:tc>
                <w:tcPr>
                  <w:tcW w:w="432"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形态</w:t>
                  </w:r>
                </w:p>
              </w:tc>
              <w:tc>
                <w:tcPr>
                  <w:tcW w:w="777"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主要成分</w:t>
                  </w:r>
                </w:p>
              </w:tc>
              <w:tc>
                <w:tcPr>
                  <w:tcW w:w="545" w:type="pct"/>
                  <w:vMerge w:val="restar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估算产生量（t/a）</w:t>
                  </w:r>
                </w:p>
              </w:tc>
              <w:tc>
                <w:tcPr>
                  <w:tcW w:w="1660" w:type="pct"/>
                  <w:gridSpan w:val="3"/>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种类判定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590"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704"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432"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777"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545" w:type="pct"/>
                  <w:vMerge w:val="continue"/>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p>
              </w:tc>
              <w:tc>
                <w:tcPr>
                  <w:tcW w:w="464" w:type="pc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固体废物</w:t>
                  </w:r>
                </w:p>
              </w:tc>
              <w:tc>
                <w:tcPr>
                  <w:tcW w:w="467" w:type="pc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副产物</w:t>
                  </w:r>
                </w:p>
              </w:tc>
              <w:tc>
                <w:tcPr>
                  <w:tcW w:w="728" w:type="pct"/>
                  <w:vAlign w:val="center"/>
                </w:tcPr>
                <w:p>
                  <w:pPr>
                    <w:pStyle w:val="8"/>
                    <w:snapToGrid/>
                    <w:spacing w:before="0" w:after="0" w:line="240" w:lineRule="auto"/>
                    <w:ind w:right="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判断依据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塑料</w:t>
                  </w:r>
                  <w:r>
                    <w:rPr>
                      <w:rFonts w:hint="eastAsia"/>
                      <w:color w:val="000000" w:themeColor="text1"/>
                      <w:kern w:val="0"/>
                      <w:szCs w:val="21"/>
                      <w:lang w:bidi="ar"/>
                      <w14:textFill>
                        <w14:solidFill>
                          <w14:schemeClr w14:val="tx1"/>
                        </w14:solidFill>
                      </w14:textFill>
                    </w:rPr>
                    <w:t>、尼龙等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0.03</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restart"/>
                  <w:vAlign w:val="center"/>
                </w:tcPr>
                <w:p>
                  <w:pPr>
                    <w:widowControl/>
                    <w:wordWrap w:val="0"/>
                    <w:topLinePunct/>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4.1丧失原有使用价值的物质中的h）类因丧失原有功能而无法继续使用的物质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金属粉尘、</w:t>
                  </w:r>
                  <w:r>
                    <w:rPr>
                      <w:rFonts w:hint="eastAsia"/>
                      <w:color w:val="000000" w:themeColor="text1"/>
                      <w:kern w:val="0"/>
                      <w:szCs w:val="21"/>
                      <w:lang w:bidi="ar"/>
                      <w14:textFill>
                        <w14:solidFill>
                          <w14:schemeClr w14:val="tx1"/>
                        </w14:solidFill>
                      </w14:textFill>
                    </w:rPr>
                    <w:t>布袋</w:t>
                  </w:r>
                  <w:r>
                    <w:rPr>
                      <w:color w:val="000000" w:themeColor="text1"/>
                      <w:kern w:val="0"/>
                      <w:szCs w:val="21"/>
                      <w:lang w:bidi="ar"/>
                      <w14:textFill>
                        <w14:solidFill>
                          <w14:schemeClr w14:val="tx1"/>
                        </w14:solidFill>
                      </w14:textFill>
                    </w:rPr>
                    <w:t>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3</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切割、机加工</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铝合金、合金钢等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去砂芯</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废砂芯</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覆膜砂等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5</w:t>
                  </w:r>
                </w:p>
              </w:tc>
              <w:tc>
                <w:tcPr>
                  <w:tcW w:w="590"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铝液净化</w:t>
                  </w:r>
                  <w:r>
                    <w:rPr>
                      <w:rFonts w:hint="eastAsia"/>
                      <w:color w:val="000000" w:themeColor="text1"/>
                      <w:kern w:val="0"/>
                      <w:szCs w:val="21"/>
                      <w:lang w:eastAsia="zh-CN"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布袋除尘收尘</w:t>
                  </w:r>
                </w:p>
              </w:tc>
              <w:tc>
                <w:tcPr>
                  <w:tcW w:w="704"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eastAsia="zh-CN" w:bidi="ar"/>
                      <w14:textFill>
                        <w14:solidFill>
                          <w14:schemeClr w14:val="tx1"/>
                        </w14:solidFill>
                      </w14:textFill>
                    </w:rPr>
                    <w:t>铝渣、</w:t>
                  </w:r>
                  <w:r>
                    <w:rPr>
                      <w:rFonts w:hint="eastAsia"/>
                      <w:color w:val="000000" w:themeColor="text1"/>
                      <w:kern w:val="0"/>
                      <w:szCs w:val="21"/>
                      <w:lang w:val="en-US" w:eastAsia="zh-CN" w:bidi="ar"/>
                      <w14:textFill>
                        <w14:solidFill>
                          <w14:schemeClr w14:val="tx1"/>
                        </w14:solidFill>
                      </w14:textFill>
                    </w:rPr>
                    <w:t>铝灰</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铝合金等</w:t>
                  </w:r>
                </w:p>
              </w:tc>
              <w:tc>
                <w:tcPr>
                  <w:tcW w:w="545"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6</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抛丸</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合金钢等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7</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废包装桶</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塑料、</w:t>
                  </w:r>
                  <w:r>
                    <w:rPr>
                      <w:rFonts w:hint="eastAsia"/>
                      <w:color w:val="000000" w:themeColor="text1"/>
                      <w:kern w:val="0"/>
                      <w:szCs w:val="21"/>
                      <w:lang w:bidi="ar"/>
                      <w14:textFill>
                        <w14:solidFill>
                          <w14:schemeClr w14:val="tx1"/>
                        </w14:solidFill>
                      </w14:textFill>
                    </w:rPr>
                    <w:t>铁、</w:t>
                  </w:r>
                  <w:r>
                    <w:rPr>
                      <w:color w:val="000000" w:themeColor="text1"/>
                      <w:kern w:val="0"/>
                      <w:szCs w:val="21"/>
                      <w:lang w:bidi="ar"/>
                      <w14:textFill>
                        <w14:solidFill>
                          <w14:schemeClr w14:val="tx1"/>
                        </w14:solidFill>
                      </w14:textFill>
                    </w:rPr>
                    <w:t>油类等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8</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活性炭</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5.453</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废液压油</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0.4</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10</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废抹布、手套</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废弃的含油抹布、劳保用品</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1</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切割、切割、机加工</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2</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打磨、切割、机加工</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废导轨油</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油类等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0.085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3</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超声波清洗</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清洗残渣</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清洗剂等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14</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喷淋残液</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废气设备</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液</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氯化氢、金属颗粒、甲醛等</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15</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员工生活</w:t>
                  </w:r>
                </w:p>
              </w:tc>
              <w:tc>
                <w:tcPr>
                  <w:tcW w:w="70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4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77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545"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46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67"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728" w:type="pct"/>
                  <w:vMerge w:val="continue"/>
                  <w:vAlign w:val="center"/>
                </w:tcPr>
                <w:p>
                  <w:pPr>
                    <w:widowControl/>
                    <w:wordWrap w:val="0"/>
                    <w:topLinePunct/>
                    <w:jc w:val="center"/>
                    <w:rPr>
                      <w:bCs/>
                      <w:color w:val="000000" w:themeColor="text1"/>
                      <w:szCs w:val="21"/>
                      <w14:textFill>
                        <w14:solidFill>
                          <w14:schemeClr w14:val="tx1"/>
                        </w14:solidFill>
                      </w14:textFill>
                    </w:rPr>
                  </w:pPr>
                </w:p>
              </w:tc>
            </w:tr>
          </w:tbl>
          <w:p>
            <w:pPr>
              <w:adjustRightIn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根据《国家危险废物名录》（2021年版）以及《危险废物鉴别标准  通则》（GB5085.7-2019），判定本项目的固体废物是否属于危险废物。</w:t>
            </w:r>
          </w:p>
          <w:p>
            <w:pPr>
              <w:adjustRightIn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根据《建设项目危险废物环境影响评价指南》（环境保护部公告〔2017〕第43号）的要求，本项目危废汇总表见下表。</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12</w:t>
            </w:r>
            <w:r>
              <w:rPr>
                <w:b/>
                <w:bCs/>
                <w:color w:val="000000" w:themeColor="text1"/>
                <w:szCs w:val="24"/>
                <w14:textFill>
                  <w14:solidFill>
                    <w14:schemeClr w14:val="tx1"/>
                  </w14:solidFill>
                </w14:textFill>
              </w:rPr>
              <w:t xml:space="preserve">  项目一般工业固体废物产生和处置情况汇总表</w:t>
            </w:r>
          </w:p>
          <w:tbl>
            <w:tblPr>
              <w:tblStyle w:val="1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20"/>
              <w:gridCol w:w="427"/>
              <w:gridCol w:w="882"/>
              <w:gridCol w:w="431"/>
              <w:gridCol w:w="896"/>
              <w:gridCol w:w="896"/>
              <w:gridCol w:w="1197"/>
              <w:gridCol w:w="986"/>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590"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固废名称</w:t>
                  </w:r>
                </w:p>
              </w:tc>
              <w:tc>
                <w:tcPr>
                  <w:tcW w:w="273"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属性</w:t>
                  </w:r>
                </w:p>
              </w:tc>
              <w:tc>
                <w:tcPr>
                  <w:tcW w:w="566"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产生工序</w:t>
                  </w:r>
                </w:p>
              </w:tc>
              <w:tc>
                <w:tcPr>
                  <w:tcW w:w="277"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形态</w:t>
                  </w:r>
                </w:p>
              </w:tc>
              <w:tc>
                <w:tcPr>
                  <w:tcW w:w="574"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主要成分</w:t>
                  </w:r>
                </w:p>
              </w:tc>
              <w:tc>
                <w:tcPr>
                  <w:tcW w:w="574" w:type="pct"/>
                  <w:vAlign w:val="center"/>
                </w:tcPr>
                <w:p>
                  <w:pPr>
                    <w:pStyle w:val="39"/>
                    <w:adjustRightInd w:val="0"/>
                    <w:jc w:val="cente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废物类别</w:t>
                  </w:r>
                </w:p>
              </w:tc>
              <w:tc>
                <w:tcPr>
                  <w:tcW w:w="767" w:type="pct"/>
                  <w:vAlign w:val="center"/>
                </w:tcPr>
                <w:p>
                  <w:pPr>
                    <w:pStyle w:val="39"/>
                    <w:adjustRightInd w:val="0"/>
                    <w:jc w:val="center"/>
                    <w:rPr>
                      <w:rFonts w:hint="default"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废物代码</w:t>
                  </w:r>
                </w:p>
              </w:tc>
              <w:tc>
                <w:tcPr>
                  <w:tcW w:w="632"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估算产生量（t/a）</w:t>
                  </w:r>
                </w:p>
              </w:tc>
              <w:tc>
                <w:tcPr>
                  <w:tcW w:w="468"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处置去向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590" w:type="pct"/>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c>
                <w:tcPr>
                  <w:tcW w:w="273" w:type="pct"/>
                  <w:vMerge w:val="restar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一般工业固废</w:t>
                  </w:r>
                </w:p>
              </w:tc>
              <w:tc>
                <w:tcPr>
                  <w:tcW w:w="566"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塑料</w:t>
                  </w:r>
                  <w:r>
                    <w:rPr>
                      <w:rFonts w:hint="eastAsia"/>
                      <w:color w:val="000000" w:themeColor="text1"/>
                      <w:kern w:val="0"/>
                      <w:szCs w:val="21"/>
                      <w:lang w:bidi="ar"/>
                      <w14:textFill>
                        <w14:solidFill>
                          <w14:schemeClr w14:val="tx1"/>
                        </w14:solidFill>
                      </w14:textFill>
                    </w:rPr>
                    <w:t>、尼龙等</w:t>
                  </w:r>
                </w:p>
              </w:tc>
              <w:tc>
                <w:tcPr>
                  <w:tcW w:w="574" w:type="pct"/>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767" w:type="pct"/>
                  <w:vAlign w:val="center"/>
                </w:tcPr>
                <w:p>
                  <w:pPr>
                    <w:widowControl/>
                    <w:jc w:val="center"/>
                    <w:textAlignment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900-999-99</w:t>
                  </w:r>
                </w:p>
              </w:tc>
              <w:tc>
                <w:tcPr>
                  <w:tcW w:w="6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0.03</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2</w:t>
                  </w:r>
                </w:p>
              </w:tc>
              <w:tc>
                <w:tcPr>
                  <w:tcW w:w="590" w:type="pct"/>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c>
                <w:tcPr>
                  <w:tcW w:w="273"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66"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金属粉尘、</w:t>
                  </w:r>
                  <w:r>
                    <w:rPr>
                      <w:rFonts w:hint="eastAsia"/>
                      <w:color w:val="000000" w:themeColor="text1"/>
                      <w:kern w:val="0"/>
                      <w:szCs w:val="21"/>
                      <w:lang w:bidi="ar"/>
                      <w14:textFill>
                        <w14:solidFill>
                          <w14:schemeClr w14:val="tx1"/>
                        </w14:solidFill>
                      </w14:textFill>
                    </w:rPr>
                    <w:t>布袋</w:t>
                  </w:r>
                  <w:r>
                    <w:rPr>
                      <w:color w:val="000000" w:themeColor="text1"/>
                      <w:kern w:val="0"/>
                      <w:szCs w:val="21"/>
                      <w:lang w:bidi="ar"/>
                      <w14:textFill>
                        <w14:solidFill>
                          <w14:schemeClr w14:val="tx1"/>
                        </w14:solidFill>
                      </w14:textFill>
                    </w:rPr>
                    <w:t>等</w:t>
                  </w:r>
                </w:p>
              </w:tc>
              <w:tc>
                <w:tcPr>
                  <w:tcW w:w="574"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767"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900-999-99</w:t>
                  </w:r>
                </w:p>
              </w:tc>
              <w:tc>
                <w:tcPr>
                  <w:tcW w:w="6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3</w:t>
                  </w:r>
                </w:p>
              </w:tc>
              <w:tc>
                <w:tcPr>
                  <w:tcW w:w="590" w:type="pct"/>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c>
                <w:tcPr>
                  <w:tcW w:w="273"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66"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铝合金、合金钢等</w:t>
                  </w:r>
                </w:p>
              </w:tc>
              <w:tc>
                <w:tcPr>
                  <w:tcW w:w="574"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10</w:t>
                  </w:r>
                </w:p>
              </w:tc>
              <w:tc>
                <w:tcPr>
                  <w:tcW w:w="767" w:type="pct"/>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320-001-10</w:t>
                  </w:r>
                </w:p>
              </w:tc>
              <w:tc>
                <w:tcPr>
                  <w:tcW w:w="6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废砂芯</w:t>
                  </w:r>
                </w:p>
              </w:tc>
              <w:tc>
                <w:tcPr>
                  <w:tcW w:w="273"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66"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废砂芯</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覆膜砂等</w:t>
                  </w:r>
                </w:p>
              </w:tc>
              <w:tc>
                <w:tcPr>
                  <w:tcW w:w="574" w:type="pct"/>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767" w:type="pct"/>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900-999-99</w:t>
                  </w:r>
                </w:p>
              </w:tc>
              <w:tc>
                <w:tcPr>
                  <w:tcW w:w="6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rFonts w:hint="eastAsia" w:eastAsia="宋体"/>
                      <w:color w:val="000000" w:themeColor="text1"/>
                      <w:kern w:val="0"/>
                      <w:szCs w:val="21"/>
                      <w:lang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w:t>
                  </w:r>
                </w:p>
              </w:tc>
              <w:tc>
                <w:tcPr>
                  <w:tcW w:w="590"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c>
                <w:tcPr>
                  <w:tcW w:w="273"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66"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合金钢等</w:t>
                  </w:r>
                </w:p>
              </w:tc>
              <w:tc>
                <w:tcPr>
                  <w:tcW w:w="574" w:type="pct"/>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767" w:type="pct"/>
                  <w:vAlign w:val="center"/>
                </w:tcPr>
                <w:p>
                  <w:pPr>
                    <w:widowControl/>
                    <w:jc w:val="center"/>
                    <w:textAlignment w:val="cente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900-999-99</w:t>
                  </w:r>
                </w:p>
              </w:tc>
              <w:tc>
                <w:tcPr>
                  <w:tcW w:w="632"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3" w:type="pct"/>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w:t>
                  </w:r>
                </w:p>
              </w:tc>
              <w:tc>
                <w:tcPr>
                  <w:tcW w:w="590"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273" w:type="pct"/>
                  <w:vMerge w:val="continue"/>
                  <w:vAlign w:val="center"/>
                </w:tcPr>
                <w:p>
                  <w:pPr>
                    <w:widowControl/>
                    <w:jc w:val="center"/>
                    <w:textAlignment w:val="center"/>
                    <w:rPr>
                      <w:color w:val="000000" w:themeColor="text1"/>
                      <w:kern w:val="0"/>
                      <w:szCs w:val="21"/>
                      <w:lang w:bidi="ar"/>
                      <w14:textFill>
                        <w14:solidFill>
                          <w14:schemeClr w14:val="tx1"/>
                        </w14:solidFill>
                      </w14:textFill>
                    </w:rPr>
                  </w:pPr>
                </w:p>
              </w:tc>
              <w:tc>
                <w:tcPr>
                  <w:tcW w:w="566"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员工生活</w:t>
                  </w:r>
                </w:p>
              </w:tc>
              <w:tc>
                <w:tcPr>
                  <w:tcW w:w="277"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固</w:t>
                  </w:r>
                </w:p>
              </w:tc>
              <w:tc>
                <w:tcPr>
                  <w:tcW w:w="574"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金属等</w:t>
                  </w:r>
                </w:p>
              </w:tc>
              <w:tc>
                <w:tcPr>
                  <w:tcW w:w="574" w:type="pct"/>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99</w:t>
                  </w:r>
                </w:p>
              </w:tc>
              <w:tc>
                <w:tcPr>
                  <w:tcW w:w="767" w:type="pct"/>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900-999-99</w:t>
                  </w:r>
                </w:p>
              </w:tc>
              <w:tc>
                <w:tcPr>
                  <w:tcW w:w="632"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468"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环卫清运</w:t>
                  </w:r>
                </w:p>
              </w:tc>
            </w:tr>
          </w:tbl>
          <w:p>
            <w:pPr>
              <w:pStyle w:val="10"/>
              <w:spacing w:after="0"/>
              <w:ind w:left="0" w:leftChars="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13</w:t>
            </w:r>
            <w:r>
              <w:rPr>
                <w:b/>
                <w:bCs/>
                <w:color w:val="000000" w:themeColor="text1"/>
                <w:szCs w:val="24"/>
                <w14:textFill>
                  <w14:solidFill>
                    <w14:schemeClr w14:val="tx1"/>
                  </w14:solidFill>
                </w14:textFill>
              </w:rPr>
              <w:t xml:space="preserve">  危险废物属性判定表</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546"/>
              <w:gridCol w:w="2112"/>
              <w:gridCol w:w="1140"/>
              <w:gridCol w:w="1026"/>
              <w:gridCol w:w="14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1"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991"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固废名称</w:t>
                  </w:r>
                </w:p>
              </w:tc>
              <w:tc>
                <w:tcPr>
                  <w:tcW w:w="1354"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产生工序</w:t>
                  </w:r>
                </w:p>
              </w:tc>
              <w:tc>
                <w:tcPr>
                  <w:tcW w:w="731"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是否属于危险废物</w:t>
                  </w:r>
                </w:p>
              </w:tc>
              <w:tc>
                <w:tcPr>
                  <w:tcW w:w="658"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危险废物类别</w:t>
                  </w:r>
                </w:p>
              </w:tc>
              <w:tc>
                <w:tcPr>
                  <w:tcW w:w="953" w:type="pct"/>
                  <w:vAlign w:val="center"/>
                </w:tcPr>
                <w:p>
                  <w:pPr>
                    <w:pStyle w:val="39"/>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危险废物代码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1</w:t>
                  </w:r>
                </w:p>
              </w:tc>
              <w:tc>
                <w:tcPr>
                  <w:tcW w:w="991" w:type="pct"/>
                  <w:vAlign w:val="center"/>
                </w:tcPr>
                <w:p>
                  <w:pPr>
                    <w:widowControl/>
                    <w:wordWrap w:val="0"/>
                    <w:topLinePunct/>
                    <w:jc w:val="center"/>
                    <w:textAlignment w:val="center"/>
                    <w:rPr>
                      <w:rFonts w:hint="default"/>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铝渣、铝灰</w:t>
                  </w:r>
                </w:p>
              </w:tc>
              <w:tc>
                <w:tcPr>
                  <w:tcW w:w="1354" w:type="pct"/>
                  <w:vAlign w:val="center"/>
                </w:tcPr>
                <w:p>
                  <w:pPr>
                    <w:widowControl/>
                    <w:wordWrap w:val="0"/>
                    <w:topLinePunct/>
                    <w:jc w:val="center"/>
                    <w:textAlignment w:val="center"/>
                    <w:rPr>
                      <w:rFonts w:hint="default"/>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铝液净化、布袋除尘收尘</w:t>
                  </w:r>
                </w:p>
              </w:tc>
              <w:tc>
                <w:tcPr>
                  <w:tcW w:w="731" w:type="pct"/>
                  <w:vAlign w:val="center"/>
                </w:tcPr>
                <w:p>
                  <w:pPr>
                    <w:widowControl/>
                    <w:wordWrap w:val="0"/>
                    <w:topLinePunct/>
                    <w:jc w:val="center"/>
                    <w:textAlignment w:val="center"/>
                    <w:rPr>
                      <w:rFonts w:hint="eastAsia"/>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是</w:t>
                  </w:r>
                </w:p>
              </w:tc>
              <w:tc>
                <w:tcPr>
                  <w:tcW w:w="658" w:type="pct"/>
                  <w:vAlign w:val="center"/>
                </w:tcPr>
                <w:p>
                  <w:pPr>
                    <w:widowControl/>
                    <w:jc w:val="center"/>
                    <w:textAlignment w:val="center"/>
                    <w:rPr>
                      <w:rFonts w:hint="default"/>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HW48</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321-026-48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2</w:t>
                  </w:r>
                </w:p>
              </w:tc>
              <w:tc>
                <w:tcPr>
                  <w:tcW w:w="991" w:type="pct"/>
                  <w:vAlign w:val="center"/>
                </w:tcPr>
                <w:p>
                  <w:pPr>
                    <w:widowControl/>
                    <w:wordWrap w:val="0"/>
                    <w:topLinePunct/>
                    <w:jc w:val="center"/>
                    <w:textAlignment w:val="center"/>
                    <w:rPr>
                      <w:rFonts w:hint="eastAsia"/>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废包装桶</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原辅料包装</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3</w:t>
                  </w:r>
                </w:p>
              </w:tc>
              <w:tc>
                <w:tcPr>
                  <w:tcW w:w="991" w:type="pct"/>
                  <w:vAlign w:val="center"/>
                </w:tcPr>
                <w:p>
                  <w:pPr>
                    <w:widowControl/>
                    <w:wordWrap w:val="0"/>
                    <w:topLinePunct/>
                    <w:jc w:val="center"/>
                    <w:textAlignment w:val="center"/>
                    <w:rPr>
                      <w:rFonts w:hint="eastAsia"/>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w:t>
                  </w:r>
                </w:p>
              </w:tc>
              <w:tc>
                <w:tcPr>
                  <w:tcW w:w="1354" w:type="pct"/>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900-039-49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废液压油</w:t>
                  </w:r>
                </w:p>
              </w:tc>
              <w:tc>
                <w:tcPr>
                  <w:tcW w:w="1354" w:type="pct"/>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HW08</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900-249-08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废抹布、手套</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设备维修</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6</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切割、切割、机加工</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HW09</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900-007-09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7</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废导轨油</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打磨、切割、机加工</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HW08</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900-249-08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8</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清洗残渣</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超声波清洗</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HW17</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336-064-17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1" w:type="pct"/>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w:t>
                  </w:r>
                </w:p>
              </w:tc>
              <w:tc>
                <w:tcPr>
                  <w:tcW w:w="991"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喷淋残液</w:t>
                  </w:r>
                </w:p>
              </w:tc>
              <w:tc>
                <w:tcPr>
                  <w:tcW w:w="1354" w:type="pct"/>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环保设备</w:t>
                  </w:r>
                </w:p>
              </w:tc>
              <w:tc>
                <w:tcPr>
                  <w:tcW w:w="731"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是</w:t>
                  </w:r>
                </w:p>
              </w:tc>
              <w:tc>
                <w:tcPr>
                  <w:tcW w:w="658"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HW49</w:t>
                  </w:r>
                </w:p>
              </w:tc>
              <w:tc>
                <w:tcPr>
                  <w:tcW w:w="953" w:type="pct"/>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900-04</w:t>
                  </w:r>
                  <w:r>
                    <w:rPr>
                      <w:color w:val="000000" w:themeColor="text1"/>
                      <w:kern w:val="0"/>
                      <w:szCs w:val="21"/>
                      <w:lang w:bidi="ar"/>
                      <w14:textFill>
                        <w14:solidFill>
                          <w14:schemeClr w14:val="tx1"/>
                        </w14:solidFill>
                      </w14:textFill>
                    </w:rPr>
                    <w:t>1</w:t>
                  </w:r>
                  <w:r>
                    <w:rPr>
                      <w:rFonts w:hint="eastAsia"/>
                      <w:color w:val="000000" w:themeColor="text1"/>
                      <w:kern w:val="0"/>
                      <w:szCs w:val="21"/>
                      <w:lang w:bidi="ar"/>
                      <w14:textFill>
                        <w14:solidFill>
                          <w14:schemeClr w14:val="tx1"/>
                        </w14:solidFill>
                      </w14:textFill>
                    </w:rPr>
                    <w:t>-49</w:t>
                  </w:r>
                </w:p>
              </w:tc>
            </w:tr>
          </w:tbl>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p>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14</w:t>
            </w:r>
            <w:r>
              <w:rPr>
                <w:b/>
                <w:bCs/>
                <w:color w:val="000000" w:themeColor="text1"/>
                <w:szCs w:val="24"/>
                <w14:textFill>
                  <w14:solidFill>
                    <w14:schemeClr w14:val="tx1"/>
                  </w14:solidFill>
                </w14:textFill>
              </w:rPr>
              <w:t xml:space="preserve">  危险废物情况汇总表</w:t>
            </w:r>
          </w:p>
          <w:tbl>
            <w:tblPr>
              <w:tblStyle w:val="19"/>
              <w:tblW w:w="4996"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377"/>
              <w:gridCol w:w="636"/>
              <w:gridCol w:w="773"/>
              <w:gridCol w:w="1117"/>
              <w:gridCol w:w="788"/>
              <w:gridCol w:w="637"/>
              <w:gridCol w:w="396"/>
              <w:gridCol w:w="606"/>
              <w:gridCol w:w="576"/>
              <w:gridCol w:w="573"/>
              <w:gridCol w:w="777"/>
              <w:gridCol w:w="5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序号</w:t>
                  </w:r>
                </w:p>
              </w:tc>
              <w:tc>
                <w:tcPr>
                  <w:tcW w:w="408"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危废名称</w:t>
                  </w:r>
                </w:p>
              </w:tc>
              <w:tc>
                <w:tcPr>
                  <w:tcW w:w="496"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危废类别</w:t>
                  </w:r>
                </w:p>
              </w:tc>
              <w:tc>
                <w:tcPr>
                  <w:tcW w:w="716"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危废代码</w:t>
                  </w:r>
                </w:p>
              </w:tc>
              <w:tc>
                <w:tcPr>
                  <w:tcW w:w="505"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产生量（t/a）</w:t>
                  </w:r>
                </w:p>
              </w:tc>
              <w:tc>
                <w:tcPr>
                  <w:tcW w:w="408"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产生工序及装置</w:t>
                  </w:r>
                </w:p>
              </w:tc>
              <w:tc>
                <w:tcPr>
                  <w:tcW w:w="254"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形态</w:t>
                  </w:r>
                </w:p>
              </w:tc>
              <w:tc>
                <w:tcPr>
                  <w:tcW w:w="388"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主要成分</w:t>
                  </w:r>
                </w:p>
              </w:tc>
              <w:tc>
                <w:tcPr>
                  <w:tcW w:w="369"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有害成分</w:t>
                  </w:r>
                </w:p>
              </w:tc>
              <w:tc>
                <w:tcPr>
                  <w:tcW w:w="367"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产废周期</w:t>
                  </w:r>
                </w:p>
              </w:tc>
              <w:tc>
                <w:tcPr>
                  <w:tcW w:w="498"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危险特性</w:t>
                  </w:r>
                </w:p>
              </w:tc>
              <w:tc>
                <w:tcPr>
                  <w:tcW w:w="343" w:type="pct"/>
                  <w:vAlign w:val="center"/>
                </w:tcPr>
                <w:p>
                  <w:pPr>
                    <w:adjustRightInd w:val="0"/>
                    <w:snapToGrid w:val="0"/>
                    <w:jc w:val="center"/>
                    <w:rPr>
                      <w:b/>
                      <w:color w:val="000000" w:themeColor="text1"/>
                      <w:spacing w:val="-10"/>
                      <w:sz w:val="18"/>
                      <w:szCs w:val="18"/>
                      <w14:textFill>
                        <w14:solidFill>
                          <w14:schemeClr w14:val="tx1"/>
                        </w14:solidFill>
                      </w14:textFill>
                    </w:rPr>
                  </w:pPr>
                  <w:r>
                    <w:rPr>
                      <w:b/>
                      <w:color w:val="000000" w:themeColor="text1"/>
                      <w:spacing w:val="-10"/>
                      <w:sz w:val="18"/>
                      <w:szCs w:val="18"/>
                      <w14:textFill>
                        <w14:solidFill>
                          <w14:schemeClr w14:val="tx1"/>
                        </w14:solidFill>
                      </w14:textFill>
                    </w:rPr>
                    <w:t>污染防治措施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wordWrap w:val="0"/>
                    <w:topLinePunct/>
                    <w:jc w:val="center"/>
                    <w:textAlignment w:val="center"/>
                    <w:rPr>
                      <w:rFonts w:hint="eastAsia"/>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1</w:t>
                  </w:r>
                </w:p>
              </w:tc>
              <w:tc>
                <w:tcPr>
                  <w:tcW w:w="408" w:type="pct"/>
                  <w:vAlign w:val="center"/>
                </w:tcPr>
                <w:p>
                  <w:pPr>
                    <w:widowControl/>
                    <w:wordWrap w:val="0"/>
                    <w:topLinePunct/>
                    <w:jc w:val="center"/>
                    <w:textAlignment w:val="center"/>
                    <w:rPr>
                      <w:rFonts w:hint="eastAsia"/>
                      <w:color w:val="000000" w:themeColor="text1"/>
                      <w:kern w:val="0"/>
                      <w:sz w:val="18"/>
                      <w:szCs w:val="18"/>
                      <w:lang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铝渣、铝灰</w:t>
                  </w:r>
                </w:p>
              </w:tc>
              <w:tc>
                <w:tcPr>
                  <w:tcW w:w="496" w:type="pct"/>
                  <w:vAlign w:val="center"/>
                </w:tcPr>
                <w:p>
                  <w:pPr>
                    <w:widowControl/>
                    <w:wordWrap w:val="0"/>
                    <w:topLinePunct/>
                    <w:jc w:val="center"/>
                    <w:textAlignment w:val="center"/>
                    <w:rPr>
                      <w:rFonts w:hint="default"/>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HW48</w:t>
                  </w:r>
                </w:p>
              </w:tc>
              <w:tc>
                <w:tcPr>
                  <w:tcW w:w="716" w:type="pct"/>
                  <w:vAlign w:val="center"/>
                </w:tcPr>
                <w:p>
                  <w:pPr>
                    <w:widowControl/>
                    <w:wordWrap w:val="0"/>
                    <w:topLinePunct/>
                    <w:jc w:val="center"/>
                    <w:textAlignment w:val="center"/>
                    <w:rPr>
                      <w:rFonts w:hint="eastAsia"/>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321-026-48</w:t>
                  </w:r>
                </w:p>
              </w:tc>
              <w:tc>
                <w:tcPr>
                  <w:tcW w:w="505" w:type="pct"/>
                  <w:vAlign w:val="center"/>
                </w:tcPr>
                <w:p>
                  <w:pPr>
                    <w:widowControl/>
                    <w:wordWrap w:val="0"/>
                    <w:topLinePunct/>
                    <w:jc w:val="center"/>
                    <w:textAlignment w:val="center"/>
                    <w:rPr>
                      <w:rFonts w:hint="default"/>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25</w:t>
                  </w:r>
                </w:p>
              </w:tc>
              <w:tc>
                <w:tcPr>
                  <w:tcW w:w="408" w:type="pct"/>
                  <w:vAlign w:val="center"/>
                </w:tcPr>
                <w:p>
                  <w:pPr>
                    <w:widowControl/>
                    <w:wordWrap w:val="0"/>
                    <w:topLinePunct/>
                    <w:jc w:val="center"/>
                    <w:textAlignment w:val="center"/>
                    <w:rPr>
                      <w:rFonts w:hint="eastAsia"/>
                      <w:color w:val="000000" w:themeColor="text1"/>
                      <w:kern w:val="0"/>
                      <w:sz w:val="18"/>
                      <w:szCs w:val="18"/>
                      <w:lang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铝液净化、布袋除尘收尘</w:t>
                  </w:r>
                </w:p>
              </w:tc>
              <w:tc>
                <w:tcPr>
                  <w:tcW w:w="254" w:type="pct"/>
                  <w:vAlign w:val="center"/>
                </w:tcPr>
                <w:p>
                  <w:pPr>
                    <w:widowControl/>
                    <w:wordWrap w:val="0"/>
                    <w:topLinePunct/>
                    <w:jc w:val="center"/>
                    <w:textAlignment w:val="center"/>
                    <w:rPr>
                      <w:rFonts w:hint="eastAsia"/>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固</w:t>
                  </w:r>
                </w:p>
              </w:tc>
              <w:tc>
                <w:tcPr>
                  <w:tcW w:w="388" w:type="pct"/>
                  <w:vAlign w:val="center"/>
                </w:tcPr>
                <w:p>
                  <w:pPr>
                    <w:widowControl/>
                    <w:wordWrap w:val="0"/>
                    <w:topLinePunct/>
                    <w:jc w:val="center"/>
                    <w:textAlignment w:val="center"/>
                    <w:rPr>
                      <w:rFonts w:hint="eastAsia"/>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铝合金等</w:t>
                  </w:r>
                </w:p>
              </w:tc>
              <w:tc>
                <w:tcPr>
                  <w:tcW w:w="369" w:type="pct"/>
                  <w:vAlign w:val="center"/>
                </w:tcPr>
                <w:p>
                  <w:pPr>
                    <w:widowControl/>
                    <w:wordWrap w:val="0"/>
                    <w:topLinePunct/>
                    <w:jc w:val="center"/>
                    <w:textAlignment w:val="center"/>
                    <w:rPr>
                      <w:rFonts w:hint="eastAsia"/>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金属铝</w:t>
                  </w:r>
                </w:p>
              </w:tc>
              <w:tc>
                <w:tcPr>
                  <w:tcW w:w="367" w:type="pct"/>
                  <w:vAlign w:val="center"/>
                </w:tcPr>
                <w:p>
                  <w:pPr>
                    <w:widowControl/>
                    <w:wordWrap w:val="0"/>
                    <w:topLinePunct/>
                    <w:jc w:val="center"/>
                    <w:textAlignment w:val="center"/>
                    <w:rPr>
                      <w:rFonts w:hint="default"/>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1周</w:t>
                  </w:r>
                </w:p>
              </w:tc>
              <w:tc>
                <w:tcPr>
                  <w:tcW w:w="498" w:type="pct"/>
                  <w:vAlign w:val="center"/>
                </w:tcPr>
                <w:p>
                  <w:pPr>
                    <w:widowControl/>
                    <w:wordWrap w:val="0"/>
                    <w:topLinePunct/>
                    <w:jc w:val="center"/>
                    <w:textAlignment w:val="center"/>
                    <w:rPr>
                      <w:rFonts w:hint="eastAsia"/>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val="en-US" w:eastAsia="zh-CN" w:bidi="ar"/>
                      <w14:textFill>
                        <w14:solidFill>
                          <w14:schemeClr w14:val="tx1"/>
                        </w14:solidFill>
                      </w14:textFill>
                    </w:rPr>
                    <w:t>R</w:t>
                  </w:r>
                </w:p>
              </w:tc>
              <w:tc>
                <w:tcPr>
                  <w:tcW w:w="343" w:type="pct"/>
                  <w:vMerge w:val="restart"/>
                  <w:vAlign w:val="center"/>
                </w:tcPr>
                <w:p>
                  <w:pPr>
                    <w:adjustRightInd w:val="0"/>
                    <w:snapToGrid w:val="0"/>
                    <w:jc w:val="center"/>
                    <w:rPr>
                      <w:bCs/>
                      <w:color w:val="000000" w:themeColor="text1"/>
                      <w:spacing w:val="-10"/>
                      <w:sz w:val="18"/>
                      <w:szCs w:val="18"/>
                      <w14:textFill>
                        <w14:solidFill>
                          <w14:schemeClr w14:val="tx1"/>
                        </w14:solidFill>
                      </w14:textFill>
                    </w:rPr>
                  </w:pPr>
                  <w:r>
                    <w:rPr>
                      <w:rFonts w:hint="eastAsia"/>
                      <w:bCs/>
                      <w:color w:val="000000" w:themeColor="text1"/>
                      <w:spacing w:val="-10"/>
                      <w:sz w:val="18"/>
                      <w:szCs w:val="18"/>
                      <w14:textFill>
                        <w14:solidFill>
                          <w14:schemeClr w14:val="tx1"/>
                        </w14:solidFill>
                      </w14:textFill>
                    </w:rPr>
                    <w:t>危废库暂存，委托有资质单位处置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bCs/>
                      <w:color w:val="000000" w:themeColor="text1"/>
                      <w:spacing w:val="-10"/>
                      <w:kern w:val="2"/>
                      <w:sz w:val="18"/>
                      <w:szCs w:val="18"/>
                      <w:lang w:val="en-US" w:eastAsia="zh-CN" w:bidi="ar-SA"/>
                      <w14:textFill>
                        <w14:solidFill>
                          <w14:schemeClr w14:val="tx1"/>
                        </w14:solidFill>
                      </w14:textFill>
                    </w:rPr>
                  </w:pPr>
                  <w:r>
                    <w:rPr>
                      <w:color w:val="000000" w:themeColor="text1"/>
                      <w:kern w:val="0"/>
                      <w:sz w:val="18"/>
                      <w:szCs w:val="18"/>
                      <w:lang w:bidi="ar"/>
                      <w14:textFill>
                        <w14:solidFill>
                          <w14:schemeClr w14:val="tx1"/>
                        </w14:solidFill>
                      </w14:textFill>
                    </w:rPr>
                    <w:t>2</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废包装桶</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HW49</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900-041-49</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0.5</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原辅料包装</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固</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塑料、</w:t>
                  </w:r>
                  <w:r>
                    <w:rPr>
                      <w:rFonts w:hint="eastAsia"/>
                      <w:color w:val="000000" w:themeColor="text1"/>
                      <w:kern w:val="0"/>
                      <w:sz w:val="18"/>
                      <w:szCs w:val="18"/>
                      <w:lang w:bidi="ar"/>
                      <w14:textFill>
                        <w14:solidFill>
                          <w14:schemeClr w14:val="tx1"/>
                        </w14:solidFill>
                      </w14:textFill>
                    </w:rPr>
                    <w:t>铁、</w:t>
                  </w:r>
                  <w:r>
                    <w:rPr>
                      <w:color w:val="000000" w:themeColor="text1"/>
                      <w:kern w:val="0"/>
                      <w:sz w:val="18"/>
                      <w:szCs w:val="18"/>
                      <w:lang w:bidi="ar"/>
                      <w14:textFill>
                        <w14:solidFill>
                          <w14:schemeClr w14:val="tx1"/>
                        </w14:solidFill>
                      </w14:textFill>
                    </w:rPr>
                    <w:t>油类等</w:t>
                  </w:r>
                </w:p>
              </w:tc>
              <w:tc>
                <w:tcPr>
                  <w:tcW w:w="369" w:type="pct"/>
                  <w:vAlign w:val="center"/>
                </w:tcPr>
                <w:p>
                  <w:pPr>
                    <w:widowControl/>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油类</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C，T</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bCs/>
                      <w:color w:val="000000" w:themeColor="text1"/>
                      <w:spacing w:val="-10"/>
                      <w:kern w:val="2"/>
                      <w:sz w:val="18"/>
                      <w:szCs w:val="18"/>
                      <w:lang w:val="en-US" w:eastAsia="zh-CN" w:bidi="ar-SA"/>
                      <w14:textFill>
                        <w14:solidFill>
                          <w14:schemeClr w14:val="tx1"/>
                        </w14:solidFill>
                      </w14:textFill>
                    </w:rPr>
                  </w:pPr>
                  <w:r>
                    <w:rPr>
                      <w:color w:val="000000" w:themeColor="text1"/>
                      <w:kern w:val="0"/>
                      <w:sz w:val="18"/>
                      <w:szCs w:val="18"/>
                      <w:lang w:bidi="ar"/>
                      <w14:textFill>
                        <w14:solidFill>
                          <w14:schemeClr w14:val="tx1"/>
                        </w14:solidFill>
                      </w14:textFill>
                    </w:rPr>
                    <w:t>3</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废活性炭</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HW49</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900-039-49</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5.453</w:t>
                  </w:r>
                </w:p>
              </w:tc>
              <w:tc>
                <w:tcPr>
                  <w:tcW w:w="408" w:type="pct"/>
                  <w:vAlign w:val="center"/>
                </w:tcPr>
                <w:p>
                  <w:pPr>
                    <w:widowControl/>
                    <w:wordWrap w:val="0"/>
                    <w:topLinePunct/>
                    <w:jc w:val="center"/>
                    <w:textAlignment w:val="center"/>
                    <w:rPr>
                      <w:color w:val="000000" w:themeColor="text1"/>
                      <w:kern w:val="0"/>
                      <w:sz w:val="18"/>
                      <w:szCs w:val="18"/>
                      <w:lang w:val="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环保设备</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固</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活性炭</w:t>
                  </w:r>
                </w:p>
              </w:tc>
              <w:tc>
                <w:tcPr>
                  <w:tcW w:w="369"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活性炭</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T/C</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bCs/>
                      <w:color w:val="000000" w:themeColor="text1"/>
                      <w:spacing w:val="-10"/>
                      <w:kern w:val="2"/>
                      <w:sz w:val="18"/>
                      <w:szCs w:val="18"/>
                      <w:lang w:val="en-US" w:eastAsia="zh-CN" w:bidi="ar-SA"/>
                      <w14:textFill>
                        <w14:solidFill>
                          <w14:schemeClr w14:val="tx1"/>
                        </w14:solidFill>
                      </w14:textFill>
                    </w:rPr>
                  </w:pPr>
                  <w:r>
                    <w:rPr>
                      <w:rFonts w:hint="eastAsia"/>
                      <w:color w:val="000000" w:themeColor="text1"/>
                      <w:kern w:val="0"/>
                      <w:sz w:val="18"/>
                      <w:szCs w:val="18"/>
                      <w:lang w:bidi="ar"/>
                      <w14:textFill>
                        <w14:solidFill>
                          <w14:schemeClr w14:val="tx1"/>
                        </w14:solidFill>
                      </w14:textFill>
                    </w:rPr>
                    <w:t>4</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废液压油</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HW08</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900-249-08</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0.4</w:t>
                  </w:r>
                </w:p>
              </w:tc>
              <w:tc>
                <w:tcPr>
                  <w:tcW w:w="408" w:type="pct"/>
                  <w:vAlign w:val="center"/>
                </w:tcPr>
                <w:p>
                  <w:pPr>
                    <w:widowControl/>
                    <w:wordWrap w:val="0"/>
                    <w:topLinePunct/>
                    <w:jc w:val="center"/>
                    <w:textAlignment w:val="center"/>
                    <w:rPr>
                      <w:color w:val="000000" w:themeColor="text1"/>
                      <w:kern w:val="0"/>
                      <w:sz w:val="18"/>
                      <w:szCs w:val="18"/>
                      <w:lang w:val="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设备维修</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液</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油类等</w:t>
                  </w:r>
                </w:p>
              </w:tc>
              <w:tc>
                <w:tcPr>
                  <w:tcW w:w="369" w:type="pct"/>
                  <w:vAlign w:val="center"/>
                </w:tcPr>
                <w:p>
                  <w:pPr>
                    <w:widowControl/>
                    <w:jc w:val="center"/>
                    <w:textAlignment w:val="center"/>
                    <w:rPr>
                      <w:color w:val="000000" w:themeColor="text1"/>
                      <w:kern w:val="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油类</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tcBorders>
                    <w:bottom w:val="single" w:color="auto" w:sz="4" w:space="0"/>
                  </w:tcBorders>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C，T</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5</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废切削液</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HW09</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900-007-09</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0.15</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切割、切割、机加工</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液</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油类等</w:t>
                  </w:r>
                </w:p>
              </w:tc>
              <w:tc>
                <w:tcPr>
                  <w:tcW w:w="369" w:type="pct"/>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油类</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tcBorders>
                    <w:top w:val="single" w:color="auto" w:sz="4" w:space="0"/>
                    <w:bottom w:val="single" w:color="auto" w:sz="4" w:space="0"/>
                  </w:tcBorders>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T</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6</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废导轨油</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HW08</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900-249-08</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0.085</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打磨、切割、机加工</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液</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油类等</w:t>
                  </w:r>
                </w:p>
              </w:tc>
              <w:tc>
                <w:tcPr>
                  <w:tcW w:w="369"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油类</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T/In</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7</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清洗残渣</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HW17</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336-064-17</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0.2</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清洗</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固</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清洗剂等</w:t>
                  </w:r>
                </w:p>
              </w:tc>
              <w:tc>
                <w:tcPr>
                  <w:tcW w:w="369"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清洗剂</w:t>
                  </w:r>
                </w:p>
              </w:tc>
              <w:tc>
                <w:tcPr>
                  <w:tcW w:w="367" w:type="pct"/>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tcBorders>
                    <w:bottom w:val="single" w:color="auto" w:sz="4" w:space="0"/>
                  </w:tcBorders>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T/C</w:t>
                  </w:r>
                </w:p>
              </w:tc>
              <w:tc>
                <w:tcPr>
                  <w:tcW w:w="343" w:type="pct"/>
                  <w:vMerge w:val="continue"/>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ascii="Times New Roman" w:hAnsi="Times New Roman" w:eastAsia="宋体" w:cs="Times New Roman"/>
                      <w:bCs/>
                      <w:color w:val="000000" w:themeColor="text1"/>
                      <w:spacing w:val="-10"/>
                      <w:kern w:val="2"/>
                      <w:sz w:val="18"/>
                      <w:szCs w:val="18"/>
                      <w:lang w:val="en-US" w:eastAsia="zh-CN" w:bidi="ar-SA"/>
                      <w14:textFill>
                        <w14:solidFill>
                          <w14:schemeClr w14:val="tx1"/>
                        </w14:solidFill>
                      </w14:textFill>
                    </w:rPr>
                  </w:pPr>
                  <w:r>
                    <w:rPr>
                      <w:rFonts w:hint="eastAsia"/>
                      <w:color w:val="000000" w:themeColor="text1"/>
                      <w:kern w:val="0"/>
                      <w:sz w:val="18"/>
                      <w:szCs w:val="18"/>
                      <w:lang w:bidi="ar"/>
                      <w14:textFill>
                        <w14:solidFill>
                          <w14:schemeClr w14:val="tx1"/>
                        </w14:solidFill>
                      </w14:textFill>
                    </w:rPr>
                    <w:t>8</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喷淋残液</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HW49</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900-041-49</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0.5</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环保设备</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液</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氯化氢、金属颗粒、甲醛等</w:t>
                  </w:r>
                </w:p>
              </w:tc>
              <w:tc>
                <w:tcPr>
                  <w:tcW w:w="369"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氯化氢、甲醛等</w:t>
                  </w:r>
                </w:p>
              </w:tc>
              <w:tc>
                <w:tcPr>
                  <w:tcW w:w="367"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3个月</w:t>
                  </w:r>
                </w:p>
              </w:tc>
              <w:tc>
                <w:tcPr>
                  <w:tcW w:w="498" w:type="pct"/>
                  <w:tcBorders>
                    <w:bottom w:val="single" w:color="auto" w:sz="4" w:space="0"/>
                  </w:tcBorders>
                  <w:vAlign w:val="center"/>
                </w:tcPr>
                <w:p>
                  <w:pPr>
                    <w:widowControl/>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T/C/I/R</w:t>
                  </w:r>
                </w:p>
              </w:tc>
              <w:tc>
                <w:tcPr>
                  <w:tcW w:w="343" w:type="pct"/>
                  <w:vMerge w:val="continue"/>
                  <w:tcBorders>
                    <w:bottom w:val="single" w:color="auto" w:sz="4" w:space="0"/>
                  </w:tcBorders>
                  <w:vAlign w:val="center"/>
                </w:tcPr>
                <w:p>
                  <w:pPr>
                    <w:adjustRightInd w:val="0"/>
                    <w:snapToGrid w:val="0"/>
                    <w:jc w:val="center"/>
                    <w:rPr>
                      <w:bCs/>
                      <w:color w:val="000000" w:themeColor="text1"/>
                      <w:spacing w:val="-10"/>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41" w:type="pct"/>
                  <w:vAlign w:val="center"/>
                </w:tcPr>
                <w:p>
                  <w:pPr>
                    <w:widowControl/>
                    <w:jc w:val="center"/>
                    <w:textAlignment w:val="center"/>
                    <w:rPr>
                      <w:rFonts w:hint="default" w:eastAsia="宋体"/>
                      <w:bCs/>
                      <w:color w:val="000000" w:themeColor="text1"/>
                      <w:spacing w:val="-10"/>
                      <w:sz w:val="18"/>
                      <w:szCs w:val="18"/>
                      <w:lang w:val="en-US" w:eastAsia="zh-CN"/>
                      <w14:textFill>
                        <w14:solidFill>
                          <w14:schemeClr w14:val="tx1"/>
                        </w14:solidFill>
                      </w14:textFill>
                    </w:rPr>
                  </w:pPr>
                  <w:r>
                    <w:rPr>
                      <w:rFonts w:hint="eastAsia"/>
                      <w:bCs/>
                      <w:color w:val="000000" w:themeColor="text1"/>
                      <w:spacing w:val="-10"/>
                      <w:sz w:val="18"/>
                      <w:szCs w:val="18"/>
                      <w:lang w:val="en-US" w:eastAsia="zh-CN"/>
                      <w14:textFill>
                        <w14:solidFill>
                          <w14:schemeClr w14:val="tx1"/>
                        </w14:solidFill>
                      </w14:textFill>
                    </w:rPr>
                    <w:t>9</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废抹布、手套</w:t>
                  </w:r>
                </w:p>
              </w:tc>
              <w:tc>
                <w:tcPr>
                  <w:tcW w:w="49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HW49</w:t>
                  </w:r>
                </w:p>
              </w:tc>
              <w:tc>
                <w:tcPr>
                  <w:tcW w:w="716" w:type="pct"/>
                  <w:vAlign w:val="center"/>
                </w:tcPr>
                <w:p>
                  <w:pPr>
                    <w:widowControl/>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900-041-49</w:t>
                  </w:r>
                </w:p>
              </w:tc>
              <w:tc>
                <w:tcPr>
                  <w:tcW w:w="505"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0.2</w:t>
                  </w:r>
                </w:p>
              </w:tc>
              <w:tc>
                <w:tcPr>
                  <w:tcW w:w="40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设备维修</w:t>
                  </w:r>
                </w:p>
              </w:tc>
              <w:tc>
                <w:tcPr>
                  <w:tcW w:w="254"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rFonts w:hint="eastAsia"/>
                      <w:color w:val="000000" w:themeColor="text1"/>
                      <w:kern w:val="0"/>
                      <w:sz w:val="18"/>
                      <w:szCs w:val="18"/>
                      <w:lang w:bidi="ar"/>
                      <w14:textFill>
                        <w14:solidFill>
                          <w14:schemeClr w14:val="tx1"/>
                        </w14:solidFill>
                      </w14:textFill>
                    </w:rPr>
                    <w:t>固</w:t>
                  </w:r>
                </w:p>
              </w:tc>
              <w:tc>
                <w:tcPr>
                  <w:tcW w:w="388" w:type="pct"/>
                  <w:vAlign w:val="center"/>
                </w:tcPr>
                <w:p>
                  <w:pPr>
                    <w:widowControl/>
                    <w:wordWrap w:val="0"/>
                    <w:topLinePunct/>
                    <w:jc w:val="center"/>
                    <w:textAlignment w:val="center"/>
                    <w:rPr>
                      <w:color w:val="000000" w:themeColor="text1"/>
                      <w:kern w:val="0"/>
                      <w:sz w:val="18"/>
                      <w:szCs w:val="18"/>
                      <w:lang w:bidi="ar"/>
                      <w14:textFill>
                        <w14:solidFill>
                          <w14:schemeClr w14:val="tx1"/>
                        </w14:solidFill>
                      </w14:textFill>
                    </w:rPr>
                  </w:pPr>
                  <w:r>
                    <w:rPr>
                      <w:color w:val="000000" w:themeColor="text1"/>
                      <w:kern w:val="0"/>
                      <w:sz w:val="18"/>
                      <w:szCs w:val="18"/>
                      <w:lang w:bidi="ar"/>
                      <w14:textFill>
                        <w14:solidFill>
                          <w14:schemeClr w14:val="tx1"/>
                        </w14:solidFill>
                      </w14:textFill>
                    </w:rPr>
                    <w:t>废弃的含油抹布、劳保用品</w:t>
                  </w:r>
                </w:p>
              </w:tc>
              <w:tc>
                <w:tcPr>
                  <w:tcW w:w="369" w:type="pct"/>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废弃的含油抹布、劳保用品</w:t>
                  </w:r>
                </w:p>
              </w:tc>
              <w:tc>
                <w:tcPr>
                  <w:tcW w:w="367" w:type="pct"/>
                  <w:tcBorders>
                    <w:bottom w:val="single" w:color="auto" w:sz="12" w:space="0"/>
                  </w:tcBorders>
                  <w:vAlign w:val="center"/>
                </w:tcPr>
                <w:p>
                  <w:pPr>
                    <w:widowControl/>
                    <w:jc w:val="center"/>
                    <w:textAlignment w:val="center"/>
                    <w:rPr>
                      <w:color w:val="000000" w:themeColor="text1"/>
                      <w:kern w:val="0"/>
                      <w:sz w:val="18"/>
                      <w:szCs w:val="18"/>
                      <w14:textFill>
                        <w14:solidFill>
                          <w14:schemeClr w14:val="tx1"/>
                        </w14:solidFill>
                      </w14:textFill>
                    </w:rPr>
                  </w:pPr>
                  <w:r>
                    <w:rPr>
                      <w:rFonts w:hint="eastAsia"/>
                      <w:color w:val="000000" w:themeColor="text1"/>
                      <w:kern w:val="0"/>
                      <w:sz w:val="18"/>
                      <w:szCs w:val="18"/>
                      <w:lang w:bidi="ar"/>
                      <w14:textFill>
                        <w14:solidFill>
                          <w14:schemeClr w14:val="tx1"/>
                        </w14:solidFill>
                      </w14:textFill>
                    </w:rPr>
                    <w:t>3</w:t>
                  </w:r>
                  <w:r>
                    <w:rPr>
                      <w:color w:val="000000" w:themeColor="text1"/>
                      <w:kern w:val="0"/>
                      <w:sz w:val="18"/>
                      <w:szCs w:val="18"/>
                      <w:lang w:bidi="ar"/>
                      <w14:textFill>
                        <w14:solidFill>
                          <w14:schemeClr w14:val="tx1"/>
                        </w14:solidFill>
                      </w14:textFill>
                    </w:rPr>
                    <w:t>个月</w:t>
                  </w:r>
                </w:p>
              </w:tc>
              <w:tc>
                <w:tcPr>
                  <w:tcW w:w="498" w:type="pct"/>
                  <w:tcBorders>
                    <w:top w:val="single" w:color="auto" w:sz="4" w:space="0"/>
                    <w:bottom w:val="single" w:color="auto" w:sz="12" w:space="0"/>
                  </w:tcBorders>
                  <w:vAlign w:val="center"/>
                </w:tcPr>
                <w:p>
                  <w:pPr>
                    <w:widowControl/>
                    <w:jc w:val="center"/>
                    <w:textAlignment w:val="center"/>
                    <w:rPr>
                      <w:bCs/>
                      <w:color w:val="000000" w:themeColor="text1"/>
                      <w:spacing w:val="-10"/>
                      <w:sz w:val="18"/>
                      <w:szCs w:val="18"/>
                      <w14:textFill>
                        <w14:solidFill>
                          <w14:schemeClr w14:val="tx1"/>
                        </w14:solidFill>
                      </w14:textFill>
                    </w:rPr>
                  </w:pPr>
                  <w:r>
                    <w:rPr>
                      <w:color w:val="000000" w:themeColor="text1"/>
                      <w:kern w:val="0"/>
                      <w:sz w:val="18"/>
                      <w:szCs w:val="18"/>
                      <w:lang w:bidi="ar"/>
                      <w14:textFill>
                        <w14:solidFill>
                          <w14:schemeClr w14:val="tx1"/>
                        </w14:solidFill>
                      </w14:textFill>
                    </w:rPr>
                    <w:t>T</w:t>
                  </w:r>
                </w:p>
              </w:tc>
              <w:tc>
                <w:tcPr>
                  <w:tcW w:w="343" w:type="pct"/>
                  <w:tcBorders>
                    <w:top w:val="single" w:color="auto" w:sz="4" w:space="0"/>
                    <w:bottom w:val="single" w:color="auto" w:sz="12" w:space="0"/>
                  </w:tcBorders>
                  <w:vAlign w:val="center"/>
                </w:tcPr>
                <w:p>
                  <w:pPr>
                    <w:adjustRightInd w:val="0"/>
                    <w:snapToGrid w:val="0"/>
                    <w:jc w:val="center"/>
                    <w:rPr>
                      <w:bCs/>
                      <w:color w:val="000000" w:themeColor="text1"/>
                      <w:spacing w:val="-10"/>
                      <w:sz w:val="18"/>
                      <w:szCs w:val="18"/>
                      <w14:textFill>
                        <w14:solidFill>
                          <w14:schemeClr w14:val="tx1"/>
                        </w14:solidFill>
                      </w14:textFill>
                    </w:rPr>
                  </w:pPr>
                  <w:r>
                    <w:rPr>
                      <w:bCs/>
                      <w:color w:val="000000" w:themeColor="text1"/>
                      <w:spacing w:val="-10"/>
                      <w:sz w:val="18"/>
                      <w:szCs w:val="18"/>
                      <w14:textFill>
                        <w14:solidFill>
                          <w14:schemeClr w14:val="tx1"/>
                        </w14:solidFill>
                      </w14:textFill>
                    </w:rPr>
                    <w:t>全过程不按危险废物管理，未单独收集，混入生活垃圾</w:t>
                  </w:r>
                </w:p>
              </w:tc>
            </w:tr>
          </w:tbl>
          <w:p>
            <w:pPr>
              <w:adjustRightInd w:val="0"/>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2、固体废物暂存分析</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本项目产生的固体废物包括一般工业固废、危险废物，应按照“减量化、资源化、无害化”原则加强固体废物管理，建立固废分类收集、暂存、利用和处置制度。</w:t>
            </w:r>
          </w:p>
          <w:p>
            <w:pPr>
              <w:pStyle w:val="8"/>
              <w:snapToGrid/>
              <w:spacing w:before="0" w:after="0" w:line="360" w:lineRule="auto"/>
              <w:ind w:right="0"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（1）一般工业固废贮存设施可行性分析</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建设单位拟设置一般工业固废暂存场</w:t>
            </w:r>
            <w:r>
              <w:rPr>
                <w:rFonts w:hint="eastAsia"/>
                <w:bCs/>
                <w:color w:val="000000" w:themeColor="text1"/>
                <w:sz w:val="24"/>
                <w14:textFill>
                  <w14:solidFill>
                    <w14:schemeClr w14:val="tx1"/>
                  </w14:solidFill>
                </w14:textFill>
              </w:rPr>
              <w:t>40</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，符合一般固废废料相关要求：</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①要按照《一般工业固体废物贮存和填埋污染控制标准》（GB18599-2020）要求设置暂存场所，地面满足Ⅱ类场地防渗要求。</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②贮存、处置场的设置必须与将要堆放的一般工业固体废物的类别相一致。</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产生、收集、贮存、运输、利用、处置过程应当采取防扬散、防流失、防渗漏或其他污染环境的措施，不得擅自倾倒、堆放、丢弃、遗撒固体废物。一般工业固废不得与生活垃圾混合或向生活垃圾收集设施投放工业固体废物。</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④贮存、处置场使用单位，应建立检查维护制度，定期检查维护贮存设施，发现有损坏可能或异常，应及时采取必要措施，以保障正常运行。</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⑤应当依法及时公开固体废物污染环境防治信息，主动接受社会监督。应当按照《固废法》要求建立健全一般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⑥应当采取措施，减少一般工业固废产生量，促进固废综合利用，减少危害性，即“减量化、资源化、无害化”原则。</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⑦委托他人运输、利用、处置工业固体废物的，应当对受托方的主体资格和技术能力进行核实，依法签订书面合同，在合同中约定污染防治责任，否则，除法律法规规定的处罚以外，还应当与造成环境污染与生态破坏的受托方承担连带责任。</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综上所述，只要建设单位严格按照《固废法》、《一般工业固体废物贮存和填埋污染控制标准》（GB18599-2020）等法律法规要求进行管理、处置，一般固废预计不会对周边环境造成不良影响。</w:t>
            </w: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15</w:t>
            </w:r>
            <w:r>
              <w:rPr>
                <w:b/>
                <w:bCs/>
                <w:color w:val="000000" w:themeColor="text1"/>
                <w:szCs w:val="24"/>
                <w14:textFill>
                  <w14:solidFill>
                    <w14:schemeClr w14:val="tx1"/>
                  </w14:solidFill>
                </w14:textFill>
              </w:rPr>
              <w:t xml:space="preserve">  一般固废物贮存场所基本情况表</w:t>
            </w:r>
          </w:p>
          <w:tbl>
            <w:tblPr>
              <w:tblStyle w:val="19"/>
              <w:tblW w:w="4994"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42"/>
              <w:gridCol w:w="984"/>
              <w:gridCol w:w="1279"/>
              <w:gridCol w:w="1107"/>
              <w:gridCol w:w="692"/>
              <w:gridCol w:w="822"/>
              <w:gridCol w:w="632"/>
              <w:gridCol w:w="1001"/>
              <w:gridCol w:w="83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spacing w:line="320" w:lineRule="exact"/>
                    <w:jc w:val="center"/>
                    <w:rPr>
                      <w:b/>
                      <w:color w:val="000000" w:themeColor="text1"/>
                      <w14:textFill>
                        <w14:solidFill>
                          <w14:schemeClr w14:val="tx1"/>
                        </w14:solidFill>
                      </w14:textFill>
                    </w:rPr>
                  </w:pPr>
                  <w:r>
                    <w:rPr>
                      <w:b/>
                      <w:color w:val="000000" w:themeColor="text1"/>
                      <w:lang w:bidi="ar"/>
                      <w14:textFill>
                        <w14:solidFill>
                          <w14:schemeClr w14:val="tx1"/>
                        </w14:solidFill>
                      </w14:textFill>
                    </w:rPr>
                    <w:t>序号</w:t>
                  </w:r>
                </w:p>
              </w:tc>
              <w:tc>
                <w:tcPr>
                  <w:tcW w:w="631" w:type="pct"/>
                  <w:tcMar>
                    <w:left w:w="28" w:type="dxa"/>
                    <w:right w:w="28" w:type="dxa"/>
                  </w:tcMar>
                  <w:vAlign w:val="center"/>
                </w:tcPr>
                <w:p>
                  <w:pPr>
                    <w:spacing w:line="32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贮存场所（设施）名称</w:t>
                  </w:r>
                </w:p>
              </w:tc>
              <w:tc>
                <w:tcPr>
                  <w:tcW w:w="820" w:type="pct"/>
                  <w:tcMar>
                    <w:left w:w="28" w:type="dxa"/>
                    <w:right w:w="28" w:type="dxa"/>
                  </w:tcMar>
                  <w:vAlign w:val="center"/>
                </w:tcPr>
                <w:p>
                  <w:pPr>
                    <w:spacing w:line="320" w:lineRule="exact"/>
                    <w:jc w:val="center"/>
                    <w:rPr>
                      <w:b/>
                      <w:color w:val="000000" w:themeColor="text1"/>
                      <w14:textFill>
                        <w14:solidFill>
                          <w14:schemeClr w14:val="tx1"/>
                        </w14:solidFill>
                      </w14:textFill>
                    </w:rPr>
                  </w:pPr>
                  <w:r>
                    <w:rPr>
                      <w:b/>
                      <w:color w:val="000000" w:themeColor="text1"/>
                      <w:lang w:bidi="ar"/>
                      <w14:textFill>
                        <w14:solidFill>
                          <w14:schemeClr w14:val="tx1"/>
                        </w14:solidFill>
                      </w14:textFill>
                    </w:rPr>
                    <w:t>废物名称</w:t>
                  </w:r>
                </w:p>
              </w:tc>
              <w:tc>
                <w:tcPr>
                  <w:tcW w:w="710" w:type="pct"/>
                  <w:tcMar>
                    <w:left w:w="28" w:type="dxa"/>
                    <w:right w:w="28" w:type="dxa"/>
                  </w:tcMar>
                  <w:vAlign w:val="center"/>
                </w:tcPr>
                <w:p>
                  <w:pPr>
                    <w:adjustRightInd w:val="0"/>
                    <w:snapToGrid w:val="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废物代码</w:t>
                  </w:r>
                </w:p>
              </w:tc>
              <w:tc>
                <w:tcPr>
                  <w:tcW w:w="444" w:type="pct"/>
                  <w:tcMar>
                    <w:left w:w="28" w:type="dxa"/>
                    <w:right w:w="28" w:type="dxa"/>
                  </w:tcMar>
                  <w:vAlign w:val="center"/>
                </w:tcPr>
                <w:p>
                  <w:pPr>
                    <w:adjustRightInd w:val="0"/>
                    <w:snapToGrid w:val="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位置</w:t>
                  </w:r>
                </w:p>
              </w:tc>
              <w:tc>
                <w:tcPr>
                  <w:tcW w:w="527" w:type="pct"/>
                  <w:tcMar>
                    <w:left w:w="28" w:type="dxa"/>
                    <w:right w:w="28" w:type="dxa"/>
                  </w:tcMar>
                  <w:vAlign w:val="center"/>
                </w:tcPr>
                <w:p>
                  <w:pPr>
                    <w:spacing w:line="32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占地面积</w:t>
                  </w:r>
                  <w:r>
                    <w:rPr>
                      <w:b/>
                      <w:color w:val="000000" w:themeColor="text1"/>
                      <w:lang w:bidi="ar"/>
                      <w14:textFill>
                        <w14:solidFill>
                          <w14:schemeClr w14:val="tx1"/>
                        </w14:solidFill>
                      </w14:textFill>
                    </w:rPr>
                    <w:t>m</w:t>
                  </w:r>
                  <w:r>
                    <w:rPr>
                      <w:b/>
                      <w:color w:val="000000" w:themeColor="text1"/>
                      <w:vertAlign w:val="superscript"/>
                      <w:lang w:bidi="ar"/>
                      <w14:textFill>
                        <w14:solidFill>
                          <w14:schemeClr w14:val="tx1"/>
                        </w14:solidFill>
                      </w14:textFill>
                    </w:rPr>
                    <w:t>2</w:t>
                  </w:r>
                </w:p>
              </w:tc>
              <w:tc>
                <w:tcPr>
                  <w:tcW w:w="405" w:type="pct"/>
                  <w:tcMar>
                    <w:left w:w="28" w:type="dxa"/>
                    <w:right w:w="28" w:type="dxa"/>
                  </w:tcMar>
                  <w:vAlign w:val="center"/>
                </w:tcPr>
                <w:p>
                  <w:pPr>
                    <w:spacing w:line="320" w:lineRule="exact"/>
                    <w:jc w:val="center"/>
                    <w:rPr>
                      <w:b/>
                      <w:color w:val="000000" w:themeColor="text1"/>
                      <w:lang w:bidi="ar"/>
                      <w14:textFill>
                        <w14:solidFill>
                          <w14:schemeClr w14:val="tx1"/>
                        </w14:solidFill>
                      </w14:textFill>
                    </w:rPr>
                  </w:pPr>
                  <w:r>
                    <w:rPr>
                      <w:b/>
                      <w:color w:val="000000" w:themeColor="text1"/>
                      <w:lang w:bidi="ar"/>
                      <w14:textFill>
                        <w14:solidFill>
                          <w14:schemeClr w14:val="tx1"/>
                        </w14:solidFill>
                      </w14:textFill>
                    </w:rPr>
                    <w:t>贮存方式</w:t>
                  </w:r>
                </w:p>
              </w:tc>
              <w:tc>
                <w:tcPr>
                  <w:tcW w:w="642" w:type="pct"/>
                  <w:tcMar>
                    <w:left w:w="28" w:type="dxa"/>
                    <w:right w:w="28" w:type="dxa"/>
                  </w:tcMar>
                  <w:vAlign w:val="center"/>
                </w:tcPr>
                <w:p>
                  <w:pPr>
                    <w:spacing w:line="320" w:lineRule="exact"/>
                    <w:jc w:val="center"/>
                    <w:rPr>
                      <w:b/>
                      <w:color w:val="000000" w:themeColor="text1"/>
                      <w:lang w:bidi="ar"/>
                      <w14:textFill>
                        <w14:solidFill>
                          <w14:schemeClr w14:val="tx1"/>
                        </w14:solidFill>
                      </w14:textFill>
                    </w:rPr>
                  </w:pPr>
                  <w:r>
                    <w:rPr>
                      <w:b/>
                      <w:color w:val="000000" w:themeColor="text1"/>
                      <w:lang w:bidi="ar"/>
                      <w14:textFill>
                        <w14:solidFill>
                          <w14:schemeClr w14:val="tx1"/>
                        </w14:solidFill>
                      </w14:textFill>
                    </w:rPr>
                    <w:t>贮存能力t</w:t>
                  </w:r>
                </w:p>
              </w:tc>
              <w:tc>
                <w:tcPr>
                  <w:tcW w:w="532" w:type="pct"/>
                  <w:tcMar>
                    <w:left w:w="28" w:type="dxa"/>
                    <w:right w:w="28" w:type="dxa"/>
                  </w:tcMar>
                  <w:vAlign w:val="center"/>
                </w:tcPr>
                <w:p>
                  <w:pPr>
                    <w:spacing w:line="320" w:lineRule="exact"/>
                    <w:jc w:val="center"/>
                    <w:rPr>
                      <w:b/>
                      <w:color w:val="000000" w:themeColor="text1"/>
                      <w14:textFill>
                        <w14:solidFill>
                          <w14:schemeClr w14:val="tx1"/>
                        </w14:solidFill>
                      </w14:textFill>
                    </w:rPr>
                  </w:pPr>
                  <w:r>
                    <w:rPr>
                      <w:b/>
                      <w:color w:val="000000" w:themeColor="text1"/>
                      <w:lang w:bidi="ar"/>
                      <w14:textFill>
                        <w14:solidFill>
                          <w14:schemeClr w14:val="tx1"/>
                        </w14:solidFill>
                      </w14:textFill>
                    </w:rPr>
                    <w:t>贮存周期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w:t>
                  </w:r>
                </w:p>
              </w:tc>
              <w:tc>
                <w:tcPr>
                  <w:tcW w:w="631" w:type="pct"/>
                  <w:vMerge w:val="restar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一般固废暂存区</w:t>
                  </w:r>
                </w:p>
              </w:tc>
              <w:tc>
                <w:tcPr>
                  <w:tcW w:w="820" w:type="pct"/>
                  <w:tcMar>
                    <w:left w:w="28" w:type="dxa"/>
                    <w:right w:w="28" w:type="dxa"/>
                  </w:tcMar>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废包装袋</w:t>
                  </w:r>
                </w:p>
              </w:tc>
              <w:tc>
                <w:tcPr>
                  <w:tcW w:w="710" w:type="pc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restar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厂区西北侧</w:t>
                  </w:r>
                </w:p>
              </w:tc>
              <w:tc>
                <w:tcPr>
                  <w:tcW w:w="527" w:type="pct"/>
                  <w:vMerge w:val="restar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总计</w:t>
                  </w:r>
                  <w:r>
                    <w:rPr>
                      <w:rFonts w:hint="eastAsia"/>
                      <w:color w:val="000000" w:themeColor="text1"/>
                      <w:kern w:val="0"/>
                      <w:szCs w:val="21"/>
                      <w:lang w:bidi="ar"/>
                      <w14:textFill>
                        <w14:solidFill>
                          <w14:schemeClr w14:val="tx1"/>
                        </w14:solidFill>
                      </w14:textFill>
                    </w:rPr>
                    <w:t>40</w:t>
                  </w:r>
                  <w:r>
                    <w:rPr>
                      <w:color w:val="000000" w:themeColor="text1"/>
                      <w:kern w:val="0"/>
                      <w:szCs w:val="21"/>
                      <w:lang w:bidi="ar"/>
                      <w14:textFill>
                        <w14:solidFill>
                          <w14:schemeClr w14:val="tx1"/>
                        </w14:solidFill>
                      </w14:textFill>
                    </w:rPr>
                    <w:t>m</w:t>
                  </w:r>
                  <w:r>
                    <w:rPr>
                      <w:color w:val="000000" w:themeColor="text1"/>
                      <w:kern w:val="0"/>
                      <w:szCs w:val="21"/>
                      <w:vertAlign w:val="superscript"/>
                      <w:lang w:bidi="ar"/>
                      <w14:textFill>
                        <w14:solidFill>
                          <w14:schemeClr w14:val="tx1"/>
                        </w14:solidFill>
                      </w14:textFill>
                    </w:rPr>
                    <w:t>2</w:t>
                  </w:r>
                </w:p>
              </w:tc>
              <w:tc>
                <w:tcPr>
                  <w:tcW w:w="405" w:type="pct"/>
                  <w:vMerge w:val="restart"/>
                  <w:tcMar>
                    <w:left w:w="28" w:type="dxa"/>
                    <w:right w:w="28" w:type="dxa"/>
                  </w:tcMar>
                  <w:vAlign w:val="center"/>
                </w:tcPr>
                <w:p>
                  <w:pPr>
                    <w:widowControl/>
                    <w:jc w:val="center"/>
                    <w:textAlignment w:val="center"/>
                    <w:rPr>
                      <w:color w:val="000000" w:themeColor="text1"/>
                      <w:lang w:bidi="ar"/>
                      <w14:textFill>
                        <w14:solidFill>
                          <w14:schemeClr w14:val="tx1"/>
                        </w14:solidFill>
                      </w14:textFill>
                    </w:rPr>
                  </w:pPr>
                  <w:r>
                    <w:rPr>
                      <w:color w:val="000000" w:themeColor="text1"/>
                      <w:kern w:val="0"/>
                      <w:szCs w:val="21"/>
                      <w:lang w:bidi="ar"/>
                      <w14:textFill>
                        <w14:solidFill>
                          <w14:schemeClr w14:val="tx1"/>
                        </w14:solidFill>
                      </w14:textFill>
                    </w:rPr>
                    <w:t>密封包装</w:t>
                  </w:r>
                </w:p>
              </w:tc>
              <w:tc>
                <w:tcPr>
                  <w:tcW w:w="642"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0.03</w:t>
                  </w:r>
                </w:p>
              </w:tc>
              <w:tc>
                <w:tcPr>
                  <w:tcW w:w="532" w:type="pc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w:t>
                  </w:r>
                </w:p>
              </w:tc>
              <w:tc>
                <w:tcPr>
                  <w:tcW w:w="631"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820" w:type="pct"/>
                  <w:tcMar>
                    <w:left w:w="28" w:type="dxa"/>
                    <w:right w:w="28" w:type="dxa"/>
                  </w:tcMar>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废布袋</w:t>
                  </w:r>
                </w:p>
              </w:tc>
              <w:tc>
                <w:tcPr>
                  <w:tcW w:w="710" w:type="pc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527"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405"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642"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2</w:t>
                  </w:r>
                </w:p>
              </w:tc>
              <w:tc>
                <w:tcPr>
                  <w:tcW w:w="532" w:type="pc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w:t>
                  </w:r>
                </w:p>
              </w:tc>
              <w:tc>
                <w:tcPr>
                  <w:tcW w:w="631" w:type="pct"/>
                  <w:vMerge w:val="continue"/>
                  <w:tcMar>
                    <w:left w:w="28" w:type="dxa"/>
                    <w:right w:w="28" w:type="dxa"/>
                  </w:tcMar>
                  <w:vAlign w:val="center"/>
                </w:tcPr>
                <w:p>
                  <w:pPr>
                    <w:jc w:val="center"/>
                    <w:rPr>
                      <w:color w:val="000000" w:themeColor="text1"/>
                      <w14:textFill>
                        <w14:solidFill>
                          <w14:schemeClr w14:val="tx1"/>
                        </w14:solidFill>
                      </w14:textFill>
                    </w:rPr>
                  </w:pPr>
                </w:p>
              </w:tc>
              <w:tc>
                <w:tcPr>
                  <w:tcW w:w="820" w:type="pct"/>
                  <w:tcMar>
                    <w:left w:w="28" w:type="dxa"/>
                    <w:right w:w="28" w:type="dxa"/>
                  </w:tcMar>
                  <w:vAlign w:val="center"/>
                </w:tcPr>
                <w:p>
                  <w:pPr>
                    <w:widowControl/>
                    <w:wordWrap w:val="0"/>
                    <w:topLinePunct/>
                    <w:jc w:val="center"/>
                    <w:textAlignment w:val="center"/>
                    <w:rPr>
                      <w:color w:val="000000" w:themeColor="text1"/>
                      <w:kern w:val="0"/>
                      <w:szCs w:val="21"/>
                      <w:lang w:val="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废边角料</w:t>
                  </w:r>
                </w:p>
              </w:tc>
              <w:tc>
                <w:tcPr>
                  <w:tcW w:w="710" w:type="pc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527"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405"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642"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532" w:type="pc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bCs/>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4</w:t>
                  </w:r>
                </w:p>
              </w:tc>
              <w:tc>
                <w:tcPr>
                  <w:tcW w:w="631" w:type="pct"/>
                  <w:vMerge w:val="continue"/>
                  <w:tcMar>
                    <w:left w:w="28" w:type="dxa"/>
                    <w:right w:w="28" w:type="dxa"/>
                  </w:tcMar>
                  <w:vAlign w:val="center"/>
                </w:tcPr>
                <w:p>
                  <w:pPr>
                    <w:jc w:val="center"/>
                    <w:rPr>
                      <w:color w:val="000000" w:themeColor="text1"/>
                      <w14:textFill>
                        <w14:solidFill>
                          <w14:schemeClr w14:val="tx1"/>
                        </w14:solidFill>
                      </w14:textFill>
                    </w:rPr>
                  </w:pPr>
                </w:p>
              </w:tc>
              <w:tc>
                <w:tcPr>
                  <w:tcW w:w="820"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废砂芯</w:t>
                  </w:r>
                </w:p>
              </w:tc>
              <w:tc>
                <w:tcPr>
                  <w:tcW w:w="710" w:type="pc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527"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405"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642"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532" w:type="pct"/>
                  <w:tcMar>
                    <w:left w:w="28" w:type="dxa"/>
                    <w:right w:w="28" w:type="dxa"/>
                  </w:tcMar>
                  <w:vAlign w:val="center"/>
                </w:tcPr>
                <w:p>
                  <w:pPr>
                    <w:widowControl/>
                    <w:jc w:val="center"/>
                    <w:textAlignment w:val="center"/>
                    <w:rPr>
                      <w:color w:val="000000" w:themeColor="text1"/>
                      <w14:textFill>
                        <w14:solidFill>
                          <w14:schemeClr w14:val="tx1"/>
                        </w14:solidFill>
                      </w14:textFill>
                    </w:rPr>
                  </w:pPr>
                  <w:r>
                    <w:rPr>
                      <w:rFonts w:hint="eastAsia"/>
                      <w:color w:val="000000" w:themeColor="text1"/>
                      <w:kern w:val="0"/>
                      <w:szCs w:val="21"/>
                      <w:lang w:bidi="ar"/>
                      <w14:textFill>
                        <w14:solidFill>
                          <w14:schemeClr w14:val="tx1"/>
                        </w14:solidFill>
                      </w14:textFill>
                    </w:rPr>
                    <w:t>一</w:t>
                  </w:r>
                  <w:r>
                    <w:rPr>
                      <w:color w:val="000000" w:themeColor="text1"/>
                      <w:kern w:val="0"/>
                      <w:szCs w:val="21"/>
                      <w:lang w:bidi="ar"/>
                      <w14:textFill>
                        <w14:solidFill>
                          <w14:schemeClr w14:val="tx1"/>
                        </w14:solidFill>
                      </w14:textFill>
                    </w:rPr>
                    <w:t>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rFonts w:hint="eastAsia" w:eastAsia="宋体"/>
                      <w:bCs/>
                      <w:color w:val="000000" w:themeColor="text1"/>
                      <w:szCs w:val="21"/>
                      <w:lang w:eastAsia="zh-CN"/>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5</w:t>
                  </w:r>
                </w:p>
              </w:tc>
              <w:tc>
                <w:tcPr>
                  <w:tcW w:w="631" w:type="pct"/>
                  <w:vMerge w:val="continue"/>
                  <w:tcMar>
                    <w:left w:w="28" w:type="dxa"/>
                    <w:right w:w="28" w:type="dxa"/>
                  </w:tcMar>
                  <w:vAlign w:val="center"/>
                </w:tcPr>
                <w:p>
                  <w:pPr>
                    <w:jc w:val="center"/>
                    <w:rPr>
                      <w:color w:val="000000" w:themeColor="text1"/>
                      <w14:textFill>
                        <w14:solidFill>
                          <w14:schemeClr w14:val="tx1"/>
                        </w14:solidFill>
                      </w14:textFill>
                    </w:rPr>
                  </w:pPr>
                </w:p>
              </w:tc>
              <w:tc>
                <w:tcPr>
                  <w:tcW w:w="820"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废钢丸</w:t>
                  </w:r>
                </w:p>
              </w:tc>
              <w:tc>
                <w:tcPr>
                  <w:tcW w:w="710" w:type="pc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527"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405"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642"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3.5</w:t>
                  </w:r>
                </w:p>
              </w:tc>
              <w:tc>
                <w:tcPr>
                  <w:tcW w:w="532" w:type="pct"/>
                  <w:tcMar>
                    <w:left w:w="28" w:type="dxa"/>
                    <w:right w:w="28" w:type="dxa"/>
                  </w:tcMar>
                  <w:vAlign w:val="center"/>
                </w:tcPr>
                <w:p>
                  <w:pPr>
                    <w:widowControl/>
                    <w:jc w:val="center"/>
                    <w:textAlignment w:val="center"/>
                    <w:rPr>
                      <w:color w:val="000000" w:themeColor="text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84" w:type="pct"/>
                  <w:tcMar>
                    <w:left w:w="28" w:type="dxa"/>
                    <w:right w:w="28" w:type="dxa"/>
                  </w:tcMar>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6</w:t>
                  </w:r>
                </w:p>
              </w:tc>
              <w:tc>
                <w:tcPr>
                  <w:tcW w:w="631" w:type="pct"/>
                  <w:vMerge w:val="continue"/>
                  <w:tcMar>
                    <w:left w:w="28" w:type="dxa"/>
                    <w:right w:w="28" w:type="dxa"/>
                  </w:tcMar>
                  <w:vAlign w:val="center"/>
                </w:tcPr>
                <w:p>
                  <w:pPr>
                    <w:jc w:val="center"/>
                    <w:rPr>
                      <w:color w:val="000000" w:themeColor="text1"/>
                      <w14:textFill>
                        <w14:solidFill>
                          <w14:schemeClr w14:val="tx1"/>
                        </w14:solidFill>
                      </w14:textFill>
                    </w:rPr>
                  </w:pPr>
                </w:p>
              </w:tc>
              <w:tc>
                <w:tcPr>
                  <w:tcW w:w="820"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710"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444"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527"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405" w:type="pct"/>
                  <w:vMerge w:val="continue"/>
                  <w:tcMar>
                    <w:left w:w="28" w:type="dxa"/>
                    <w:right w:w="28" w:type="dxa"/>
                  </w:tcMar>
                  <w:vAlign w:val="center"/>
                </w:tcPr>
                <w:p>
                  <w:pPr>
                    <w:jc w:val="center"/>
                    <w:rPr>
                      <w:color w:val="000000" w:themeColor="text1"/>
                      <w:lang w:bidi="ar"/>
                      <w14:textFill>
                        <w14:solidFill>
                          <w14:schemeClr w14:val="tx1"/>
                        </w14:solidFill>
                      </w14:textFill>
                    </w:rPr>
                  </w:pPr>
                </w:p>
              </w:tc>
              <w:tc>
                <w:tcPr>
                  <w:tcW w:w="642"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532"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三个月</w:t>
                  </w:r>
                </w:p>
              </w:tc>
            </w:tr>
          </w:tbl>
          <w:p>
            <w:pPr>
              <w:pStyle w:val="8"/>
              <w:snapToGrid/>
              <w:spacing w:before="0" w:after="0" w:line="360" w:lineRule="auto"/>
              <w:ind w:right="0"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（2）危险废物贮存设施可行性分析</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①危废收集</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危险废物在收集时，根据危险废物的性质和形态，采用相容的容器进行包装，包装容器应足够安全，并经过周密检查，严防在装载、搬移或运输途中出现渗漏、溢出、抛洒或挥发等情况。最后按照对危险废物交换和转移管理工作的有关要求，对危险废物进行安全包装，并在包装的明显位置附上危险废物标签。</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②危废暂存</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厂区内拟建设1个</w:t>
            </w:r>
            <w:r>
              <w:rPr>
                <w:rFonts w:hint="eastAsia"/>
                <w:bCs/>
                <w:color w:val="000000" w:themeColor="text1"/>
                <w:sz w:val="24"/>
                <w14:textFill>
                  <w14:solidFill>
                    <w14:schemeClr w14:val="tx1"/>
                  </w14:solidFill>
                </w14:textFill>
              </w:rPr>
              <w:t>15</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危废暂存间，用于厂区危险暂存，项目危险废物贮存场所基本情况见下表。</w:t>
            </w:r>
          </w:p>
          <w:p>
            <w:pPr>
              <w:pStyle w:val="10"/>
              <w:spacing w:after="0"/>
              <w:ind w:left="0" w:leftChars="0" w:firstLine="482" w:firstLineChars="200"/>
              <w:jc w:val="cente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rPr>
                <w:b/>
                <w:bCs/>
                <w:color w:val="000000" w:themeColor="text1"/>
                <w:szCs w:val="24"/>
                <w14:textFill>
                  <w14:solidFill>
                    <w14:schemeClr w14:val="tx1"/>
                  </w14:solidFill>
                </w14:textFill>
              </w:rPr>
            </w:pPr>
          </w:p>
          <w:p>
            <w:pPr>
              <w:pStyle w:val="10"/>
              <w:spacing w:after="0"/>
              <w:ind w:left="0" w:leftChars="0" w:firstLine="482" w:firstLineChars="200"/>
              <w:jc w:val="center"/>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表4-</w:t>
            </w:r>
            <w:r>
              <w:rPr>
                <w:rFonts w:hint="eastAsia"/>
                <w:b/>
                <w:bCs/>
                <w:color w:val="000000" w:themeColor="text1"/>
                <w:szCs w:val="24"/>
                <w14:textFill>
                  <w14:solidFill>
                    <w14:schemeClr w14:val="tx1"/>
                  </w14:solidFill>
                </w14:textFill>
              </w:rPr>
              <w:t>16</w:t>
            </w:r>
            <w:r>
              <w:rPr>
                <w:b/>
                <w:bCs/>
                <w:color w:val="000000" w:themeColor="text1"/>
                <w:szCs w:val="24"/>
                <w14:textFill>
                  <w14:solidFill>
                    <w14:schemeClr w14:val="tx1"/>
                  </w14:solidFill>
                </w14:textFill>
              </w:rPr>
              <w:t xml:space="preserve">  危险废物贮存场所基本情况表</w:t>
            </w:r>
          </w:p>
          <w:tbl>
            <w:tblPr>
              <w:tblStyle w:val="19"/>
              <w:tblW w:w="4994"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67"/>
              <w:gridCol w:w="659"/>
              <w:gridCol w:w="1218"/>
              <w:gridCol w:w="697"/>
              <w:gridCol w:w="1361"/>
              <w:gridCol w:w="702"/>
              <w:gridCol w:w="683"/>
              <w:gridCol w:w="596"/>
              <w:gridCol w:w="912"/>
              <w:gridCol w:w="69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序号</w:t>
                  </w:r>
                </w:p>
              </w:tc>
              <w:tc>
                <w:tcPr>
                  <w:tcW w:w="423" w:type="pct"/>
                  <w:tcMar>
                    <w:left w:w="28" w:type="dxa"/>
                    <w:right w:w="28" w:type="dxa"/>
                  </w:tcMar>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贮存场所（设施）名称</w:t>
                  </w:r>
                </w:p>
              </w:tc>
              <w:tc>
                <w:tcPr>
                  <w:tcW w:w="781" w:type="pct"/>
                  <w:tcMar>
                    <w:left w:w="28" w:type="dxa"/>
                    <w:right w:w="28" w:type="dxa"/>
                  </w:tcMar>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危险废物名称</w:t>
                  </w:r>
                </w:p>
              </w:tc>
              <w:tc>
                <w:tcPr>
                  <w:tcW w:w="447" w:type="pct"/>
                  <w:tcMar>
                    <w:left w:w="28" w:type="dxa"/>
                    <w:right w:w="28" w:type="dxa"/>
                  </w:tcMar>
                  <w:vAlign w:val="center"/>
                </w:tcPr>
                <w:p>
                  <w:pPr>
                    <w:adjustRightInd w:val="0"/>
                    <w:snapToGrid w:val="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危险废物类别</w:t>
                  </w:r>
                </w:p>
              </w:tc>
              <w:tc>
                <w:tcPr>
                  <w:tcW w:w="873" w:type="pct"/>
                  <w:tcMar>
                    <w:left w:w="28" w:type="dxa"/>
                    <w:right w:w="28" w:type="dxa"/>
                  </w:tcMar>
                  <w:vAlign w:val="center"/>
                </w:tcPr>
                <w:p>
                  <w:pPr>
                    <w:adjustRightInd w:val="0"/>
                    <w:snapToGrid w:val="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危险废物代码</w:t>
                  </w:r>
                </w:p>
              </w:tc>
              <w:tc>
                <w:tcPr>
                  <w:tcW w:w="450" w:type="pct"/>
                  <w:tcMar>
                    <w:left w:w="28" w:type="dxa"/>
                    <w:right w:w="28" w:type="dxa"/>
                  </w:tcMar>
                  <w:vAlign w:val="center"/>
                </w:tcPr>
                <w:p>
                  <w:pPr>
                    <w:adjustRightInd w:val="0"/>
                    <w:snapToGrid w:val="0"/>
                    <w:jc w:val="center"/>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位置</w:t>
                  </w:r>
                </w:p>
              </w:tc>
              <w:tc>
                <w:tcPr>
                  <w:tcW w:w="438" w:type="pct"/>
                  <w:tcMar>
                    <w:left w:w="28" w:type="dxa"/>
                    <w:right w:w="28" w:type="dxa"/>
                  </w:tcMar>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占地面积</w:t>
                  </w:r>
                  <w:r>
                    <w:rPr>
                      <w:b/>
                      <w:color w:val="000000" w:themeColor="text1"/>
                      <w:szCs w:val="21"/>
                      <w:lang w:bidi="ar"/>
                      <w14:textFill>
                        <w14:solidFill>
                          <w14:schemeClr w14:val="tx1"/>
                        </w14:solidFill>
                      </w14:textFill>
                    </w:rPr>
                    <w:t>m</w:t>
                  </w:r>
                  <w:r>
                    <w:rPr>
                      <w:b/>
                      <w:color w:val="000000" w:themeColor="text1"/>
                      <w:szCs w:val="21"/>
                      <w:vertAlign w:val="superscript"/>
                      <w:lang w:bidi="ar"/>
                      <w14:textFill>
                        <w14:solidFill>
                          <w14:schemeClr w14:val="tx1"/>
                        </w14:solidFill>
                      </w14:textFill>
                    </w:rPr>
                    <w:t>2</w:t>
                  </w:r>
                </w:p>
              </w:tc>
              <w:tc>
                <w:tcPr>
                  <w:tcW w:w="382" w:type="pct"/>
                  <w:tcMar>
                    <w:left w:w="28" w:type="dxa"/>
                    <w:right w:w="28" w:type="dxa"/>
                  </w:tcMar>
                  <w:vAlign w:val="center"/>
                </w:tcPr>
                <w:p>
                  <w:pPr>
                    <w:spacing w:line="320" w:lineRule="exact"/>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贮存方式</w:t>
                  </w:r>
                </w:p>
              </w:tc>
              <w:tc>
                <w:tcPr>
                  <w:tcW w:w="585" w:type="pct"/>
                  <w:tcMar>
                    <w:left w:w="28" w:type="dxa"/>
                    <w:right w:w="28" w:type="dxa"/>
                  </w:tcMar>
                  <w:vAlign w:val="center"/>
                </w:tcPr>
                <w:p>
                  <w:pPr>
                    <w:spacing w:line="320" w:lineRule="exact"/>
                    <w:jc w:val="center"/>
                    <w:rPr>
                      <w:b/>
                      <w:color w:val="000000" w:themeColor="text1"/>
                      <w:szCs w:val="21"/>
                      <w:lang w:bidi="ar"/>
                      <w14:textFill>
                        <w14:solidFill>
                          <w14:schemeClr w14:val="tx1"/>
                        </w14:solidFill>
                      </w14:textFill>
                    </w:rPr>
                  </w:pPr>
                  <w:r>
                    <w:rPr>
                      <w:b/>
                      <w:color w:val="000000" w:themeColor="text1"/>
                      <w:szCs w:val="21"/>
                      <w:lang w:bidi="ar"/>
                      <w14:textFill>
                        <w14:solidFill>
                          <w14:schemeClr w14:val="tx1"/>
                        </w14:solidFill>
                      </w14:textFill>
                    </w:rPr>
                    <w:t>贮存能力t</w:t>
                  </w:r>
                </w:p>
              </w:tc>
              <w:tc>
                <w:tcPr>
                  <w:tcW w:w="445" w:type="pct"/>
                  <w:tcMar>
                    <w:left w:w="28" w:type="dxa"/>
                    <w:right w:w="28" w:type="dxa"/>
                  </w:tcMar>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贮存周期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kern w:val="0"/>
                      <w:szCs w:val="21"/>
                      <w:lang w:bidi="ar"/>
                      <w14:textFill>
                        <w14:solidFill>
                          <w14:schemeClr w14:val="tx1"/>
                        </w14:solidFill>
                      </w14:textFill>
                    </w:rPr>
                    <w:t>1</w:t>
                  </w:r>
                </w:p>
              </w:tc>
              <w:tc>
                <w:tcPr>
                  <w:tcW w:w="423" w:type="pct"/>
                  <w:vMerge w:val="restar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危废暂存间</w:t>
                  </w:r>
                </w:p>
              </w:tc>
              <w:tc>
                <w:tcPr>
                  <w:tcW w:w="781" w:type="pct"/>
                  <w:tcMar>
                    <w:left w:w="28" w:type="dxa"/>
                    <w:right w:w="28" w:type="dxa"/>
                  </w:tcMar>
                  <w:vAlign w:val="center"/>
                </w:tcPr>
                <w:p>
                  <w:pPr>
                    <w:widowControl/>
                    <w:wordWrap w:val="0"/>
                    <w:topLinePunct/>
                    <w:jc w:val="center"/>
                    <w:textAlignment w:val="center"/>
                    <w:rPr>
                      <w:rFonts w:hint="eastAsia"/>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铝渣、铝灰</w:t>
                  </w:r>
                </w:p>
              </w:tc>
              <w:tc>
                <w:tcPr>
                  <w:tcW w:w="447" w:type="pct"/>
                  <w:tcMar>
                    <w:left w:w="28" w:type="dxa"/>
                    <w:right w:w="28" w:type="dxa"/>
                  </w:tcMar>
                  <w:vAlign w:val="center"/>
                </w:tcPr>
                <w:p>
                  <w:pPr>
                    <w:widowControl/>
                    <w:jc w:val="center"/>
                    <w:textAlignment w:val="center"/>
                    <w:rPr>
                      <w:rFonts w:hint="default"/>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HW48</w:t>
                  </w:r>
                </w:p>
              </w:tc>
              <w:tc>
                <w:tcPr>
                  <w:tcW w:w="873" w:type="pct"/>
                  <w:tcMar>
                    <w:left w:w="28" w:type="dxa"/>
                    <w:right w:w="28" w:type="dxa"/>
                  </w:tcMar>
                  <w:vAlign w:val="center"/>
                </w:tcPr>
                <w:p>
                  <w:pPr>
                    <w:widowControl/>
                    <w:jc w:val="center"/>
                    <w:textAlignment w:val="center"/>
                    <w:rPr>
                      <w:rFonts w:hint="eastAsia"/>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321-026-48</w:t>
                  </w:r>
                </w:p>
              </w:tc>
              <w:tc>
                <w:tcPr>
                  <w:tcW w:w="450" w:type="pct"/>
                  <w:vMerge w:val="restart"/>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r>
                    <w:rPr>
                      <w:rFonts w:hint="eastAsia"/>
                      <w:bCs/>
                      <w:color w:val="000000" w:themeColor="text1"/>
                      <w:spacing w:val="-10"/>
                      <w:szCs w:val="21"/>
                      <w14:textFill>
                        <w14:solidFill>
                          <w14:schemeClr w14:val="tx1"/>
                        </w14:solidFill>
                      </w14:textFill>
                    </w:rPr>
                    <w:t>厂区西北侧</w:t>
                  </w:r>
                </w:p>
              </w:tc>
              <w:tc>
                <w:tcPr>
                  <w:tcW w:w="438" w:type="pct"/>
                  <w:vMerge w:val="restar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总计</w:t>
                  </w:r>
                  <w:r>
                    <w:rPr>
                      <w:rFonts w:hint="eastAsia"/>
                      <w:color w:val="000000" w:themeColor="text1"/>
                      <w:kern w:val="0"/>
                      <w:szCs w:val="21"/>
                      <w:lang w:bidi="ar"/>
                      <w14:textFill>
                        <w14:solidFill>
                          <w14:schemeClr w14:val="tx1"/>
                        </w14:solidFill>
                      </w14:textFill>
                    </w:rPr>
                    <w:t>15</w:t>
                  </w:r>
                  <w:r>
                    <w:rPr>
                      <w:color w:val="000000" w:themeColor="text1"/>
                      <w:kern w:val="0"/>
                      <w:szCs w:val="21"/>
                      <w:lang w:bidi="ar"/>
                      <w14:textFill>
                        <w14:solidFill>
                          <w14:schemeClr w14:val="tx1"/>
                        </w14:solidFill>
                      </w14:textFill>
                    </w:rPr>
                    <w:t>m</w:t>
                  </w:r>
                  <w:r>
                    <w:rPr>
                      <w:color w:val="000000" w:themeColor="text1"/>
                      <w:kern w:val="0"/>
                      <w:szCs w:val="21"/>
                      <w:vertAlign w:val="superscript"/>
                      <w:lang w:bidi="ar"/>
                      <w14:textFill>
                        <w14:solidFill>
                          <w14:schemeClr w14:val="tx1"/>
                        </w14:solidFill>
                      </w14:textFill>
                    </w:rPr>
                    <w:t>2</w:t>
                  </w:r>
                </w:p>
              </w:tc>
              <w:tc>
                <w:tcPr>
                  <w:tcW w:w="382" w:type="pct"/>
                  <w:vMerge w:val="restar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密封保存</w:t>
                  </w:r>
                </w:p>
              </w:tc>
              <w:tc>
                <w:tcPr>
                  <w:tcW w:w="585" w:type="pct"/>
                  <w:tcMar>
                    <w:left w:w="28" w:type="dxa"/>
                    <w:right w:w="28" w:type="dxa"/>
                  </w:tcMar>
                  <w:vAlign w:val="center"/>
                </w:tcPr>
                <w:p>
                  <w:pPr>
                    <w:widowControl/>
                    <w:wordWrap w:val="0"/>
                    <w:topLinePunct/>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25</w:t>
                  </w:r>
                </w:p>
              </w:tc>
              <w:tc>
                <w:tcPr>
                  <w:tcW w:w="445" w:type="pct"/>
                  <w:tcMar>
                    <w:left w:w="28" w:type="dxa"/>
                    <w:right w:w="28" w:type="dxa"/>
                  </w:tcMar>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一周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2</w:t>
                  </w:r>
                </w:p>
              </w:tc>
              <w:tc>
                <w:tcPr>
                  <w:tcW w:w="423" w:type="pct"/>
                  <w:vMerge w:val="continue"/>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废包装桶</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900-041-49</w:t>
                  </w:r>
                </w:p>
              </w:tc>
              <w:tc>
                <w:tcPr>
                  <w:tcW w:w="450" w:type="pct"/>
                  <w:vMerge w:val="continue"/>
                  <w:tcMar>
                    <w:left w:w="28" w:type="dxa"/>
                    <w:right w:w="28" w:type="dxa"/>
                  </w:tcMar>
                  <w:vAlign w:val="center"/>
                </w:tcPr>
                <w:p>
                  <w:pPr>
                    <w:widowControl/>
                    <w:jc w:val="center"/>
                    <w:textAlignment w:val="center"/>
                    <w:rPr>
                      <w:bCs/>
                      <w:color w:val="000000" w:themeColor="text1"/>
                      <w:spacing w:val="-10"/>
                      <w:szCs w:val="21"/>
                      <w14:textFill>
                        <w14:solidFill>
                          <w14:schemeClr w14:val="tx1"/>
                        </w14:solidFill>
                      </w14:textFill>
                    </w:rPr>
                  </w:pPr>
                </w:p>
              </w:tc>
              <w:tc>
                <w:tcPr>
                  <w:tcW w:w="438" w:type="pct"/>
                  <w:vMerge w:val="continue"/>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p>
              </w:tc>
              <w:tc>
                <w:tcPr>
                  <w:tcW w:w="382" w:type="pct"/>
                  <w:vMerge w:val="continue"/>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c>
                <w:tcPr>
                  <w:tcW w:w="445" w:type="pc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3</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废活性炭</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900-039-49</w:t>
                  </w:r>
                </w:p>
              </w:tc>
              <w:tc>
                <w:tcPr>
                  <w:tcW w:w="450"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438"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382"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5.453</w:t>
                  </w:r>
                </w:p>
              </w:tc>
              <w:tc>
                <w:tcPr>
                  <w:tcW w:w="445" w:type="pc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2"/>
                      <w:sz w:val="21"/>
                      <w:szCs w:val="21"/>
                      <w:lang w:val="en-US" w:eastAsia="zh-CN" w:bidi="ar"/>
                      <w14:textFill>
                        <w14:solidFill>
                          <w14:schemeClr w14:val="tx1"/>
                        </w14:solidFill>
                      </w14:textFill>
                    </w:rPr>
                  </w:pPr>
                  <w:r>
                    <w:rPr>
                      <w:color w:val="000000" w:themeColor="text1"/>
                      <w:kern w:val="0"/>
                      <w:szCs w:val="21"/>
                      <w:lang w:bidi="ar"/>
                      <w14:textFill>
                        <w14:solidFill>
                          <w14:schemeClr w14:val="tx1"/>
                        </w14:solidFill>
                      </w14:textFill>
                    </w:rPr>
                    <w:t>4</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废液压油</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HW08</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900-249-08</w:t>
                  </w:r>
                </w:p>
              </w:tc>
              <w:tc>
                <w:tcPr>
                  <w:tcW w:w="450"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438"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382"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0.4</w:t>
                  </w:r>
                </w:p>
              </w:tc>
              <w:tc>
                <w:tcPr>
                  <w:tcW w:w="445" w:type="pc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5</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废抹布、手套</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HW49</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900-041-49</w:t>
                  </w:r>
                </w:p>
              </w:tc>
              <w:tc>
                <w:tcPr>
                  <w:tcW w:w="450" w:type="pct"/>
                  <w:vMerge w:val="continue"/>
                  <w:tcMar>
                    <w:left w:w="28" w:type="dxa"/>
                    <w:right w:w="28" w:type="dxa"/>
                  </w:tcMar>
                  <w:vAlign w:val="center"/>
                </w:tcPr>
                <w:p>
                  <w:pPr>
                    <w:jc w:val="center"/>
                    <w:rPr>
                      <w:bCs/>
                      <w:color w:val="000000" w:themeColor="text1"/>
                      <w:spacing w:val="-10"/>
                      <w:szCs w:val="21"/>
                      <w14:textFill>
                        <w14:solidFill>
                          <w14:schemeClr w14:val="tx1"/>
                        </w14:solidFill>
                      </w14:textFill>
                    </w:rPr>
                  </w:pPr>
                </w:p>
              </w:tc>
              <w:tc>
                <w:tcPr>
                  <w:tcW w:w="438"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382"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c>
                <w:tcPr>
                  <w:tcW w:w="445" w:type="pct"/>
                  <w:tcMar>
                    <w:left w:w="28"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6</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废切削液</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HW09</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900-007-09</w:t>
                  </w:r>
                </w:p>
              </w:tc>
              <w:tc>
                <w:tcPr>
                  <w:tcW w:w="450"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438"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382"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0.15</w:t>
                  </w:r>
                </w:p>
              </w:tc>
              <w:tc>
                <w:tcPr>
                  <w:tcW w:w="445"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7</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废导轨油</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HW08</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900-249-08</w:t>
                  </w:r>
                </w:p>
              </w:tc>
              <w:tc>
                <w:tcPr>
                  <w:tcW w:w="450"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438"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382"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0.085</w:t>
                  </w:r>
                </w:p>
              </w:tc>
              <w:tc>
                <w:tcPr>
                  <w:tcW w:w="445"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71" w:type="pct"/>
                  <w:tcMar>
                    <w:left w:w="28" w:type="dxa"/>
                    <w:right w:w="28" w:type="dxa"/>
                  </w:tcMar>
                  <w:vAlign w:val="center"/>
                </w:tcPr>
                <w:p>
                  <w:pPr>
                    <w:widowControl/>
                    <w:jc w:val="center"/>
                    <w:textAlignment w:val="center"/>
                    <w:rPr>
                      <w:rFonts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8</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清洗残渣</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HW17</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336-064-17</w:t>
                  </w:r>
                </w:p>
              </w:tc>
              <w:tc>
                <w:tcPr>
                  <w:tcW w:w="450"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438"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382"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w:t>
                  </w:r>
                </w:p>
              </w:tc>
              <w:tc>
                <w:tcPr>
                  <w:tcW w:w="445"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三个月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71" w:type="pct"/>
                  <w:tcMar>
                    <w:left w:w="28" w:type="dxa"/>
                    <w:right w:w="28" w:type="dxa"/>
                  </w:tcMar>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9</w:t>
                  </w:r>
                </w:p>
              </w:tc>
              <w:tc>
                <w:tcPr>
                  <w:tcW w:w="423" w:type="pct"/>
                  <w:vMerge w:val="continue"/>
                  <w:tcMar>
                    <w:left w:w="28" w:type="dxa"/>
                    <w:right w:w="28" w:type="dxa"/>
                  </w:tcMar>
                  <w:vAlign w:val="center"/>
                </w:tcPr>
                <w:p>
                  <w:pPr>
                    <w:jc w:val="center"/>
                    <w:rPr>
                      <w:color w:val="000000" w:themeColor="text1"/>
                      <w:szCs w:val="21"/>
                      <w:lang w:bidi="ar"/>
                      <w14:textFill>
                        <w14:solidFill>
                          <w14:schemeClr w14:val="tx1"/>
                        </w14:solidFill>
                      </w14:textFill>
                    </w:rPr>
                  </w:pPr>
                </w:p>
              </w:tc>
              <w:tc>
                <w:tcPr>
                  <w:tcW w:w="781"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清洗残液</w:t>
                  </w:r>
                </w:p>
              </w:tc>
              <w:tc>
                <w:tcPr>
                  <w:tcW w:w="447"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HW49</w:t>
                  </w:r>
                </w:p>
              </w:tc>
              <w:tc>
                <w:tcPr>
                  <w:tcW w:w="873"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900-041-49</w:t>
                  </w:r>
                </w:p>
              </w:tc>
              <w:tc>
                <w:tcPr>
                  <w:tcW w:w="450"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438"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382" w:type="pct"/>
                  <w:vMerge w:val="continue"/>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p>
              </w:tc>
              <w:tc>
                <w:tcPr>
                  <w:tcW w:w="585" w:type="pct"/>
                  <w:tcMar>
                    <w:left w:w="28" w:type="dxa"/>
                    <w:right w:w="28" w:type="dxa"/>
                  </w:tcMar>
                  <w:vAlign w:val="center"/>
                </w:tcPr>
                <w:p>
                  <w:pPr>
                    <w:widowControl/>
                    <w:wordWrap w:val="0"/>
                    <w:topLinePunct/>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0.5</w:t>
                  </w:r>
                </w:p>
              </w:tc>
              <w:tc>
                <w:tcPr>
                  <w:tcW w:w="445" w:type="pct"/>
                  <w:tcMar>
                    <w:left w:w="28" w:type="dxa"/>
                    <w:right w:w="28" w:type="dxa"/>
                  </w:tcMar>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三个月</w:t>
                  </w:r>
                </w:p>
              </w:tc>
            </w:tr>
          </w:tbl>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本项目危废暂存间面积</w:t>
            </w:r>
            <w:r>
              <w:rPr>
                <w:rFonts w:hint="eastAsia"/>
                <w:bCs/>
                <w:color w:val="000000" w:themeColor="text1"/>
                <w:sz w:val="24"/>
                <w14:textFill>
                  <w14:solidFill>
                    <w14:schemeClr w14:val="tx1"/>
                  </w14:solidFill>
                </w14:textFill>
              </w:rPr>
              <w:t>15</w:t>
            </w:r>
            <w:r>
              <w:rPr>
                <w:bCs/>
                <w:color w:val="000000" w:themeColor="text1"/>
                <w:sz w:val="24"/>
                <w14:textFill>
                  <w14:solidFill>
                    <w14:schemeClr w14:val="tx1"/>
                  </w14:solidFill>
                </w14:textFill>
              </w:rPr>
              <w:t>m</w:t>
            </w:r>
            <w:r>
              <w:rPr>
                <w:bCs/>
                <w:color w:val="000000" w:themeColor="text1"/>
                <w:sz w:val="24"/>
                <w:vertAlign w:val="superscript"/>
                <w14:textFill>
                  <w14:solidFill>
                    <w14:schemeClr w14:val="tx1"/>
                  </w14:solidFill>
                </w14:textFill>
              </w:rPr>
              <w:t>2</w:t>
            </w:r>
            <w:r>
              <w:rPr>
                <w:bCs/>
                <w:color w:val="000000" w:themeColor="text1"/>
                <w:sz w:val="24"/>
                <w14:textFill>
                  <w14:solidFill>
                    <w14:schemeClr w14:val="tx1"/>
                  </w14:solidFill>
                </w14:textFill>
              </w:rPr>
              <w:t>，最大贮存能力</w:t>
            </w:r>
            <w:r>
              <w:rPr>
                <w:rFonts w:hint="eastAsia"/>
                <w:bCs/>
                <w:color w:val="000000" w:themeColor="text1"/>
                <w:sz w:val="24"/>
                <w14:textFill>
                  <w14:solidFill>
                    <w14:schemeClr w14:val="tx1"/>
                  </w14:solidFill>
                </w14:textFill>
              </w:rPr>
              <w:t>15</w:t>
            </w:r>
            <w:r>
              <w:rPr>
                <w:bCs/>
                <w:color w:val="000000" w:themeColor="text1"/>
                <w:sz w:val="24"/>
                <w14:textFill>
                  <w14:solidFill>
                    <w14:schemeClr w14:val="tx1"/>
                  </w14:solidFill>
                </w14:textFill>
              </w:rPr>
              <w:t>t。危废暂存间根据不同危废的性质分类贮存，本项目危险废物年产生量约为</w:t>
            </w:r>
            <w:r>
              <w:rPr>
                <w:rFonts w:hint="eastAsia"/>
                <w:bCs/>
                <w:color w:val="000000" w:themeColor="text1"/>
                <w:sz w:val="24"/>
                <w:lang w:val="en-US" w:eastAsia="zh-CN"/>
                <w14:textFill>
                  <w14:solidFill>
                    <w14:schemeClr w14:val="tx1"/>
                  </w14:solidFill>
                </w14:textFill>
              </w:rPr>
              <w:t>32.488</w:t>
            </w:r>
            <w:r>
              <w:rPr>
                <w:bCs/>
                <w:color w:val="000000" w:themeColor="text1"/>
                <w:sz w:val="24"/>
                <w14:textFill>
                  <w14:solidFill>
                    <w14:schemeClr w14:val="tx1"/>
                  </w14:solidFill>
                </w14:textFill>
              </w:rPr>
              <w:t>t，危险废物</w:t>
            </w:r>
            <w:r>
              <w:rPr>
                <w:rFonts w:hint="eastAsia"/>
                <w:bCs/>
                <w:color w:val="000000" w:themeColor="text1"/>
                <w:sz w:val="24"/>
                <w:lang w:val="en-US" w:eastAsia="zh-CN"/>
                <w14:textFill>
                  <w14:solidFill>
                    <w14:schemeClr w14:val="tx1"/>
                  </w14:solidFill>
                </w14:textFill>
              </w:rPr>
              <w:t>除铝渣、铝灰1周处置一次外，</w:t>
            </w:r>
            <w:r>
              <w:rPr>
                <w:bCs/>
                <w:color w:val="000000" w:themeColor="text1"/>
                <w:sz w:val="24"/>
                <w14:textFill>
                  <w14:solidFill>
                    <w14:schemeClr w14:val="tx1"/>
                  </w14:solidFill>
                </w14:textFill>
              </w:rPr>
              <w:t>暂存周期</w:t>
            </w:r>
            <w:r>
              <w:rPr>
                <w:rFonts w:hint="eastAsia"/>
                <w:bCs/>
                <w:color w:val="000000" w:themeColor="text1"/>
                <w:sz w:val="24"/>
                <w:lang w:val="en-US" w:eastAsia="zh-CN"/>
                <w14:textFill>
                  <w14:solidFill>
                    <w14:schemeClr w14:val="tx1"/>
                  </w14:solidFill>
                </w14:textFill>
              </w:rPr>
              <w:t>均</w:t>
            </w:r>
            <w:r>
              <w:rPr>
                <w:bCs/>
                <w:color w:val="000000" w:themeColor="text1"/>
                <w:sz w:val="24"/>
                <w14:textFill>
                  <w14:solidFill>
                    <w14:schemeClr w14:val="tx1"/>
                  </w14:solidFill>
                </w14:textFill>
              </w:rPr>
              <w:t>为三个月，危废暂存量约</w:t>
            </w:r>
            <w:r>
              <w:rPr>
                <w:rFonts w:hint="eastAsia"/>
                <w:bCs/>
                <w:color w:val="000000" w:themeColor="text1"/>
                <w:sz w:val="24"/>
                <w:lang w:val="en-US" w:eastAsia="zh-CN"/>
                <w14:textFill>
                  <w14:solidFill>
                    <w14:schemeClr w14:val="tx1"/>
                  </w14:solidFill>
                </w14:textFill>
              </w:rPr>
              <w:t>2.393</w:t>
            </w:r>
            <w:r>
              <w:rPr>
                <w:bCs/>
                <w:color w:val="000000" w:themeColor="text1"/>
                <w:sz w:val="24"/>
                <w14:textFill>
                  <w14:solidFill>
                    <w14:schemeClr w14:val="tx1"/>
                  </w14:solidFill>
                </w14:textFill>
              </w:rPr>
              <w:t>吨，本项目产生的危废量在最大暂存能力范围内，故危险废物暂存间的规模可行。</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危险废物暂存场地的设置按《危险废物贮存污染控制标准》（GB18597-</w:t>
            </w:r>
            <w:r>
              <w:rPr>
                <w:rFonts w:hint="eastAsia"/>
                <w:bCs/>
                <w:color w:val="000000" w:themeColor="text1"/>
                <w:sz w:val="24"/>
                <w14:textFill>
                  <w14:solidFill>
                    <w14:schemeClr w14:val="tx1"/>
                  </w14:solidFill>
                </w14:textFill>
              </w:rPr>
              <w:t>2023</w:t>
            </w:r>
            <w:r>
              <w:rPr>
                <w:bCs/>
                <w:color w:val="000000" w:themeColor="text1"/>
                <w:sz w:val="24"/>
                <w14:textFill>
                  <w14:solidFill>
                    <w14:schemeClr w14:val="tx1"/>
                  </w14:solidFill>
                </w14:textFill>
              </w:rPr>
              <w:t>）要求设置。具体如下：</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A、废物贮存设施按《环境保护图形标志（GB15562-1995）》的规定设置警示标志；</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B、废物贮存设施周围设置围墙</w:t>
            </w:r>
            <w:r>
              <w:rPr>
                <w:rFonts w:hint="eastAsia"/>
                <w:bCs/>
                <w:color w:val="000000" w:themeColor="text1"/>
                <w:sz w:val="24"/>
                <w14:textFill>
                  <w14:solidFill>
                    <w14:schemeClr w14:val="tx1"/>
                  </w14:solidFill>
                </w14:textFill>
              </w:rPr>
              <w:t>或其他</w:t>
            </w:r>
            <w:r>
              <w:rPr>
                <w:bCs/>
                <w:color w:val="000000" w:themeColor="text1"/>
                <w:sz w:val="24"/>
                <w14:textFill>
                  <w14:solidFill>
                    <w14:schemeClr w14:val="tx1"/>
                  </w14:solidFill>
                </w14:textFill>
              </w:rPr>
              <w:t>防护栅栏；</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废物贮存设施配备通讯设备、照明设施、安全防护服装及工具，并设有应急防护设施；</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C、废物贮存设施内清理出来的泄漏物，一律按危险废物处理；</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D、建设单位收集危险废物后，放置在厂内的固废暂存库同时做好危险废物情况的记录，记录上注明危险废物的名称、数量及接收单位名称；</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E、建设单位做好危废转移申报、转移联单等相关手续，需满足《关于加强危险废物交换和转移管理工作的通知》要求，根据江苏省《省生态环境厅关于做好江苏省危险废物全生命周期监控系统上线运行工作的通知》和泰州市《关于推进江苏省危险废物全生命周期监控系统上线运行工作的通知》纳入江苏省危险废物全生命周期监控系统（新系统）管理，构建危险废物跟踪和追溯信息化体系；</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F、在转移危险废物前，按照国家有关规定报批危险废物转移计划；经批准后，向移出地环境保护行政主管部门申请。产生单位在危险废物转移前三日内报告移出地环境保护行政主管部门，并同时将预期到达时间报告</w:t>
            </w:r>
            <w:r>
              <w:rPr>
                <w:rFonts w:hint="eastAsia"/>
                <w:bCs/>
                <w:color w:val="000000" w:themeColor="text1"/>
                <w:sz w:val="24"/>
                <w14:textFill>
                  <w14:solidFill>
                    <w14:schemeClr w14:val="tx1"/>
                  </w14:solidFill>
                </w14:textFill>
              </w:rPr>
              <w:t>接收</w:t>
            </w:r>
            <w:r>
              <w:rPr>
                <w:bCs/>
                <w:color w:val="000000" w:themeColor="text1"/>
                <w:sz w:val="24"/>
                <w14:textFill>
                  <w14:solidFill>
                    <w14:schemeClr w14:val="tx1"/>
                  </w14:solidFill>
                </w14:textFill>
              </w:rPr>
              <w:t>的环境保护行政主管部门；</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G、危险废物委托处置单位具备相应的资质，运输车辆须经主管单位检查，并持有有关单位签发的许可证，承载危险废物的车辆须有明显的标志。</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③危险废物运输</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本项目危废由处置单位使用专业运输车进行运输，运输过程按照《危险废物收集贮存运输技术规范》（HJ2025-2012）进行，对环境造成影响可接受。</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④危废处置</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建设单位产生的危险废物需与有资质单位签订书面合同，受托方具备相应的主体资格与技术能力，在合同中约定污染防治要求。受托方运输、利用、处置危险废物，应当依照有关法律法规的规定和合同约定履行污染防治要求，并将运输、利用、处置情况告知建设单位。</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危险废物处置计划需提前申报，严格执行危废转移联单制度。</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项目采取上述措施后，从危废产生、收集、贮存、运输和处置等全过程进行管理，对周围环境影响较小。</w:t>
            </w:r>
          </w:p>
          <w:p>
            <w:pPr>
              <w:pStyle w:val="8"/>
              <w:snapToGrid/>
              <w:spacing w:before="0" w:after="0" w:line="360" w:lineRule="auto"/>
              <w:ind w:right="0"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综上，本项目产生的固体废物采用上述方案可以全部安全处理处置，处置措施可行，因此对周边环境影响较小。</w:t>
            </w:r>
          </w:p>
          <w:p>
            <w:pPr>
              <w:adjustRightInd w:val="0"/>
              <w:spacing w:line="360" w:lineRule="auto"/>
              <w:ind w:firstLine="442" w:firstLineChars="200"/>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5、地下水、土壤</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本项目地下水及土壤影响类型主要为大气沉降影响、地面漫流及垂直入渗影响；项目源头控制措施分别针对大气沉降及垂直入渗展开。</w:t>
            </w:r>
          </w:p>
          <w:p>
            <w:pPr>
              <w:spacing w:line="360" w:lineRule="auto"/>
              <w:ind w:firstLine="482" w:firstLineChars="200"/>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（1）源头控制措施</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①大气沉降影响控制措施</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对废气产生环节集中收集、处置后通过排气筒排放，加强对废气处理措施的日常管理。</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②地面漫流</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项目建成后，厂内建有完善的截排水设施及雨水排水系统，厂区经雨污分流、清污分流后，雨水排至厂外，</w:t>
            </w:r>
            <w:r>
              <w:rPr>
                <w:rFonts w:hint="eastAsia"/>
                <w:bCs/>
                <w:color w:val="000000" w:themeColor="text1"/>
                <w:kern w:val="0"/>
                <w:sz w:val="24"/>
                <w14:textFill>
                  <w14:solidFill>
                    <w14:schemeClr w14:val="tx1"/>
                  </w14:solidFill>
                </w14:textFill>
              </w:rPr>
              <w:t>生活污水</w:t>
            </w:r>
            <w:r>
              <w:rPr>
                <w:bCs/>
                <w:color w:val="000000" w:themeColor="text1"/>
                <w:kern w:val="0"/>
                <w:sz w:val="24"/>
                <w14:textFill>
                  <w14:solidFill>
                    <w14:schemeClr w14:val="tx1"/>
                  </w14:solidFill>
                </w14:textFill>
              </w:rPr>
              <w:t>经化粪池处理达接管标准后送至</w:t>
            </w:r>
            <w:r>
              <w:rPr>
                <w:rFonts w:hint="eastAsia"/>
                <w:color w:val="000000" w:themeColor="text1"/>
                <w:sz w:val="24"/>
                <w:lang w:eastAsia="zh-CN"/>
                <w14:textFill>
                  <w14:solidFill>
                    <w14:schemeClr w14:val="tx1"/>
                  </w14:solidFill>
                </w14:textFill>
              </w:rPr>
              <w:t>启迪浦华（泰州）水务有限公司</w:t>
            </w:r>
            <w:r>
              <w:rPr>
                <w:bCs/>
                <w:color w:val="000000" w:themeColor="text1"/>
                <w:kern w:val="0"/>
                <w:sz w:val="24"/>
                <w14:textFill>
                  <w14:solidFill>
                    <w14:schemeClr w14:val="tx1"/>
                  </w14:solidFill>
                </w14:textFill>
              </w:rPr>
              <w:t>进行后续处理。</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③垂直入渗影响源头控制措施</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从原料和产品储存、装卸、运输、生产过程、污染处理装置等全过程控制各种有毒有害原辅材料、中间材料、产品泄漏（含跑、冒、滴、漏），同时对有害物质可能泄漏到地面的区域采取防渗措施，阻止其进入土壤，渗入地下水中，即从源头到末端全方位采取控制措施，防止项目的建设对地下水和土壤造成污染。</w:t>
            </w:r>
          </w:p>
          <w:p>
            <w:pPr>
              <w:spacing w:line="360" w:lineRule="auto"/>
              <w:ind w:firstLine="480" w:firstLineChars="200"/>
              <w:rPr>
                <w:bCs/>
                <w:color w:val="000000" w:themeColor="text1"/>
                <w:kern w:val="0"/>
                <w:sz w:val="24"/>
                <w14:textFill>
                  <w14:solidFill>
                    <w14:schemeClr w14:val="tx1"/>
                  </w14:solidFill>
                </w14:textFill>
              </w:rPr>
            </w:pPr>
            <w:r>
              <w:rPr>
                <w:bCs/>
                <w:color w:val="000000" w:themeColor="text1"/>
                <w:kern w:val="0"/>
                <w:sz w:val="24"/>
                <w14:textFill>
                  <w14:solidFill>
                    <w14:schemeClr w14:val="tx1"/>
                  </w14:solidFill>
                </w14:textFill>
              </w:rPr>
              <w:t>从生产过程入手，在工艺、管道、设备、给排水等方面尽可能地采取泄漏控制措施，从源头最大限度降低污染物质泄漏的可能性和泄漏量，使项目区污染物对地下水和土壤的影响降至最低，一旦出现泄漏等即可由区域内的各种配套措施进行收集、处置，同时经过硬化处理的地面有效阻止污染物的下渗。</w:t>
            </w:r>
          </w:p>
          <w:p>
            <w:pPr>
              <w:spacing w:line="360" w:lineRule="auto"/>
              <w:ind w:firstLine="482" w:firstLineChars="200"/>
              <w:outlineLvl w:val="2"/>
              <w:rPr>
                <w:b/>
                <w:bCs/>
                <w:color w:val="000000" w:themeColor="text1"/>
                <w:sz w:val="24"/>
                <w14:textFill>
                  <w14:solidFill>
                    <w14:schemeClr w14:val="tx1"/>
                  </w14:solidFill>
                </w14:textFill>
              </w:rPr>
            </w:pPr>
            <w:r>
              <w:rPr>
                <w:b/>
                <w:color w:val="000000" w:themeColor="text1"/>
                <w:kern w:val="0"/>
                <w:sz w:val="24"/>
                <w14:textFill>
                  <w14:solidFill>
                    <w14:schemeClr w14:val="tx1"/>
                  </w14:solidFill>
                </w14:textFill>
              </w:rPr>
              <w:t>（2）</w:t>
            </w:r>
            <w:r>
              <w:rPr>
                <w:b/>
                <w:bCs/>
                <w:color w:val="000000" w:themeColor="text1"/>
                <w:sz w:val="24"/>
                <w14:textFill>
                  <w14:solidFill>
                    <w14:schemeClr w14:val="tx1"/>
                  </w14:solidFill>
                </w14:textFill>
              </w:rPr>
              <w:t>过程控制措施</w:t>
            </w:r>
          </w:p>
          <w:p>
            <w:pPr>
              <w:spacing w:line="360" w:lineRule="auto"/>
              <w:ind w:firstLine="480" w:firstLineChars="200"/>
              <w:outlineLvl w:val="2"/>
              <w:rPr>
                <w:color w:val="000000" w:themeColor="text1"/>
                <w:sz w:val="24"/>
                <w14:textFill>
                  <w14:solidFill>
                    <w14:schemeClr w14:val="tx1"/>
                  </w14:solidFill>
                </w14:textFill>
              </w:rPr>
            </w:pPr>
            <w:r>
              <w:rPr>
                <w:color w:val="000000" w:themeColor="text1"/>
                <w:sz w:val="24"/>
                <w14:textFill>
                  <w14:solidFill>
                    <w14:schemeClr w14:val="tx1"/>
                  </w14:solidFill>
                </w14:textFill>
              </w:rPr>
              <w:t>①原则</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地下水、土壤污染防治贯彻“以防为主，治理为辅，防治结合”的理念，坚持源头控制、防止渗漏、污染监测和应急处理的主动防渗措施与被动防渗措施相结合的原则；治理措施按照从简单到复杂，遵循技术实用可靠、经济合理、效果明显和目标相符的原则。</w:t>
            </w:r>
          </w:p>
          <w:p>
            <w:pPr>
              <w:spacing w:line="360" w:lineRule="auto"/>
              <w:ind w:firstLine="480" w:firstLineChars="200"/>
              <w:outlineLvl w:val="2"/>
              <w:rPr>
                <w:color w:val="000000" w:themeColor="text1"/>
                <w:sz w:val="24"/>
                <w14:textFill>
                  <w14:solidFill>
                    <w14:schemeClr w14:val="tx1"/>
                  </w14:solidFill>
                </w14:textFill>
              </w:rPr>
            </w:pPr>
            <w:r>
              <w:rPr>
                <w:color w:val="000000" w:themeColor="text1"/>
                <w:sz w:val="24"/>
                <w14:textFill>
                  <w14:solidFill>
                    <w14:schemeClr w14:val="tx1"/>
                  </w14:solidFill>
                </w14:textFill>
              </w:rPr>
              <w:t>②防渗区划分</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按照防污性能和污染物控制难易程度，本项目采取分区防渗。其中生产车间、污水管道、污水站、事故池、危废暂存场所等为重点防渗区。防渗层要求达到等效粘土防渗层厚度6米以上、渗透系数不大于10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cm/s。此外，完善清污分流系统，保证污水能够顺畅排入污水处理系统；危险废物暂存场所的设置和管理严格执行《危险废物贮存污染控制标准》（GB 18597-2001）的规定。其他生产厂区为一般防渗区，防渗层要求达到等效粘土防渗层厚度1.5米以上、渗透系数不大于10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cm/s。项目防渗分区划分及防渗技术要求见下表。</w:t>
            </w:r>
          </w:p>
          <w:p>
            <w:pPr>
              <w:jc w:val="center"/>
              <w:rPr>
                <w:b/>
                <w:bCs/>
                <w:color w:val="000000" w:themeColor="text1"/>
                <w:szCs w:val="21"/>
                <w14:textFill>
                  <w14:solidFill>
                    <w14:schemeClr w14:val="tx1"/>
                  </w14:solidFill>
                </w14:textFill>
              </w:rPr>
            </w:pPr>
            <w:r>
              <w:rPr>
                <w:b/>
                <w:bCs/>
                <w:color w:val="000000" w:themeColor="text1"/>
                <w:sz w:val="24"/>
                <w14:textFill>
                  <w14:solidFill>
                    <w14:schemeClr w14:val="tx1"/>
                  </w14:solidFill>
                </w14:textFill>
              </w:rPr>
              <w:t>表4-</w:t>
            </w:r>
            <w:r>
              <w:rPr>
                <w:rFonts w:hint="eastAsia"/>
                <w:b/>
                <w:bCs/>
                <w:color w:val="000000" w:themeColor="text1"/>
                <w:sz w:val="24"/>
                <w14:textFill>
                  <w14:solidFill>
                    <w14:schemeClr w14:val="tx1"/>
                  </w14:solidFill>
                </w14:textFill>
              </w:rPr>
              <w:t>17</w:t>
            </w:r>
            <w:r>
              <w:rPr>
                <w:b/>
                <w:bCs/>
                <w:color w:val="000000" w:themeColor="text1"/>
                <w:sz w:val="24"/>
                <w14:textFill>
                  <w14:solidFill>
                    <w14:schemeClr w14:val="tx1"/>
                  </w14:solidFill>
                </w14:textFill>
              </w:rPr>
              <w:t xml:space="preserve">  污染物划分及防渗要求</w:t>
            </w:r>
          </w:p>
          <w:tbl>
            <w:tblPr>
              <w:tblStyle w:val="1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2720"/>
              <w:gridCol w:w="3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防渗分区</w:t>
                  </w:r>
                </w:p>
              </w:tc>
              <w:tc>
                <w:tcPr>
                  <w:tcW w:w="1744"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厂内分区</w:t>
                  </w:r>
                </w:p>
              </w:tc>
              <w:tc>
                <w:tcPr>
                  <w:tcW w:w="2337"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防渗等级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1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重点防渗区</w:t>
                  </w:r>
                </w:p>
              </w:tc>
              <w:tc>
                <w:tcPr>
                  <w:tcW w:w="1744"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铸造车间</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锻造车间、机加工及后处理车间</w:t>
                  </w:r>
                  <w:r>
                    <w:rPr>
                      <w:color w:val="000000" w:themeColor="text1"/>
                      <w:szCs w:val="21"/>
                      <w14:textFill>
                        <w14:solidFill>
                          <w14:schemeClr w14:val="tx1"/>
                        </w14:solidFill>
                      </w14:textFill>
                    </w:rPr>
                    <w:t>、危废暂存间等</w:t>
                  </w:r>
                </w:p>
              </w:tc>
              <w:tc>
                <w:tcPr>
                  <w:tcW w:w="233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等效黏土防渗层Mb≥6.0m，K≤1×10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cm/s；或参照GB18598执行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一般防渗区</w:t>
                  </w:r>
                </w:p>
              </w:tc>
              <w:tc>
                <w:tcPr>
                  <w:tcW w:w="174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一般工业固废暂存场所等</w:t>
                  </w:r>
                </w:p>
              </w:tc>
              <w:tc>
                <w:tcPr>
                  <w:tcW w:w="233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等效黏土防渗层Mb≥1.5m，K≤1×10</w:t>
                  </w:r>
                  <w:r>
                    <w:rPr>
                      <w:color w:val="000000" w:themeColor="text1"/>
                      <w:szCs w:val="21"/>
                      <w:vertAlign w:val="superscript"/>
                      <w14:textFill>
                        <w14:solidFill>
                          <w14:schemeClr w14:val="tx1"/>
                        </w14:solidFill>
                      </w14:textFill>
                    </w:rPr>
                    <w:t>-7</w:t>
                  </w:r>
                  <w:r>
                    <w:rPr>
                      <w:color w:val="000000" w:themeColor="text1"/>
                      <w:szCs w:val="21"/>
                      <w14:textFill>
                        <w14:solidFill>
                          <w14:schemeClr w14:val="tx1"/>
                        </w14:solidFill>
                      </w14:textFill>
                    </w:rPr>
                    <w:t>cm/s；或参照GB16889执行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简单防渗区</w:t>
                  </w:r>
                </w:p>
              </w:tc>
              <w:tc>
                <w:tcPr>
                  <w:tcW w:w="174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办公楼等</w:t>
                  </w:r>
                </w:p>
              </w:tc>
              <w:tc>
                <w:tcPr>
                  <w:tcW w:w="233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一般地面硬化</w:t>
                  </w:r>
                </w:p>
              </w:tc>
            </w:tr>
          </w:tbl>
          <w:p>
            <w:pPr>
              <w:pStyle w:val="15"/>
              <w:spacing w:before="0" w:line="360" w:lineRule="auto"/>
              <w:ind w:firstLine="480" w:firstLineChars="200"/>
              <w:jc w:val="both"/>
              <w:rPr>
                <w:rFonts w:ascii="Times New Roman" w:hAnsi="Times New Roman" w:eastAsia="宋体"/>
                <w:color w:val="000000" w:themeColor="text1"/>
                <w:kern w:val="2"/>
                <w:sz w:val="24"/>
                <w:szCs w:val="24"/>
                <w14:textFill>
                  <w14:solidFill>
                    <w14:schemeClr w14:val="tx1"/>
                  </w14:solidFill>
                </w14:textFill>
              </w:rPr>
            </w:pPr>
            <w:r>
              <w:rPr>
                <w:rFonts w:ascii="Times New Roman" w:hAnsi="Times New Roman" w:eastAsia="宋体"/>
                <w:color w:val="000000" w:themeColor="text1"/>
                <w:kern w:val="2"/>
                <w:sz w:val="24"/>
                <w:szCs w:val="24"/>
                <w14:textFill>
                  <w14:solidFill>
                    <w14:schemeClr w14:val="tx1"/>
                  </w14:solidFill>
                </w14:textFill>
              </w:rPr>
              <w:t>采取以上防治措施后，建设项目对周围地下水及土壤环境的影响可得到有效控制。</w:t>
            </w:r>
          </w:p>
          <w:p>
            <w:pPr>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（3）跟踪监测要求</w:t>
            </w:r>
          </w:p>
          <w:p>
            <w:pPr>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根据《环境影响评价技术导则 土壤环境》（HJ 964-2018），本项目不属于需开展土壤环境影响评价的项目，可不进行跟踪监测。</w:t>
            </w:r>
          </w:p>
          <w:p>
            <w:pPr>
              <w:spacing w:line="360" w:lineRule="auto"/>
              <w:ind w:firstLine="442" w:firstLineChars="200"/>
              <w:rPr>
                <w:bCs/>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6、生态</w:t>
            </w:r>
          </w:p>
          <w:p>
            <w:pPr>
              <w:pStyle w:val="8"/>
              <w:snapToGrid/>
              <w:spacing w:before="0" w:after="0" w:line="360" w:lineRule="auto"/>
              <w:ind w:right="0" w:firstLine="480" w:firstLineChars="200"/>
              <w:rPr>
                <w:bCs/>
                <w:color w:val="000000" w:themeColor="text1"/>
                <w:kern w:val="2"/>
                <w:sz w:val="24"/>
                <w:szCs w:val="24"/>
                <w14:textFill>
                  <w14:solidFill>
                    <w14:schemeClr w14:val="tx1"/>
                  </w14:solidFill>
                </w14:textFill>
              </w:rPr>
            </w:pPr>
            <w:r>
              <w:rPr>
                <w:bCs/>
                <w:color w:val="000000" w:themeColor="text1"/>
                <w:kern w:val="2"/>
                <w:sz w:val="24"/>
                <w:szCs w:val="24"/>
                <w14:textFill>
                  <w14:solidFill>
                    <w14:schemeClr w14:val="tx1"/>
                  </w14:solidFill>
                </w14:textFill>
              </w:rPr>
              <w:t>本项目位于</w:t>
            </w:r>
            <w:r>
              <w:rPr>
                <w:color w:val="000000" w:themeColor="text1"/>
                <w:sz w:val="24"/>
                <w14:textFill>
                  <w14:solidFill>
                    <w14:schemeClr w14:val="tx1"/>
                  </w14:solidFill>
                </w14:textFill>
              </w:rPr>
              <w:t>江苏省泰州市海陵区海陵工业园兴陵路28号</w:t>
            </w:r>
            <w:r>
              <w:rPr>
                <w:bCs/>
                <w:color w:val="000000" w:themeColor="text1"/>
                <w:kern w:val="2"/>
                <w:sz w:val="24"/>
                <w:szCs w:val="24"/>
                <w14:textFill>
                  <w14:solidFill>
                    <w14:schemeClr w14:val="tx1"/>
                  </w14:solidFill>
                </w14:textFill>
              </w:rPr>
              <w:t>，位于园区范围，无需进行生态环境影响分析。</w:t>
            </w:r>
          </w:p>
          <w:p>
            <w:pPr>
              <w:spacing w:line="360" w:lineRule="auto"/>
              <w:ind w:firstLine="442" w:firstLineChars="200"/>
              <w:rPr>
                <w:b/>
                <w:color w:val="000000" w:themeColor="text1"/>
                <w:spacing w:val="-10"/>
                <w:sz w:val="24"/>
                <w14:textFill>
                  <w14:solidFill>
                    <w14:schemeClr w14:val="tx1"/>
                  </w14:solidFill>
                </w14:textFill>
              </w:rPr>
            </w:pPr>
            <w:r>
              <w:rPr>
                <w:b/>
                <w:color w:val="000000" w:themeColor="text1"/>
                <w:spacing w:val="-10"/>
                <w:sz w:val="24"/>
                <w14:textFill>
                  <w14:solidFill>
                    <w14:schemeClr w14:val="tx1"/>
                  </w14:solidFill>
                </w14:textFill>
              </w:rPr>
              <w:t>7、环境风险</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（1）项目风险源调查</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本项目为年产汽车零部件及高端装备国际配套零部件项目，通过对本项目主要原辅材料、三废进行分析，本项目主要风险物质为FLZ-404水性全能清洗剂</w:t>
            </w:r>
            <w:r>
              <w:rPr>
                <w:rFonts w:hint="eastAsia"/>
                <w:bCs/>
                <w:color w:val="000000" w:themeColor="text1"/>
                <w:sz w:val="24"/>
                <w14:textFill>
                  <w14:solidFill>
                    <w14:schemeClr w14:val="tx1"/>
                  </w14:solidFill>
                </w14:textFill>
              </w:rPr>
              <w:t>、FTY-800P金属防锈清洗剂、水溶性淬火剂</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切削液</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脱模剂</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液压油</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导轨油、煤油、</w:t>
            </w:r>
            <w:r>
              <w:rPr>
                <w:bCs/>
                <w:color w:val="000000" w:themeColor="text1"/>
                <w:sz w:val="24"/>
                <w14:textFill>
                  <w14:solidFill>
                    <w14:schemeClr w14:val="tx1"/>
                  </w14:solidFill>
                </w14:textFill>
              </w:rPr>
              <w:t>危险废物等。</w:t>
            </w:r>
          </w:p>
          <w:p>
            <w:pPr>
              <w:snapToGrid w:val="0"/>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（2）环境风险识别</w:t>
            </w:r>
          </w:p>
          <w:p>
            <w:pPr>
              <w:spacing w:line="360" w:lineRule="auto"/>
              <w:ind w:left="420" w:leftChars="200"/>
              <w:rPr>
                <w:bCs/>
                <w:color w:val="000000" w:themeColor="text1"/>
                <w:sz w:val="24"/>
                <w14:textFill>
                  <w14:solidFill>
                    <w14:schemeClr w14:val="tx1"/>
                  </w14:solidFill>
                </w14:textFill>
              </w:rPr>
            </w:pPr>
            <w:r>
              <w:rPr>
                <w:bCs/>
                <w:color w:val="000000" w:themeColor="text1"/>
                <w:sz w:val="24"/>
                <w:lang w:bidi="ar"/>
                <w14:textFill>
                  <w14:solidFill>
                    <w14:schemeClr w14:val="tx1"/>
                  </w14:solidFill>
                </w14:textFill>
              </w:rPr>
              <w:t>①物质危险性识别</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本项目部分原辅材料属于易燃、可燃、有毒有害物质，若使用不当或包装物破损导致物料泄漏，遇明火会引发火灾、爆炸事故及人员伤害事故；</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本项目原辅材料不慎发生泄漏会对土壤、地下水等造成一定的环境污染。</w:t>
            </w:r>
          </w:p>
          <w:p>
            <w:pPr>
              <w:adjustRightInd w:val="0"/>
              <w:snapToGrid w:val="0"/>
              <w:jc w:val="center"/>
              <w:rPr>
                <w:b/>
                <w:bCs/>
                <w:color w:val="000000" w:themeColor="text1"/>
                <w:sz w:val="24"/>
                <w14:textFill>
                  <w14:solidFill>
                    <w14:schemeClr w14:val="tx1"/>
                  </w14:solidFill>
                </w14:textFill>
              </w:rPr>
            </w:pPr>
          </w:p>
          <w:p>
            <w:pPr>
              <w:adjustRightInd w:val="0"/>
              <w:snapToGrid w:val="0"/>
              <w:jc w:val="center"/>
              <w:rPr>
                <w:b/>
                <w:bCs/>
                <w:color w:val="000000" w:themeColor="text1"/>
                <w:sz w:val="24"/>
                <w14:textFill>
                  <w14:solidFill>
                    <w14:schemeClr w14:val="tx1"/>
                  </w14:solidFill>
                </w14:textFill>
              </w:rPr>
            </w:pPr>
          </w:p>
          <w:p>
            <w:pPr>
              <w:adjustRightInd w:val="0"/>
              <w:snapToGrid w:val="0"/>
              <w:jc w:val="center"/>
              <w:rPr>
                <w:b/>
                <w:bCs/>
                <w:color w:val="000000" w:themeColor="text1"/>
                <w:sz w:val="24"/>
                <w14:textFill>
                  <w14:solidFill>
                    <w14:schemeClr w14:val="tx1"/>
                  </w14:solidFill>
                </w14:textFill>
              </w:rPr>
            </w:pPr>
          </w:p>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表4-</w:t>
            </w:r>
            <w:r>
              <w:rPr>
                <w:rFonts w:hint="eastAsia"/>
                <w:b/>
                <w:bCs/>
                <w:color w:val="000000" w:themeColor="text1"/>
                <w:sz w:val="24"/>
                <w14:textFill>
                  <w14:solidFill>
                    <w14:schemeClr w14:val="tx1"/>
                  </w14:solidFill>
                </w14:textFill>
              </w:rPr>
              <w:t>18</w:t>
            </w:r>
            <w:r>
              <w:rPr>
                <w:b/>
                <w:bCs/>
                <w:color w:val="000000" w:themeColor="text1"/>
                <w:sz w:val="24"/>
                <w14:textFill>
                  <w14:solidFill>
                    <w14:schemeClr w14:val="tx1"/>
                  </w14:solidFill>
                </w14:textFill>
              </w:rPr>
              <w:t xml:space="preserve">  本项目Q值确认表</w:t>
            </w:r>
          </w:p>
          <w:tbl>
            <w:tblPr>
              <w:tblStyle w:val="20"/>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
              <w:gridCol w:w="1612"/>
              <w:gridCol w:w="1099"/>
              <w:gridCol w:w="1397"/>
              <w:gridCol w:w="119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tcBorders>
                    <w:top w:val="single" w:color="auto" w:sz="12" w:space="0"/>
                    <w:left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类别</w:t>
                  </w:r>
                </w:p>
              </w:tc>
              <w:tc>
                <w:tcPr>
                  <w:tcW w:w="1041"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危险物质名称</w:t>
                  </w:r>
                </w:p>
              </w:tc>
              <w:tc>
                <w:tcPr>
                  <w:tcW w:w="710"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CAS号</w:t>
                  </w:r>
                </w:p>
              </w:tc>
              <w:tc>
                <w:tcPr>
                  <w:tcW w:w="902"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最大存在总量qn/t</w:t>
                  </w:r>
                </w:p>
              </w:tc>
              <w:tc>
                <w:tcPr>
                  <w:tcW w:w="769" w:type="pct"/>
                  <w:tcBorders>
                    <w:top w:val="single" w:color="auto" w:sz="12" w:space="0"/>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临界量Qn/t</w:t>
                  </w:r>
                </w:p>
              </w:tc>
              <w:tc>
                <w:tcPr>
                  <w:tcW w:w="952" w:type="pct"/>
                  <w:tcBorders>
                    <w:top w:val="single" w:color="auto" w:sz="12" w:space="0"/>
                    <w:right w:val="nil"/>
                  </w:tcBorders>
                  <w:vAlign w:val="center"/>
                </w:tcPr>
                <w:p>
                  <w:pPr>
                    <w:adjustRightInd w:val="0"/>
                    <w:snapToGrid w:val="0"/>
                    <w:jc w:val="center"/>
                    <w:rPr>
                      <w:b/>
                      <w:color w:val="000000" w:themeColor="text1"/>
                      <w:szCs w:val="21"/>
                      <w14:textFill>
                        <w14:solidFill>
                          <w14:schemeClr w14:val="tx1"/>
                        </w14:solidFill>
                      </w14:textFill>
                    </w:rPr>
                  </w:pPr>
                  <w:r>
                    <w:rPr>
                      <w:b/>
                      <w:color w:val="000000" w:themeColor="text1"/>
                      <w:szCs w:val="21"/>
                      <w:lang w:bidi="ar"/>
                      <w14:textFill>
                        <w14:solidFill>
                          <w14:schemeClr w14:val="tx1"/>
                        </w14:solidFill>
                      </w14:textFill>
                    </w:rPr>
                    <w:t>该种危险物质Q值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restart"/>
                  <w:tcBorders>
                    <w:left w:val="nil"/>
                  </w:tcBorders>
                  <w:vAlign w:val="center"/>
                </w:tcPr>
                <w:p>
                  <w:pPr>
                    <w:adjustRightInd w:val="0"/>
                    <w:snapToGrid w:val="0"/>
                    <w:jc w:val="center"/>
                    <w:rPr>
                      <w:color w:val="000000" w:themeColor="text1"/>
                      <w:szCs w:val="21"/>
                      <w:lang w:bidi="ar"/>
                      <w14:textFill>
                        <w14:solidFill>
                          <w14:schemeClr w14:val="tx1"/>
                        </w14:solidFill>
                      </w14:textFill>
                    </w:rPr>
                  </w:pPr>
                  <w:r>
                    <w:rPr>
                      <w:color w:val="000000" w:themeColor="text1"/>
                      <w:szCs w:val="21"/>
                      <w:lang w:bidi="ar"/>
                      <w14:textFill>
                        <w14:solidFill>
                          <w14:schemeClr w14:val="tx1"/>
                        </w14:solidFill>
                      </w14:textFill>
                    </w:rPr>
                    <w:t>原辅材料</w:t>
                  </w:r>
                </w:p>
              </w:tc>
              <w:tc>
                <w:tcPr>
                  <w:tcW w:w="104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FLZ-404水性全能清洗剂</w:t>
                  </w:r>
                </w:p>
              </w:tc>
              <w:tc>
                <w:tcPr>
                  <w:tcW w:w="71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1</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50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pStyle w:val="32"/>
                    <w:adjustRightInd w:val="0"/>
                    <w:snapToGrid w:val="0"/>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FTY-800P金属防锈清洗剂</w:t>
                  </w:r>
                </w:p>
              </w:tc>
              <w:tc>
                <w:tcPr>
                  <w:tcW w:w="71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1</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50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水溶性淬火剂</w:t>
                  </w:r>
                </w:p>
              </w:tc>
              <w:tc>
                <w:tcPr>
                  <w:tcW w:w="71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0.2</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50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切削液</w:t>
                  </w:r>
                </w:p>
              </w:tc>
              <w:tc>
                <w:tcPr>
                  <w:tcW w:w="71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0.54</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50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脱模剂</w:t>
                  </w:r>
                </w:p>
              </w:tc>
              <w:tc>
                <w:tcPr>
                  <w:tcW w:w="71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0.2</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50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液压油</w:t>
                  </w:r>
                </w:p>
              </w:tc>
              <w:tc>
                <w:tcPr>
                  <w:tcW w:w="710"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0.17</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2500</w:t>
                  </w:r>
                </w:p>
              </w:tc>
              <w:tc>
                <w:tcPr>
                  <w:tcW w:w="952" w:type="pct"/>
                  <w:tcBorders>
                    <w:right w:val="nil"/>
                  </w:tcBorders>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0.000068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导轨油</w:t>
                  </w:r>
                </w:p>
              </w:tc>
              <w:tc>
                <w:tcPr>
                  <w:tcW w:w="71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0.34</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2500</w:t>
                  </w:r>
                </w:p>
              </w:tc>
              <w:tc>
                <w:tcPr>
                  <w:tcW w:w="952" w:type="pct"/>
                  <w:tcBorders>
                    <w:right w:val="nil"/>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vMerge w:val="continue"/>
                  <w:tcBorders>
                    <w:left w:val="nil"/>
                  </w:tcBorders>
                  <w:vAlign w:val="center"/>
                </w:tcPr>
                <w:p>
                  <w:pPr>
                    <w:adjustRightInd w:val="0"/>
                    <w:snapToGrid w:val="0"/>
                    <w:jc w:val="center"/>
                    <w:rPr>
                      <w:color w:val="000000" w:themeColor="text1"/>
                      <w:szCs w:val="21"/>
                      <w:lang w:bidi="ar"/>
                      <w14:textFill>
                        <w14:solidFill>
                          <w14:schemeClr w14:val="tx1"/>
                        </w14:solidFill>
                      </w14:textFill>
                    </w:rPr>
                  </w:pP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煤油</w:t>
                  </w:r>
                </w:p>
              </w:tc>
              <w:tc>
                <w:tcPr>
                  <w:tcW w:w="71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0.17</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rFonts w:hint="eastAsia"/>
                      <w:color w:val="000000" w:themeColor="text1"/>
                      <w:szCs w:val="21"/>
                      <w14:textFill>
                        <w14:solidFill>
                          <w14:schemeClr w14:val="tx1"/>
                        </w14:solidFill>
                      </w14:textFill>
                    </w:rPr>
                    <w:t>2500</w:t>
                  </w:r>
                </w:p>
              </w:tc>
              <w:tc>
                <w:tcPr>
                  <w:tcW w:w="952" w:type="pct"/>
                  <w:tcBorders>
                    <w:right w:val="nil"/>
                  </w:tcBorders>
                  <w:vAlign w:val="center"/>
                </w:tcPr>
                <w:p>
                  <w:pPr>
                    <w:widowControl/>
                    <w:adjustRightInd w:val="0"/>
                    <w:snapToGrid w:val="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pct"/>
                  <w:tcBorders>
                    <w:left w:val="nil"/>
                  </w:tcBorders>
                  <w:vAlign w:val="center"/>
                </w:tcPr>
                <w:p>
                  <w:pPr>
                    <w:adjustRightInd w:val="0"/>
                    <w:snapToGrid w:val="0"/>
                    <w:jc w:val="center"/>
                    <w:rPr>
                      <w:color w:val="000000" w:themeColor="text1"/>
                      <w:szCs w:val="21"/>
                      <w:lang w:bidi="ar"/>
                      <w14:textFill>
                        <w14:solidFill>
                          <w14:schemeClr w14:val="tx1"/>
                        </w14:solidFill>
                      </w14:textFill>
                    </w:rPr>
                  </w:pPr>
                  <w:r>
                    <w:rPr>
                      <w:rFonts w:hint="eastAsia"/>
                      <w:color w:val="000000" w:themeColor="text1"/>
                      <w:szCs w:val="21"/>
                      <w:lang w:bidi="ar"/>
                      <w14:textFill>
                        <w14:solidFill>
                          <w14:schemeClr w14:val="tx1"/>
                        </w14:solidFill>
                      </w14:textFill>
                    </w:rPr>
                    <w:t>天然气管道</w:t>
                  </w:r>
                </w:p>
              </w:tc>
              <w:tc>
                <w:tcPr>
                  <w:tcW w:w="1041" w:type="pct"/>
                  <w:vAlign w:val="center"/>
                </w:tcPr>
                <w:p>
                  <w:pPr>
                    <w:widowControl/>
                    <w:adjustRightInd w:val="0"/>
                    <w:snapToGrid w:val="0"/>
                    <w:jc w:val="center"/>
                    <w:textAlignment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天然气</w:t>
                  </w:r>
                </w:p>
              </w:tc>
              <w:tc>
                <w:tcPr>
                  <w:tcW w:w="710"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8006-14-2</w:t>
                  </w:r>
                </w:p>
              </w:tc>
              <w:tc>
                <w:tcPr>
                  <w:tcW w:w="902" w:type="pct"/>
                  <w:vAlign w:val="center"/>
                </w:tcPr>
                <w:p>
                  <w:pPr>
                    <w:widowControl/>
                    <w:adjustRightInd w:val="0"/>
                    <w:snapToGrid w:val="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0.00717（</w:t>
                  </w:r>
                  <w:r>
                    <w:rPr>
                      <w:color w:val="000000" w:themeColor="text1"/>
                      <w:szCs w:val="21"/>
                      <w14:textFill>
                        <w14:solidFill>
                          <w14:schemeClr w14:val="tx1"/>
                        </w14:solidFill>
                      </w14:textFill>
                    </w:rPr>
                    <w:t>在线量</w:t>
                  </w:r>
                  <w:r>
                    <w:rPr>
                      <w:rFonts w:hint="eastAsia"/>
                      <w:bCs/>
                      <w:color w:val="000000" w:themeColor="text1"/>
                      <w:szCs w:val="21"/>
                      <w14:textFill>
                        <w14:solidFill>
                          <w14:schemeClr w14:val="tx1"/>
                        </w14:solidFill>
                      </w14:textFill>
                    </w:rPr>
                    <w:t>10</w:t>
                  </w:r>
                  <w:r>
                    <w:rPr>
                      <w:bCs/>
                      <w:color w:val="000000" w:themeColor="text1"/>
                      <w:szCs w:val="21"/>
                      <w14:textFill>
                        <w14:solidFill>
                          <w14:schemeClr w14:val="tx1"/>
                        </w14:solidFill>
                      </w14:textFill>
                    </w:rPr>
                    <w:t>m</w:t>
                  </w:r>
                  <w:r>
                    <w:rPr>
                      <w:bCs/>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w:t>
                  </w:r>
                </w:p>
              </w:tc>
              <w:tc>
                <w:tcPr>
                  <w:tcW w:w="769" w:type="pct"/>
                  <w:vAlign w:val="center"/>
                </w:tcPr>
                <w:p>
                  <w:pPr>
                    <w:widowControl/>
                    <w:adjustRightInd w:val="0"/>
                    <w:snapToGrid w:val="0"/>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952" w:type="pct"/>
                  <w:tcBorders>
                    <w:right w:val="nil"/>
                  </w:tcBorders>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0.000717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pct"/>
                  <w:gridSpan w:val="2"/>
                  <w:tcBorders>
                    <w:left w:val="nil"/>
                  </w:tcBorders>
                  <w:vAlign w:val="center"/>
                </w:tcPr>
                <w:p>
                  <w:pPr>
                    <w:adjustRightInd w:val="0"/>
                    <w:snapToGrid w:val="0"/>
                    <w:jc w:val="center"/>
                    <w:rPr>
                      <w:b/>
                      <w:bCs/>
                      <w:color w:val="000000" w:themeColor="text1"/>
                      <w:sz w:val="24"/>
                      <w14:textFill>
                        <w14:solidFill>
                          <w14:schemeClr w14:val="tx1"/>
                        </w14:solidFill>
                      </w14:textFill>
                    </w:rPr>
                  </w:pPr>
                  <w:r>
                    <w:rPr>
                      <w:color w:val="000000" w:themeColor="text1"/>
                      <w:szCs w:val="21"/>
                      <w:lang w:bidi="ar"/>
                      <w14:textFill>
                        <w14:solidFill>
                          <w14:schemeClr w14:val="tx1"/>
                        </w14:solidFill>
                      </w14:textFill>
                    </w:rPr>
                    <w:t>危险废物</w:t>
                  </w:r>
                </w:p>
              </w:tc>
              <w:tc>
                <w:tcPr>
                  <w:tcW w:w="710" w:type="pct"/>
                  <w:vAlign w:val="center"/>
                </w:tcPr>
                <w:p>
                  <w:pPr>
                    <w:adjustRightInd w:val="0"/>
                    <w:snapToGrid w:val="0"/>
                    <w:jc w:val="center"/>
                    <w:rPr>
                      <w:b/>
                      <w:bCs/>
                      <w:color w:val="000000" w:themeColor="text1"/>
                      <w:sz w:val="24"/>
                      <w14:textFill>
                        <w14:solidFill>
                          <w14:schemeClr w14:val="tx1"/>
                        </w14:solidFill>
                      </w14:textFill>
                    </w:rPr>
                  </w:pPr>
                  <w:r>
                    <w:rPr>
                      <w:color w:val="000000" w:themeColor="text1"/>
                      <w:szCs w:val="21"/>
                      <w14:textFill>
                        <w14:solidFill>
                          <w14:schemeClr w14:val="tx1"/>
                        </w14:solidFill>
                      </w14:textFill>
                    </w:rPr>
                    <w:t>/</w:t>
                  </w:r>
                </w:p>
              </w:tc>
              <w:tc>
                <w:tcPr>
                  <w:tcW w:w="902" w:type="pct"/>
                  <w:vAlign w:val="center"/>
                </w:tcPr>
                <w:p>
                  <w:pPr>
                    <w:widowControl/>
                    <w:adjustRightInd w:val="0"/>
                    <w:snapToGrid w:val="0"/>
                    <w:jc w:val="center"/>
                    <w:textAlignment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2.393</w:t>
                  </w:r>
                </w:p>
              </w:tc>
              <w:tc>
                <w:tcPr>
                  <w:tcW w:w="769" w:type="pct"/>
                  <w:vAlign w:val="center"/>
                </w:tcPr>
                <w:p>
                  <w:pPr>
                    <w:widowControl/>
                    <w:adjustRightInd w:val="0"/>
                    <w:snapToGrid w:val="0"/>
                    <w:jc w:val="center"/>
                    <w:textAlignment w:val="center"/>
                    <w:rPr>
                      <w:b/>
                      <w:bCs/>
                      <w:color w:val="000000" w:themeColor="text1"/>
                      <w:sz w:val="24"/>
                      <w14:textFill>
                        <w14:solidFill>
                          <w14:schemeClr w14:val="tx1"/>
                        </w14:solidFill>
                      </w14:textFill>
                    </w:rPr>
                  </w:pPr>
                  <w:r>
                    <w:rPr>
                      <w:color w:val="000000" w:themeColor="text1"/>
                      <w:kern w:val="0"/>
                      <w:szCs w:val="21"/>
                      <w:lang w:bidi="ar"/>
                      <w14:textFill>
                        <w14:solidFill>
                          <w14:schemeClr w14:val="tx1"/>
                        </w14:solidFill>
                      </w14:textFill>
                    </w:rPr>
                    <w:t>50</w:t>
                  </w:r>
                </w:p>
              </w:tc>
              <w:tc>
                <w:tcPr>
                  <w:tcW w:w="1474" w:type="dxa"/>
                  <w:tcBorders>
                    <w:right w:val="nil"/>
                  </w:tcBorders>
                  <w:vAlign w:val="center"/>
                </w:tcPr>
                <w:p>
                  <w:pPr>
                    <w:widowControl/>
                    <w:adjustRightInd w:val="0"/>
                    <w:snapToGrid w:val="0"/>
                    <w:jc w:val="center"/>
                    <w:textAlignment w:val="center"/>
                    <w:rPr>
                      <w:rFonts w:hint="default"/>
                      <w:color w:val="000000" w:themeColor="text1"/>
                      <w:kern w:val="0"/>
                      <w:szCs w:val="21"/>
                      <w:lang w:val="en-US" w:eastAsia="zh-CN" w:bidi="ar"/>
                      <w14:textFill>
                        <w14:solidFill>
                          <w14:schemeClr w14:val="tx1"/>
                        </w14:solidFill>
                      </w14:textFill>
                    </w:rPr>
                  </w:pPr>
                  <w:r>
                    <w:rPr>
                      <w:rFonts w:hint="default"/>
                      <w:color w:val="000000" w:themeColor="text1"/>
                      <w:kern w:val="0"/>
                      <w:szCs w:val="21"/>
                      <w:lang w:val="en-US" w:eastAsia="zh-CN" w:bidi="ar"/>
                      <w14:textFill>
                        <w14:solidFill>
                          <w14:schemeClr w14:val="tx1"/>
                        </w14:solidFill>
                      </w14:textFill>
                    </w:rPr>
                    <w:t>0.04786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47" w:type="pct"/>
                  <w:gridSpan w:val="5"/>
                  <w:tcBorders>
                    <w:left w:val="nil"/>
                    <w:bottom w:val="single" w:color="auto" w:sz="12" w:space="0"/>
                  </w:tcBorders>
                  <w:vAlign w:val="center"/>
                </w:tcPr>
                <w:p>
                  <w:pPr>
                    <w:adjustRightInd w:val="0"/>
                    <w:snapToGrid w:val="0"/>
                    <w:jc w:val="center"/>
                    <w:rPr>
                      <w:b/>
                      <w:bCs/>
                      <w:color w:val="000000" w:themeColor="text1"/>
                      <w:sz w:val="24"/>
                      <w14:textFill>
                        <w14:solidFill>
                          <w14:schemeClr w14:val="tx1"/>
                        </w14:solidFill>
                      </w14:textFill>
                    </w:rPr>
                  </w:pPr>
                  <w:r>
                    <w:rPr>
                      <w:color w:val="000000" w:themeColor="text1"/>
                      <w:szCs w:val="21"/>
                      <w:lang w:bidi="ar"/>
                      <w14:textFill>
                        <w14:solidFill>
                          <w14:schemeClr w14:val="tx1"/>
                        </w14:solidFill>
                      </w14:textFill>
                    </w:rPr>
                    <w:t>项目Q值∑</w:t>
                  </w:r>
                </w:p>
              </w:tc>
              <w:tc>
                <w:tcPr>
                  <w:tcW w:w="1474" w:type="dxa"/>
                  <w:tcBorders>
                    <w:bottom w:val="single" w:color="auto" w:sz="12" w:space="0"/>
                    <w:right w:val="nil"/>
                  </w:tcBorders>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0.107649</w:t>
                  </w:r>
                </w:p>
              </w:tc>
            </w:tr>
          </w:tbl>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由上表可知，本项目q1/Q1 + q2/Q2 + q3/Q3+…… + qn/Qn=</w:t>
            </w:r>
            <w:r>
              <w:rPr>
                <w:rFonts w:hint="eastAsia"/>
                <w:color w:val="000000" w:themeColor="text1"/>
                <w:sz w:val="24"/>
                <w:lang w:val="en-US" w:eastAsia="zh-CN"/>
                <w14:textFill>
                  <w14:solidFill>
                    <w14:schemeClr w14:val="tx1"/>
                  </w14:solidFill>
                </w14:textFill>
              </w:rPr>
              <w:t>0.107649</w:t>
            </w:r>
            <w:r>
              <w:rPr>
                <w:color w:val="000000" w:themeColor="text1"/>
                <w:sz w:val="24"/>
                <w14:textFill>
                  <w14:solidFill>
                    <w14:schemeClr w14:val="tx1"/>
                  </w14:solidFill>
                </w14:textFill>
              </w:rPr>
              <w:t>，Q&lt;1，项目风险潜势为I，评价等级为简单分析。</w:t>
            </w:r>
          </w:p>
          <w:p>
            <w:pPr>
              <w:keepNext/>
              <w:keepLines/>
              <w:pageBreakBefore/>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本项目环境风险简单分析内容见下表。</w:t>
            </w:r>
          </w:p>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表4-</w:t>
            </w:r>
            <w:r>
              <w:rPr>
                <w:rFonts w:hint="eastAsia"/>
                <w:b/>
                <w:bCs/>
                <w:color w:val="000000" w:themeColor="text1"/>
                <w:sz w:val="24"/>
                <w14:textFill>
                  <w14:solidFill>
                    <w14:schemeClr w14:val="tx1"/>
                  </w14:solidFill>
                </w14:textFill>
              </w:rPr>
              <w:t>19</w:t>
            </w:r>
            <w:r>
              <w:rPr>
                <w:b/>
                <w:bCs/>
                <w:color w:val="000000" w:themeColor="text1"/>
                <w:sz w:val="24"/>
                <w14:textFill>
                  <w14:solidFill>
                    <w14:schemeClr w14:val="tx1"/>
                  </w14:solidFill>
                </w14:textFill>
              </w:rPr>
              <w:t xml:space="preserve">  建设项目环境风险简单分析内容表</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85" w:type="dxa"/>
                <w:bottom w:w="0" w:type="dxa"/>
                <w:right w:w="85" w:type="dxa"/>
              </w:tblCellMar>
            </w:tblPr>
            <w:tblGrid>
              <w:gridCol w:w="1976"/>
              <w:gridCol w:w="582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建设项目名称</w:t>
                  </w:r>
                </w:p>
              </w:tc>
              <w:tc>
                <w:tcPr>
                  <w:tcW w:w="3732" w:type="pct"/>
                  <w:vAlign w:val="center"/>
                </w:tcPr>
                <w:p>
                  <w:pPr>
                    <w:jc w:val="center"/>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汽车零部件及高端装备国际配套零部件项目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建设地点</w:t>
                  </w:r>
                </w:p>
              </w:tc>
              <w:tc>
                <w:tcPr>
                  <w:tcW w:w="3732" w:type="pc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江苏省泰州市海陵区海陵工业园兴陵路28号</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地理坐标</w:t>
                  </w:r>
                </w:p>
              </w:tc>
              <w:tc>
                <w:tcPr>
                  <w:tcW w:w="3732" w:type="pct"/>
                  <w:vAlign w:val="center"/>
                </w:tcPr>
                <w:p>
                  <w:pPr>
                    <w:jc w:val="center"/>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119度58分59.180秒，32度28分8.570秒</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主要危险物质及分布</w:t>
                  </w:r>
                </w:p>
              </w:tc>
              <w:tc>
                <w:tcPr>
                  <w:tcW w:w="3732" w:type="pct"/>
                  <w:vAlign w:val="center"/>
                </w:tcPr>
                <w:p>
                  <w:pPr>
                    <w:jc w:val="left"/>
                    <w:textAlignment w:val="baseline"/>
                    <w:rPr>
                      <w:color w:val="000000" w:themeColor="text1"/>
                      <w14:textFill>
                        <w14:solidFill>
                          <w14:schemeClr w14:val="tx1"/>
                        </w14:solidFill>
                      </w14:textFill>
                    </w:rPr>
                  </w:pPr>
                  <w:r>
                    <w:rPr>
                      <w:color w:val="000000" w:themeColor="text1"/>
                      <w14:textFill>
                        <w14:solidFill>
                          <w14:schemeClr w14:val="tx1"/>
                        </w14:solidFill>
                      </w14:textFill>
                    </w:rPr>
                    <w:t>原料暂存区：</w:t>
                  </w:r>
                  <w:r>
                    <w:rPr>
                      <w:rFonts w:hint="eastAsia"/>
                      <w:color w:val="000000" w:themeColor="text1"/>
                      <w14:textFill>
                        <w14:solidFill>
                          <w14:schemeClr w14:val="tx1"/>
                        </w14:solidFill>
                      </w14:textFill>
                    </w:rPr>
                    <w:t>FLZ-404水性全能清洗剂、FTY-800P金属防锈清洗剂、水溶性淬火剂、切削液、脱模剂、液压油、煤油、导轨油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天然气管道：天然气；</w:t>
                  </w:r>
                </w:p>
                <w:p>
                  <w:pPr>
                    <w:jc w:val="left"/>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危废暂存间：</w:t>
                  </w:r>
                  <w:r>
                    <w:rPr>
                      <w:rFonts w:hint="eastAsia"/>
                      <w:color w:val="000000" w:themeColor="text1"/>
                      <w:kern w:val="0"/>
                      <w:szCs w:val="21"/>
                      <w:lang w:bidi="ar"/>
                      <w14:textFill>
                        <w14:solidFill>
                          <w14:schemeClr w14:val="tx1"/>
                        </w14:solidFill>
                      </w14:textFill>
                    </w:rPr>
                    <w:t>废包装桶、废活性炭、废液压油、废抹布、手套、废切削液、废导轨油、清洗残渣、喷淋残液</w:t>
                  </w:r>
                  <w:r>
                    <w:rPr>
                      <w:color w:val="000000" w:themeColor="text1"/>
                      <w:spacing w:val="4"/>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环境影响途径及危害后果（大气、地表水、地下水等）</w:t>
                  </w:r>
                </w:p>
              </w:tc>
              <w:tc>
                <w:tcPr>
                  <w:tcW w:w="3732" w:type="pct"/>
                  <w:vAlign w:val="center"/>
                </w:tcPr>
                <w:p>
                  <w:pPr>
                    <w:jc w:val="left"/>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废气处理装置失效，造成废气排放大气环境，会对大气产生环境风险。</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1267" w:type="pct"/>
                  <w:vAlign w:val="center"/>
                </w:tcPr>
                <w:p>
                  <w:pPr>
                    <w:jc w:val="center"/>
                    <w:textAlignment w:val="baseline"/>
                    <w:rPr>
                      <w:b/>
                      <w:bCs/>
                      <w:color w:val="000000" w:themeColor="text1"/>
                      <w:spacing w:val="4"/>
                      <w:szCs w:val="21"/>
                      <w14:textFill>
                        <w14:solidFill>
                          <w14:schemeClr w14:val="tx1"/>
                        </w14:solidFill>
                      </w14:textFill>
                    </w:rPr>
                  </w:pPr>
                  <w:r>
                    <w:rPr>
                      <w:b/>
                      <w:bCs/>
                      <w:color w:val="000000" w:themeColor="text1"/>
                      <w:spacing w:val="4"/>
                      <w:szCs w:val="21"/>
                      <w14:textFill>
                        <w14:solidFill>
                          <w14:schemeClr w14:val="tx1"/>
                        </w14:solidFill>
                      </w14:textFill>
                    </w:rPr>
                    <w:t>风险防范措施要求</w:t>
                  </w:r>
                </w:p>
              </w:tc>
              <w:tc>
                <w:tcPr>
                  <w:tcW w:w="3732" w:type="pct"/>
                  <w:vAlign w:val="center"/>
                </w:tcPr>
                <w:p>
                  <w:pPr>
                    <w:jc w:val="left"/>
                    <w:textAlignment w:val="baseline"/>
                    <w:rPr>
                      <w:color w:val="000000" w:themeColor="text1"/>
                      <w:spacing w:val="4"/>
                      <w:szCs w:val="21"/>
                      <w14:textFill>
                        <w14:solidFill>
                          <w14:schemeClr w14:val="tx1"/>
                        </w14:solidFill>
                      </w14:textFill>
                    </w:rPr>
                  </w:pPr>
                  <w:r>
                    <w:rPr>
                      <w:color w:val="000000" w:themeColor="text1"/>
                      <w:spacing w:val="4"/>
                      <w:szCs w:val="21"/>
                      <w14:textFill>
                        <w14:solidFill>
                          <w14:schemeClr w14:val="tx1"/>
                        </w14:solidFill>
                      </w14:textFill>
                    </w:rPr>
                    <w:t>对废气处理设施、生产设备等进行定期维护；环境风险单元地面硬化；生产车间进行防腐防渗；按危险废物的种类和特性进行分区、分类贮存，危废暂存间设置防雨、防火、防雷、防扬散、防渗漏装置及泄漏液体收集装置；配备足够的风险应急物资，加强风险应急监测的能力。</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85" w:type="dxa"/>
                  <w:bottom w:w="0" w:type="dxa"/>
                  <w:right w:w="85" w:type="dxa"/>
                </w:tblCellMar>
              </w:tblPrEx>
              <w:trPr>
                <w:trHeight w:val="397" w:hRule="atLeast"/>
                <w:jc w:val="center"/>
              </w:trPr>
              <w:tc>
                <w:tcPr>
                  <w:tcW w:w="5000" w:type="pct"/>
                  <w:gridSpan w:val="2"/>
                  <w:vAlign w:val="center"/>
                </w:tcPr>
                <w:p>
                  <w:pPr>
                    <w:tabs>
                      <w:tab w:val="left" w:pos="600"/>
                    </w:tabs>
                    <w:jc w:val="center"/>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分析结论：</w:t>
                  </w:r>
                  <w:r>
                    <w:rPr>
                      <w:bCs/>
                      <w:color w:val="000000" w:themeColor="text1"/>
                      <w:szCs w:val="21"/>
                      <w14:textFill>
                        <w14:solidFill>
                          <w14:schemeClr w14:val="tx1"/>
                        </w14:solidFill>
                      </w14:textFill>
                    </w:rPr>
                    <w:t>在各环境风险防范措施落实到位的情况下，可大大降低建设项目的环境风险，最大程度减少对环境可能造成的危害。在企业落实本评价提出的各项风险防范措施后，项目对环境的风险影响可接受</w:t>
                  </w:r>
                  <w:r>
                    <w:rPr>
                      <w:color w:val="000000" w:themeColor="text1"/>
                      <w:szCs w:val="21"/>
                      <w14:textFill>
                        <w14:solidFill>
                          <w14:schemeClr w14:val="tx1"/>
                        </w14:solidFill>
                      </w14:textFill>
                    </w:rPr>
                    <w:t>。</w:t>
                  </w:r>
                </w:p>
              </w:tc>
            </w:tr>
          </w:tbl>
          <w:p>
            <w:pPr>
              <w:pStyle w:val="17"/>
              <w:jc w:val="both"/>
              <w:outlineLvl w:val="0"/>
              <w:rPr>
                <w:rFonts w:ascii="Times New Roman" w:hAnsi="Times New Roman"/>
                <w:snapToGrid w:val="0"/>
                <w:color w:val="000000" w:themeColor="text1"/>
                <w:sz w:val="30"/>
                <w:szCs w:val="30"/>
                <w14:textFill>
                  <w14:solidFill>
                    <w14:schemeClr w14:val="tx1"/>
                  </w14:solidFill>
                </w14:textFill>
              </w:rPr>
            </w:pPr>
          </w:p>
        </w:tc>
      </w:tr>
    </w:tbl>
    <w:p>
      <w:pPr>
        <w:pStyle w:val="8"/>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spacing w:before="100" w:beforeAutospacing="1" w:after="100" w:afterAutospacing="1"/>
        <w:jc w:val="center"/>
        <w:outlineLvl w:val="0"/>
        <w:rPr>
          <w:snapToGrid w:val="0"/>
          <w:color w:val="000000" w:themeColor="text1"/>
          <w:kern w:val="0"/>
          <w:sz w:val="30"/>
          <w:szCs w:val="30"/>
          <w14:textFill>
            <w14:solidFill>
              <w14:schemeClr w14:val="tx1"/>
            </w14:solidFill>
          </w14:textFill>
        </w:rPr>
      </w:pPr>
      <w:r>
        <w:rPr>
          <w:snapToGrid w:val="0"/>
          <w:color w:val="000000" w:themeColor="text1"/>
          <w:kern w:val="0"/>
          <w:sz w:val="30"/>
          <w:szCs w:val="30"/>
          <w14:textFill>
            <w14:solidFill>
              <w14:schemeClr w14:val="tx1"/>
            </w14:solidFill>
          </w14:textFill>
        </w:rPr>
        <w:t>五、</w:t>
      </w:r>
      <w:bookmarkStart w:id="12" w:name="_Hlk54167917"/>
      <w:r>
        <w:rPr>
          <w:snapToGrid w:val="0"/>
          <w:color w:val="000000" w:themeColor="text1"/>
          <w:kern w:val="0"/>
          <w:sz w:val="30"/>
          <w:szCs w:val="30"/>
          <w14:textFill>
            <w14:solidFill>
              <w14:schemeClr w14:val="tx1"/>
            </w14:solidFill>
          </w14:textFill>
        </w:rPr>
        <w:t>环境保护措施监督检查清单</w:t>
      </w:r>
      <w:bookmarkEnd w:id="12"/>
    </w:p>
    <w:tbl>
      <w:tblPr>
        <w:tblStyle w:val="19"/>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10"/>
        <w:gridCol w:w="1273"/>
        <w:gridCol w:w="1614"/>
        <w:gridCol w:w="2004"/>
        <w:gridCol w:w="24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tcBorders>
              <w:tl2br w:val="single" w:color="auto" w:sz="4" w:space="0"/>
            </w:tcBorders>
            <w:vAlign w:val="center"/>
          </w:tcPr>
          <w:p>
            <w:pPr>
              <w:adjustRightInd w:val="0"/>
              <w:snapToGrid w:val="0"/>
              <w:spacing w:line="300" w:lineRule="auto"/>
              <w:ind w:firstLine="422" w:firstLineChars="20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内容</w:t>
            </w:r>
          </w:p>
          <w:p>
            <w:pPr>
              <w:adjustRightInd w:val="0"/>
              <w:snapToGrid w:val="0"/>
              <w:spacing w:line="300" w:lineRule="auto"/>
              <w:jc w:val="center"/>
              <w:rPr>
                <w:b/>
                <w:bCs/>
                <w:color w:val="000000" w:themeColor="text1"/>
                <w:szCs w:val="21"/>
                <w14:textFill>
                  <w14:solidFill>
                    <w14:schemeClr w14:val="tx1"/>
                  </w14:solidFill>
                </w14:textFill>
              </w:rPr>
            </w:pPr>
          </w:p>
          <w:p>
            <w:pPr>
              <w:adjustRightInd w:val="0"/>
              <w:snapToGrid w:val="0"/>
              <w:spacing w:line="30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要素</w:t>
            </w:r>
          </w:p>
        </w:tc>
        <w:tc>
          <w:tcPr>
            <w:tcW w:w="747" w:type="pct"/>
            <w:vAlign w:val="center"/>
          </w:tcPr>
          <w:p>
            <w:pPr>
              <w:adjustRightInd w:val="0"/>
              <w:snapToGrid w:val="0"/>
              <w:spacing w:line="30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排放口(编号、名称)/污染源</w:t>
            </w:r>
          </w:p>
        </w:tc>
        <w:tc>
          <w:tcPr>
            <w:tcW w:w="947" w:type="pct"/>
            <w:vAlign w:val="center"/>
          </w:tcPr>
          <w:p>
            <w:pPr>
              <w:adjustRightInd w:val="0"/>
              <w:snapToGrid w:val="0"/>
              <w:spacing w:line="30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污染物项目</w:t>
            </w:r>
          </w:p>
        </w:tc>
        <w:tc>
          <w:tcPr>
            <w:tcW w:w="1176" w:type="pct"/>
            <w:vAlign w:val="center"/>
          </w:tcPr>
          <w:p>
            <w:pPr>
              <w:adjustRightInd w:val="0"/>
              <w:snapToGrid w:val="0"/>
              <w:spacing w:line="30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环境保护措施</w:t>
            </w:r>
          </w:p>
        </w:tc>
        <w:tc>
          <w:tcPr>
            <w:tcW w:w="1419" w:type="pct"/>
            <w:vAlign w:val="center"/>
          </w:tcPr>
          <w:p>
            <w:pPr>
              <w:adjustRightInd w:val="0"/>
              <w:snapToGrid w:val="0"/>
              <w:spacing w:line="30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Merge w:val="restar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747" w:type="pct"/>
            <w:vAlign w:val="center"/>
          </w:tcPr>
          <w:p>
            <w:pPr>
              <w:widowControl/>
              <w:adjustRightInd w:val="0"/>
              <w:snapToGrid w:val="0"/>
              <w:spacing w:line="300"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DA001</w:t>
            </w:r>
          </w:p>
        </w:tc>
        <w:tc>
          <w:tcPr>
            <w:tcW w:w="947" w:type="pct"/>
            <w:vAlign w:val="center"/>
          </w:tcPr>
          <w:p>
            <w:pPr>
              <w:widowControl/>
              <w:adjustRightInd w:val="0"/>
              <w:snapToGrid w:val="0"/>
              <w:spacing w:line="300"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颗粒物、SO</w:t>
            </w:r>
            <w:r>
              <w:rPr>
                <w:color w:val="000000" w:themeColor="text1"/>
                <w:kern w:val="0"/>
                <w:szCs w:val="21"/>
                <w:vertAlign w:val="subscript"/>
                <w:lang w:bidi="ar"/>
                <w14:textFill>
                  <w14:solidFill>
                    <w14:schemeClr w14:val="tx1"/>
                  </w14:solidFill>
                </w14:textFill>
              </w:rPr>
              <w:t>2</w:t>
            </w:r>
            <w:r>
              <w:rPr>
                <w:color w:val="000000" w:themeColor="text1"/>
                <w:kern w:val="0"/>
                <w:szCs w:val="21"/>
                <w:lang w:bidi="ar"/>
                <w14:textFill>
                  <w14:solidFill>
                    <w14:schemeClr w14:val="tx1"/>
                  </w14:solidFill>
                </w14:textFill>
              </w:rPr>
              <w:t>、NO</w:t>
            </w:r>
            <w:r>
              <w:rPr>
                <w:color w:val="000000" w:themeColor="text1"/>
                <w:kern w:val="0"/>
                <w:szCs w:val="21"/>
                <w:vertAlign w:val="subscript"/>
                <w:lang w:bidi="ar"/>
                <w14:textFill>
                  <w14:solidFill>
                    <w14:schemeClr w14:val="tx1"/>
                  </w14:solidFill>
                </w14:textFill>
              </w:rPr>
              <w:t>X</w:t>
            </w:r>
            <w:r>
              <w:rPr>
                <w:color w:val="000000" w:themeColor="text1"/>
                <w:kern w:val="0"/>
                <w:szCs w:val="21"/>
                <w:lang w:bidi="ar"/>
                <w14:textFill>
                  <w14:solidFill>
                    <w14:schemeClr w14:val="tx1"/>
                  </w14:solidFill>
                </w14:textFill>
              </w:rPr>
              <w:t>、非甲烷总烃、HCl</w:t>
            </w:r>
          </w:p>
        </w:tc>
        <w:tc>
          <w:tcPr>
            <w:tcW w:w="1176" w:type="pct"/>
            <w:vAlign w:val="center"/>
          </w:tcPr>
          <w:p>
            <w:pPr>
              <w:widowControl/>
              <w:adjustRightInd w:val="0"/>
              <w:snapToGrid w:val="0"/>
              <w:spacing w:line="30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碱喷淋塔+干式过滤+布袋除尘器+二级活性炭</w:t>
            </w:r>
            <w:r>
              <w:rPr>
                <w:rFonts w:hint="eastAsia"/>
                <w:color w:val="000000" w:themeColor="text1"/>
                <w:szCs w:val="21"/>
                <w14:textFill>
                  <w14:solidFill>
                    <w14:schemeClr w14:val="tx1"/>
                  </w14:solidFill>
                </w14:textFill>
              </w:rPr>
              <w:t>、二级活性炭（危废库）</w:t>
            </w:r>
          </w:p>
        </w:tc>
        <w:tc>
          <w:tcPr>
            <w:tcW w:w="1419" w:type="pct"/>
            <w:vMerge w:val="restart"/>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《铸造工业大气污染物排放标准》（GB39726-2020）中排放限值；江苏省《大气污染物综合排放标准》（DB32/4041-2021）中排放限值、《工业炉窑大气污染物排放标准》（DB32/3728-2020）中排放限值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adjustRightInd w:val="0"/>
              <w:snapToGrid w:val="0"/>
              <w:spacing w:line="300" w:lineRule="auto"/>
              <w:jc w:val="center"/>
              <w:rPr>
                <w:color w:val="000000" w:themeColor="text1"/>
                <w:szCs w:val="21"/>
                <w14:textFill>
                  <w14:solidFill>
                    <w14:schemeClr w14:val="tx1"/>
                  </w14:solidFill>
                </w14:textFill>
              </w:rPr>
            </w:pPr>
          </w:p>
        </w:tc>
        <w:tc>
          <w:tcPr>
            <w:tcW w:w="7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DA002</w:t>
            </w:r>
          </w:p>
        </w:tc>
        <w:tc>
          <w:tcPr>
            <w:tcW w:w="9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颗粒物、SO</w:t>
            </w:r>
            <w:r>
              <w:rPr>
                <w:color w:val="000000" w:themeColor="text1"/>
                <w:kern w:val="0"/>
                <w:szCs w:val="21"/>
                <w:vertAlign w:val="subscript"/>
                <w:lang w:bidi="ar"/>
                <w14:textFill>
                  <w14:solidFill>
                    <w14:schemeClr w14:val="tx1"/>
                  </w14:solidFill>
                </w14:textFill>
              </w:rPr>
              <w:t>2</w:t>
            </w:r>
            <w:r>
              <w:rPr>
                <w:color w:val="000000" w:themeColor="text1"/>
                <w:kern w:val="0"/>
                <w:szCs w:val="21"/>
                <w:lang w:bidi="ar"/>
                <w14:textFill>
                  <w14:solidFill>
                    <w14:schemeClr w14:val="tx1"/>
                  </w14:solidFill>
                </w14:textFill>
              </w:rPr>
              <w:t>、NO</w:t>
            </w:r>
            <w:r>
              <w:rPr>
                <w:color w:val="000000" w:themeColor="text1"/>
                <w:kern w:val="0"/>
                <w:szCs w:val="21"/>
                <w:vertAlign w:val="subscript"/>
                <w:lang w:bidi="ar"/>
                <w14:textFill>
                  <w14:solidFill>
                    <w14:schemeClr w14:val="tx1"/>
                  </w14:solidFill>
                </w14:textFill>
              </w:rPr>
              <w:t>X</w:t>
            </w:r>
            <w:r>
              <w:rPr>
                <w:color w:val="000000" w:themeColor="text1"/>
                <w:kern w:val="0"/>
                <w:szCs w:val="21"/>
                <w:lang w:bidi="ar"/>
                <w14:textFill>
                  <w14:solidFill>
                    <w14:schemeClr w14:val="tx1"/>
                  </w14:solidFill>
                </w14:textFill>
              </w:rPr>
              <w:t>、非甲烷总烃、甲醛</w:t>
            </w:r>
          </w:p>
        </w:tc>
        <w:tc>
          <w:tcPr>
            <w:tcW w:w="1176" w:type="pct"/>
            <w:vAlign w:val="center"/>
          </w:tcPr>
          <w:p>
            <w:pPr>
              <w:widowControl/>
              <w:adjustRightInd w:val="0"/>
              <w:snapToGrid w:val="0"/>
              <w:spacing w:line="300" w:lineRule="auto"/>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喷淋洗涤塔+干式过滤+布袋除尘器+二级活性炭</w:t>
            </w:r>
          </w:p>
        </w:tc>
        <w:tc>
          <w:tcPr>
            <w:tcW w:w="1419" w:type="pct"/>
            <w:vMerge w:val="continue"/>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Merge w:val="continue"/>
            <w:vAlign w:val="center"/>
          </w:tcPr>
          <w:p>
            <w:pPr>
              <w:adjustRightInd w:val="0"/>
              <w:snapToGrid w:val="0"/>
              <w:spacing w:line="300" w:lineRule="auto"/>
              <w:jc w:val="center"/>
              <w:rPr>
                <w:color w:val="000000" w:themeColor="text1"/>
                <w:szCs w:val="21"/>
                <w14:textFill>
                  <w14:solidFill>
                    <w14:schemeClr w14:val="tx1"/>
                  </w14:solidFill>
                </w14:textFill>
              </w:rPr>
            </w:pPr>
          </w:p>
        </w:tc>
        <w:tc>
          <w:tcPr>
            <w:tcW w:w="7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DA003</w:t>
            </w:r>
          </w:p>
        </w:tc>
        <w:tc>
          <w:tcPr>
            <w:tcW w:w="9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176" w:type="pct"/>
            <w:vAlign w:val="center"/>
          </w:tcPr>
          <w:p>
            <w:pPr>
              <w:widowControl/>
              <w:adjustRightInd w:val="0"/>
              <w:snapToGrid w:val="0"/>
              <w:spacing w:line="300" w:lineRule="auto"/>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布袋除尘器</w:t>
            </w:r>
          </w:p>
        </w:tc>
        <w:tc>
          <w:tcPr>
            <w:tcW w:w="1419" w:type="pct"/>
            <w:vMerge w:val="continue"/>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pct"/>
            <w:vMerge w:val="continue"/>
            <w:vAlign w:val="center"/>
          </w:tcPr>
          <w:p>
            <w:pPr>
              <w:adjustRightInd w:val="0"/>
              <w:snapToGrid w:val="0"/>
              <w:spacing w:line="300" w:lineRule="auto"/>
              <w:jc w:val="center"/>
              <w:rPr>
                <w:color w:val="000000" w:themeColor="text1"/>
                <w:szCs w:val="21"/>
                <w14:textFill>
                  <w14:solidFill>
                    <w14:schemeClr w14:val="tx1"/>
                  </w14:solidFill>
                </w14:textFill>
              </w:rPr>
            </w:pPr>
          </w:p>
        </w:tc>
        <w:tc>
          <w:tcPr>
            <w:tcW w:w="7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DA004</w:t>
            </w:r>
          </w:p>
        </w:tc>
        <w:tc>
          <w:tcPr>
            <w:tcW w:w="9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176"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szCs w:val="21"/>
                <w14:textFill>
                  <w14:solidFill>
                    <w14:schemeClr w14:val="tx1"/>
                  </w14:solidFill>
                </w14:textFill>
              </w:rPr>
              <w:t>二级活性炭</w:t>
            </w:r>
          </w:p>
        </w:tc>
        <w:tc>
          <w:tcPr>
            <w:tcW w:w="1419" w:type="pct"/>
            <w:vMerge w:val="continue"/>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710" w:type="pct"/>
            <w:vMerge w:val="continue"/>
            <w:vAlign w:val="center"/>
          </w:tcPr>
          <w:p>
            <w:pPr>
              <w:adjustRightInd w:val="0"/>
              <w:snapToGrid w:val="0"/>
              <w:spacing w:line="300" w:lineRule="auto"/>
              <w:jc w:val="center"/>
              <w:rPr>
                <w:color w:val="000000" w:themeColor="text1"/>
                <w:szCs w:val="21"/>
                <w14:textFill>
                  <w14:solidFill>
                    <w14:schemeClr w14:val="tx1"/>
                  </w14:solidFill>
                </w14:textFill>
              </w:rPr>
            </w:pPr>
          </w:p>
        </w:tc>
        <w:tc>
          <w:tcPr>
            <w:tcW w:w="7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w:t>
            </w:r>
          </w:p>
        </w:tc>
        <w:tc>
          <w:tcPr>
            <w:tcW w:w="947"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氯化氢、甲醛</w:t>
            </w:r>
          </w:p>
        </w:tc>
        <w:tc>
          <w:tcPr>
            <w:tcW w:w="1176" w:type="pct"/>
            <w:vAlign w:val="center"/>
          </w:tcPr>
          <w:p>
            <w:pPr>
              <w:widowControl/>
              <w:adjustRightInd w:val="0"/>
              <w:snapToGrid w:val="0"/>
              <w:spacing w:line="300" w:lineRule="auto"/>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加强车间通风；保障集气装置收集效率</w:t>
            </w:r>
          </w:p>
        </w:tc>
        <w:tc>
          <w:tcPr>
            <w:tcW w:w="1419" w:type="pct"/>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《大气污染物综合排放标准》（DB32/4041-2021）中标准限值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w:t>
            </w:r>
          </w:p>
        </w:tc>
        <w:tc>
          <w:tcPr>
            <w:tcW w:w="7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DW001</w:t>
            </w:r>
          </w:p>
        </w:tc>
        <w:tc>
          <w:tcPr>
            <w:tcW w:w="9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PH、COD、SS、氨氮、TN、TP</w:t>
            </w:r>
          </w:p>
        </w:tc>
        <w:tc>
          <w:tcPr>
            <w:tcW w:w="1176"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p>
        </w:tc>
        <w:tc>
          <w:tcPr>
            <w:tcW w:w="1419" w:type="pct"/>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启迪浦华（泰州）水务有限公司</w:t>
            </w:r>
            <w:r>
              <w:rPr>
                <w:color w:val="000000" w:themeColor="text1"/>
                <w:szCs w:val="21"/>
                <w14:textFill>
                  <w14:solidFill>
                    <w14:schemeClr w14:val="tx1"/>
                  </w14:solidFill>
                </w14:textFill>
              </w:rPr>
              <w:t>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7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生产噪声</w:t>
            </w:r>
          </w:p>
        </w:tc>
        <w:tc>
          <w:tcPr>
            <w:tcW w:w="9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76"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厂房隔声、基础减振等</w:t>
            </w:r>
          </w:p>
        </w:tc>
        <w:tc>
          <w:tcPr>
            <w:tcW w:w="1419" w:type="pct"/>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《工业企业厂界环境噪声排放标准》（GB12348-2008）的3类标准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7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47"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76"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419" w:type="pct"/>
            <w:vAlign w:val="center"/>
          </w:tcPr>
          <w:p>
            <w:pPr>
              <w:wordWrap w:val="0"/>
              <w:topLinePunct/>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4289" w:type="pct"/>
            <w:gridSpan w:val="4"/>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一般工业固废外售处置，危险固废委托有资质单位处置，固废全部合理处置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w:t>
            </w:r>
          </w:p>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c>
          <w:tcPr>
            <w:tcW w:w="4289" w:type="pct"/>
            <w:gridSpan w:val="4"/>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下水、土壤污染防治贯彻“以防为主，治理为辅，防治结合”的理念，坚持源头控制、防止渗漏、污染监测和应急处理的主动防渗措施与被动防渗措施相结合，按照防污性能和污染物控制难易程度，采取分区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4289" w:type="pct"/>
            <w:gridSpan w:val="4"/>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w:t>
            </w:r>
          </w:p>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防范措施</w:t>
            </w:r>
          </w:p>
        </w:tc>
        <w:tc>
          <w:tcPr>
            <w:tcW w:w="4289" w:type="pct"/>
            <w:gridSpan w:val="4"/>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企业需建立健全安全操作规程及值勤制度，设置通讯、报警装置，并确保其处于完好状态；应加强火源的管理，严禁烟火带入；项目车间设置监控摄像头，各区域内发生火灾时，以便控制室的工作人员对火灾现场情况做相应的处理。</w:t>
            </w:r>
          </w:p>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由于本项目使用的部分原辅料有毒易燃，因此必须严格管理，采取一系列严密的安全防范措施，并加强职工的安全防范意识，确保安全生产。建立完善事故应急措施、配备消防器材，编制突发环境事件应急预案。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pct"/>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其他环境</w:t>
            </w:r>
          </w:p>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管理要求</w:t>
            </w:r>
          </w:p>
        </w:tc>
        <w:tc>
          <w:tcPr>
            <w:tcW w:w="4289" w:type="pct"/>
            <w:gridSpan w:val="4"/>
            <w:vAlign w:val="center"/>
          </w:tcPr>
          <w:p>
            <w:pPr>
              <w:adjustRightInd w:val="0"/>
              <w:snapToGrid w:val="0"/>
              <w:spacing w:line="30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建立较为完善的污染治理设施管理、监控制度，污染治理设施的运行和管理落实专业技术人员负责，并建立管理台账。</w:t>
            </w:r>
          </w:p>
        </w:tc>
      </w:tr>
    </w:tbl>
    <w:p>
      <w:pPr>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spacing w:before="100" w:beforeAutospacing="1" w:after="100" w:afterAutospacing="1"/>
        <w:jc w:val="center"/>
        <w:outlineLvl w:val="0"/>
        <w:rPr>
          <w:snapToGrid w:val="0"/>
          <w:color w:val="000000" w:themeColor="text1"/>
          <w:kern w:val="0"/>
          <w:sz w:val="30"/>
          <w:szCs w:val="30"/>
          <w14:textFill>
            <w14:solidFill>
              <w14:schemeClr w14:val="tx1"/>
            </w14:solidFill>
          </w14:textFill>
        </w:rPr>
      </w:pPr>
      <w:r>
        <w:rPr>
          <w:snapToGrid w:val="0"/>
          <w:color w:val="000000" w:themeColor="text1"/>
          <w:kern w:val="0"/>
          <w:sz w:val="30"/>
          <w:szCs w:val="30"/>
          <w14:textFill>
            <w14:solidFill>
              <w14:schemeClr w14:val="tx1"/>
            </w14:solidFill>
          </w14:textFill>
        </w:rPr>
        <w:t>六、结论</w:t>
      </w:r>
    </w:p>
    <w:tbl>
      <w:tblPr>
        <w:tblStyle w:val="19"/>
        <w:tblW w:w="88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61" w:hRule="atLeast"/>
          <w:jc w:val="center"/>
        </w:trPr>
        <w:tc>
          <w:tcPr>
            <w:tcW w:w="8865" w:type="dxa"/>
          </w:tcPr>
          <w:p>
            <w:pPr>
              <w:adjustRightInd w:val="0"/>
              <w:snapToGrid w:val="0"/>
              <w:spacing w:before="156" w:beforeLines="50"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1、结论</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本项目的建设符合国家及地方产业政策，选址符合城市规划和用地规划，选址合理；各项污染物可以达标排放，总量符合要求；从环境保护的角度来讲，本项目建设具有环境可行性。</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2、建议</w:t>
            </w:r>
          </w:p>
          <w:p>
            <w:pPr>
              <w:adjustRightInd w:val="0"/>
              <w:snapToGrid w:val="0"/>
              <w:spacing w:line="360" w:lineRule="auto"/>
              <w:ind w:firstLine="480" w:firstLineChars="200"/>
              <w:rPr>
                <w:snapToGrid w:val="0"/>
                <w:color w:val="000000" w:themeColor="text1"/>
                <w:kern w:val="0"/>
                <w:sz w:val="24"/>
                <w14:textFill>
                  <w14:solidFill>
                    <w14:schemeClr w14:val="tx1"/>
                  </w14:solidFill>
                </w14:textFill>
              </w:rPr>
            </w:pPr>
            <w:r>
              <w:rPr>
                <w:snapToGrid w:val="0"/>
                <w:color w:val="000000" w:themeColor="text1"/>
                <w:kern w:val="0"/>
                <w:sz w:val="24"/>
                <w14:textFill>
                  <w14:solidFill>
                    <w14:schemeClr w14:val="tx1"/>
                  </w14:solidFill>
                </w14:textFill>
              </w:rPr>
              <w:t>按照《关于做好生态环境和应急管理部门联动工作的意见》（苏环办〔2020〕101号）中的相关要求，主动与应急管理部门对接，针对本项目涉及的环境治理设施，尽快开展安全风险辨识管控工作，健全内部污染防治设施稳定运行和管理责任制度，严格依据标准规范建设环境治理设施，确保环境治理设施安全、稳定、有效运行。</w:t>
            </w: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ind w:firstLine="480" w:firstLineChars="200"/>
              <w:rPr>
                <w:rStyle w:val="25"/>
                <w:color w:val="000000" w:themeColor="text1"/>
                <w:kern w:val="0"/>
                <w:sz w:val="24"/>
                <w14:textFill>
                  <w14:solidFill>
                    <w14:schemeClr w14:val="tx1"/>
                  </w14:solidFill>
                </w14:textFill>
              </w:rPr>
            </w:pPr>
          </w:p>
          <w:p>
            <w:pPr>
              <w:spacing w:line="360" w:lineRule="auto"/>
              <w:rPr>
                <w:rStyle w:val="25"/>
                <w:color w:val="000000" w:themeColor="text1"/>
                <w:kern w:val="0"/>
                <w:sz w:val="24"/>
                <w14:textFill>
                  <w14:solidFill>
                    <w14:schemeClr w14:val="tx1"/>
                  </w14:solidFill>
                </w14:textFill>
              </w:rPr>
            </w:pPr>
          </w:p>
        </w:tc>
      </w:tr>
    </w:tbl>
    <w:p>
      <w:pPr>
        <w:pStyle w:val="8"/>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adjustRightInd w:val="0"/>
        <w:snapToGrid w:val="0"/>
        <w:jc w:val="left"/>
        <w:rPr>
          <w:snapToGrid w:val="0"/>
          <w:color w:val="000000" w:themeColor="text1"/>
          <w:kern w:val="0"/>
          <w:sz w:val="28"/>
          <w:szCs w:val="28"/>
          <w14:textFill>
            <w14:solidFill>
              <w14:schemeClr w14:val="tx1"/>
            </w14:solidFill>
          </w14:textFill>
        </w:rPr>
      </w:pPr>
      <w:r>
        <w:rPr>
          <w:snapToGrid w:val="0"/>
          <w:color w:val="000000" w:themeColor="text1"/>
          <w:kern w:val="0"/>
          <w:sz w:val="28"/>
          <w:szCs w:val="28"/>
          <w14:textFill>
            <w14:solidFill>
              <w14:schemeClr w14:val="tx1"/>
            </w14:solidFill>
          </w14:textFill>
        </w:rPr>
        <w:t>附表</w:t>
      </w:r>
    </w:p>
    <w:p>
      <w:pPr>
        <w:widowControl/>
        <w:adjustRightInd w:val="0"/>
        <w:snapToGrid w:val="0"/>
        <w:jc w:val="center"/>
        <w:rPr>
          <w:snapToGrid w:val="0"/>
          <w:color w:val="000000" w:themeColor="text1"/>
          <w:kern w:val="0"/>
          <w:sz w:val="38"/>
          <w:szCs w:val="38"/>
          <w14:textFill>
            <w14:solidFill>
              <w14:schemeClr w14:val="tx1"/>
            </w14:solidFill>
          </w14:textFill>
        </w:rPr>
      </w:pPr>
      <w:bookmarkStart w:id="13" w:name="_Toc11763"/>
      <w:bookmarkStart w:id="14" w:name="_Toc23339"/>
      <w:r>
        <w:rPr>
          <w:snapToGrid w:val="0"/>
          <w:color w:val="000000" w:themeColor="text1"/>
          <w:kern w:val="0"/>
          <w:sz w:val="38"/>
          <w:szCs w:val="38"/>
          <w14:textFill>
            <w14:solidFill>
              <w14:schemeClr w14:val="tx1"/>
            </w14:solidFill>
          </w14:textFill>
        </w:rPr>
        <w:t>建设项目污染物排放量汇总表</w:t>
      </w:r>
      <w:bookmarkEnd w:id="13"/>
      <w:r>
        <w:rPr>
          <w:color w:val="000000" w:themeColor="text1"/>
          <w:kern w:val="0"/>
          <w:sz w:val="24"/>
          <w:szCs w:val="20"/>
          <w14:textFill>
            <w14:solidFill>
              <w14:schemeClr w14:val="tx1"/>
            </w14:solidFill>
          </w14:textFill>
        </w:rPr>
        <w:t xml:space="preserve">    </w:t>
      </w:r>
      <w:r>
        <w:rPr>
          <w:b/>
          <w:bCs/>
          <w:color w:val="000000" w:themeColor="text1"/>
          <w:kern w:val="0"/>
          <w:sz w:val="24"/>
          <w:szCs w:val="20"/>
          <w14:textFill>
            <w14:solidFill>
              <w14:schemeClr w14:val="tx1"/>
            </w14:solidFill>
          </w14:textFill>
        </w:rPr>
        <w:t>单位：t/a</w:t>
      </w:r>
      <w:bookmarkEnd w:id="14"/>
    </w:p>
    <w:tbl>
      <w:tblPr>
        <w:tblStyle w:val="19"/>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011"/>
        <w:gridCol w:w="1417"/>
        <w:gridCol w:w="1701"/>
        <w:gridCol w:w="1276"/>
        <w:gridCol w:w="1701"/>
        <w:gridCol w:w="1559"/>
        <w:gridCol w:w="1761"/>
        <w:gridCol w:w="1717"/>
        <w:gridCol w:w="10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588" w:type="dxa"/>
            <w:gridSpan w:val="2"/>
            <w:tcBorders>
              <w:tl2br w:val="single" w:color="auto" w:sz="4" w:space="0"/>
            </w:tcBorders>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项目</w:t>
            </w:r>
          </w:p>
          <w:p>
            <w:pPr>
              <w:adjustRightInd w:val="0"/>
              <w:snapToGrid w:val="0"/>
              <w:jc w:val="center"/>
              <w:rPr>
                <w:snapToGrid w:val="0"/>
                <w:color w:val="000000" w:themeColor="text1"/>
                <w:spacing w:val="-6"/>
                <w:kern w:val="21"/>
                <w:szCs w:val="21"/>
                <w14:textFill>
                  <w14:solidFill>
                    <w14:schemeClr w14:val="tx1"/>
                  </w14:solidFill>
                </w14:textFill>
              </w:rPr>
            </w:pPr>
          </w:p>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分类</w:t>
            </w:r>
          </w:p>
        </w:tc>
        <w:tc>
          <w:tcPr>
            <w:tcW w:w="1417"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污染物名称</w:t>
            </w:r>
          </w:p>
        </w:tc>
        <w:tc>
          <w:tcPr>
            <w:tcW w:w="1701"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现有工程</w:t>
            </w:r>
          </w:p>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排放量（固体废物产生量）</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1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szCs w:val="21"/>
                <w14:textFill>
                  <w14:solidFill>
                    <w14:schemeClr w14:val="tx1"/>
                  </w14:solidFill>
                </w14:textFill>
              </w:rPr>
              <w:t>①</w:t>
            </w:r>
            <w:r>
              <w:rPr>
                <w:snapToGrid w:val="0"/>
                <w:color w:val="000000" w:themeColor="text1"/>
                <w:spacing w:val="-6"/>
                <w:kern w:val="21"/>
                <w:szCs w:val="21"/>
                <w14:textFill>
                  <w14:solidFill>
                    <w14:schemeClr w14:val="tx1"/>
                  </w14:solidFill>
                </w14:textFill>
              </w:rPr>
              <w:fldChar w:fldCharType="end"/>
            </w:r>
          </w:p>
        </w:tc>
        <w:tc>
          <w:tcPr>
            <w:tcW w:w="1276"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现有工程</w:t>
            </w:r>
          </w:p>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许可排放量</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2 \* GB3 \* MERGEFORMAT </w:instrText>
            </w:r>
            <w:r>
              <w:rPr>
                <w:snapToGrid w:val="0"/>
                <w:color w:val="000000" w:themeColor="text1"/>
                <w:spacing w:val="-6"/>
                <w:kern w:val="21"/>
                <w:szCs w:val="21"/>
                <w14:textFill>
                  <w14:solidFill>
                    <w14:schemeClr w14:val="tx1"/>
                  </w14:solidFill>
                </w14:textFill>
              </w:rPr>
              <w:fldChar w:fldCharType="separate"/>
            </w:r>
            <w:r>
              <w:rPr>
                <w:snapToGrid w:val="0"/>
                <w:color w:val="000000" w:themeColor="text1"/>
                <w:spacing w:val="-6"/>
                <w:kern w:val="21"/>
                <w:szCs w:val="21"/>
                <w14:textFill>
                  <w14:solidFill>
                    <w14:schemeClr w14:val="tx1"/>
                  </w14:solidFill>
                </w14:textFill>
              </w:rPr>
              <w:t>②</w:t>
            </w:r>
            <w:r>
              <w:rPr>
                <w:snapToGrid w:val="0"/>
                <w:color w:val="000000" w:themeColor="text1"/>
                <w:spacing w:val="-6"/>
                <w:kern w:val="21"/>
                <w:szCs w:val="21"/>
                <w14:textFill>
                  <w14:solidFill>
                    <w14:schemeClr w14:val="tx1"/>
                  </w14:solidFill>
                </w14:textFill>
              </w:rPr>
              <w:fldChar w:fldCharType="end"/>
            </w:r>
          </w:p>
        </w:tc>
        <w:tc>
          <w:tcPr>
            <w:tcW w:w="1701"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在建工程</w:t>
            </w:r>
          </w:p>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排放量（固体废物产生量）</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3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szCs w:val="21"/>
                <w14:textFill>
                  <w14:solidFill>
                    <w14:schemeClr w14:val="tx1"/>
                  </w14:solidFill>
                </w14:textFill>
              </w:rPr>
              <w:t>③</w:t>
            </w:r>
            <w:r>
              <w:rPr>
                <w:snapToGrid w:val="0"/>
                <w:color w:val="000000" w:themeColor="text1"/>
                <w:spacing w:val="-6"/>
                <w:kern w:val="21"/>
                <w:szCs w:val="21"/>
                <w14:textFill>
                  <w14:solidFill>
                    <w14:schemeClr w14:val="tx1"/>
                  </w14:solidFill>
                </w14:textFill>
              </w:rPr>
              <w:fldChar w:fldCharType="end"/>
            </w:r>
          </w:p>
        </w:tc>
        <w:tc>
          <w:tcPr>
            <w:tcW w:w="1559"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本项目排放量（固体废物产生量）</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4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szCs w:val="21"/>
                <w14:textFill>
                  <w14:solidFill>
                    <w14:schemeClr w14:val="tx1"/>
                  </w14:solidFill>
                </w14:textFill>
              </w:rPr>
              <w:t>④</w:t>
            </w:r>
            <w:r>
              <w:rPr>
                <w:snapToGrid w:val="0"/>
                <w:color w:val="000000" w:themeColor="text1"/>
                <w:spacing w:val="-6"/>
                <w:kern w:val="21"/>
                <w:szCs w:val="21"/>
                <w14:textFill>
                  <w14:solidFill>
                    <w14:schemeClr w14:val="tx1"/>
                  </w14:solidFill>
                </w14:textFill>
              </w:rPr>
              <w:fldChar w:fldCharType="end"/>
            </w:r>
          </w:p>
        </w:tc>
        <w:tc>
          <w:tcPr>
            <w:tcW w:w="1761" w:type="dxa"/>
            <w:tcMar>
              <w:left w:w="28" w:type="dxa"/>
              <w:right w:w="28" w:type="dxa"/>
            </w:tcMar>
            <w:vAlign w:val="center"/>
          </w:tcPr>
          <w:p>
            <w:pPr>
              <w:adjustRightInd w:val="0"/>
              <w:snapToGrid w:val="0"/>
              <w:jc w:val="center"/>
              <w:rPr>
                <w:snapToGrid w:val="0"/>
                <w:color w:val="000000" w:themeColor="text1"/>
                <w:spacing w:val="-16"/>
                <w:kern w:val="21"/>
                <w:szCs w:val="21"/>
                <w14:textFill>
                  <w14:solidFill>
                    <w14:schemeClr w14:val="tx1"/>
                  </w14:solidFill>
                </w14:textFill>
              </w:rPr>
            </w:pPr>
            <w:r>
              <w:rPr>
                <w:snapToGrid w:val="0"/>
                <w:color w:val="000000" w:themeColor="text1"/>
                <w:spacing w:val="-16"/>
                <w:kern w:val="21"/>
                <w:szCs w:val="21"/>
                <w14:textFill>
                  <w14:solidFill>
                    <w14:schemeClr w14:val="tx1"/>
                  </w14:solidFill>
                </w14:textFill>
              </w:rPr>
              <w:t>以新带老削减量（新建项目不填）</w:t>
            </w:r>
            <w:r>
              <w:rPr>
                <w:snapToGrid w:val="0"/>
                <w:color w:val="000000" w:themeColor="text1"/>
                <w:spacing w:val="-16"/>
                <w:kern w:val="21"/>
                <w:szCs w:val="21"/>
                <w14:textFill>
                  <w14:solidFill>
                    <w14:schemeClr w14:val="tx1"/>
                  </w14:solidFill>
                </w14:textFill>
              </w:rPr>
              <w:fldChar w:fldCharType="begin"/>
            </w:r>
            <w:r>
              <w:rPr>
                <w:snapToGrid w:val="0"/>
                <w:color w:val="000000" w:themeColor="text1"/>
                <w:spacing w:val="-16"/>
                <w:kern w:val="21"/>
                <w:szCs w:val="21"/>
                <w14:textFill>
                  <w14:solidFill>
                    <w14:schemeClr w14:val="tx1"/>
                  </w14:solidFill>
                </w14:textFill>
              </w:rPr>
              <w:instrText xml:space="preserve"> = 5 \* GB3 \* MERGEFORMAT </w:instrText>
            </w:r>
            <w:r>
              <w:rPr>
                <w:snapToGrid w:val="0"/>
                <w:color w:val="000000" w:themeColor="text1"/>
                <w:spacing w:val="-16"/>
                <w:kern w:val="21"/>
                <w:szCs w:val="21"/>
                <w14:textFill>
                  <w14:solidFill>
                    <w14:schemeClr w14:val="tx1"/>
                  </w14:solidFill>
                </w14:textFill>
              </w:rPr>
              <w:fldChar w:fldCharType="separate"/>
            </w:r>
            <w:r>
              <w:rPr>
                <w:color w:val="000000" w:themeColor="text1"/>
                <w:szCs w:val="21"/>
                <w14:textFill>
                  <w14:solidFill>
                    <w14:schemeClr w14:val="tx1"/>
                  </w14:solidFill>
                </w14:textFill>
              </w:rPr>
              <w:t>⑤</w:t>
            </w:r>
            <w:r>
              <w:rPr>
                <w:snapToGrid w:val="0"/>
                <w:color w:val="000000" w:themeColor="text1"/>
                <w:spacing w:val="-16"/>
                <w:kern w:val="21"/>
                <w:szCs w:val="21"/>
                <w14:textFill>
                  <w14:solidFill>
                    <w14:schemeClr w14:val="tx1"/>
                  </w14:solidFill>
                </w14:textFill>
              </w:rPr>
              <w:fldChar w:fldCharType="end"/>
            </w:r>
          </w:p>
        </w:tc>
        <w:tc>
          <w:tcPr>
            <w:tcW w:w="1717" w:type="dxa"/>
            <w:tcMar>
              <w:left w:w="28" w:type="dxa"/>
              <w:right w:w="28" w:type="dxa"/>
            </w:tcMar>
            <w:vAlign w:val="center"/>
          </w:tcPr>
          <w:p>
            <w:pPr>
              <w:adjustRightInd w:val="0"/>
              <w:snapToGrid w:val="0"/>
              <w:jc w:val="center"/>
              <w:rPr>
                <w:snapToGrid w:val="0"/>
                <w:color w:val="000000" w:themeColor="text1"/>
                <w:spacing w:val="-16"/>
                <w:kern w:val="21"/>
                <w:szCs w:val="21"/>
                <w14:textFill>
                  <w14:solidFill>
                    <w14:schemeClr w14:val="tx1"/>
                  </w14:solidFill>
                </w14:textFill>
              </w:rPr>
            </w:pPr>
            <w:r>
              <w:rPr>
                <w:snapToGrid w:val="0"/>
                <w:color w:val="000000" w:themeColor="text1"/>
                <w:spacing w:val="-16"/>
                <w:kern w:val="21"/>
                <w:szCs w:val="21"/>
                <w14:textFill>
                  <w14:solidFill>
                    <w14:schemeClr w14:val="tx1"/>
                  </w14:solidFill>
                </w14:textFill>
              </w:rPr>
              <w:t>本项目建成后全厂排放量（固体废物产生量）</w:t>
            </w:r>
            <w:r>
              <w:rPr>
                <w:snapToGrid w:val="0"/>
                <w:color w:val="000000" w:themeColor="text1"/>
                <w:spacing w:val="-16"/>
                <w:kern w:val="21"/>
                <w:szCs w:val="21"/>
                <w14:textFill>
                  <w14:solidFill>
                    <w14:schemeClr w14:val="tx1"/>
                  </w14:solidFill>
                </w14:textFill>
              </w:rPr>
              <w:fldChar w:fldCharType="begin"/>
            </w:r>
            <w:r>
              <w:rPr>
                <w:snapToGrid w:val="0"/>
                <w:color w:val="000000" w:themeColor="text1"/>
                <w:spacing w:val="-16"/>
                <w:kern w:val="21"/>
                <w:szCs w:val="21"/>
                <w14:textFill>
                  <w14:solidFill>
                    <w14:schemeClr w14:val="tx1"/>
                  </w14:solidFill>
                </w14:textFill>
              </w:rPr>
              <w:instrText xml:space="preserve"> = 6 \* GB3 \* MERGEFORMAT </w:instrText>
            </w:r>
            <w:r>
              <w:rPr>
                <w:snapToGrid w:val="0"/>
                <w:color w:val="000000" w:themeColor="text1"/>
                <w:spacing w:val="-16"/>
                <w:kern w:val="21"/>
                <w:szCs w:val="21"/>
                <w14:textFill>
                  <w14:solidFill>
                    <w14:schemeClr w14:val="tx1"/>
                  </w14:solidFill>
                </w14:textFill>
              </w:rPr>
              <w:fldChar w:fldCharType="separate"/>
            </w:r>
            <w:r>
              <w:rPr>
                <w:color w:val="000000" w:themeColor="text1"/>
                <w:szCs w:val="21"/>
                <w14:textFill>
                  <w14:solidFill>
                    <w14:schemeClr w14:val="tx1"/>
                  </w14:solidFill>
                </w14:textFill>
              </w:rPr>
              <w:t>⑥</w:t>
            </w:r>
            <w:r>
              <w:rPr>
                <w:snapToGrid w:val="0"/>
                <w:color w:val="000000" w:themeColor="text1"/>
                <w:spacing w:val="-16"/>
                <w:kern w:val="21"/>
                <w:szCs w:val="21"/>
                <w14:textFill>
                  <w14:solidFill>
                    <w14:schemeClr w14:val="tx1"/>
                  </w14:solidFill>
                </w14:textFill>
              </w:rPr>
              <w:fldChar w:fldCharType="end"/>
            </w:r>
          </w:p>
        </w:tc>
        <w:tc>
          <w:tcPr>
            <w:tcW w:w="1068" w:type="dxa"/>
            <w:tcMar>
              <w:left w:w="28" w:type="dxa"/>
              <w:right w:w="28" w:type="dxa"/>
            </w:tcMar>
            <w:vAlign w:val="center"/>
          </w:tcPr>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t>变化量</w:t>
            </w:r>
          </w:p>
          <w:p>
            <w:pPr>
              <w:adjustRightInd w:val="0"/>
              <w:snapToGrid w:val="0"/>
              <w:jc w:val="center"/>
              <w:rPr>
                <w:snapToGrid w:val="0"/>
                <w:color w:val="000000" w:themeColor="text1"/>
                <w:spacing w:val="-6"/>
                <w:kern w:val="21"/>
                <w:szCs w:val="21"/>
                <w14:textFill>
                  <w14:solidFill>
                    <w14:schemeClr w14:val="tx1"/>
                  </w14:solidFill>
                </w14:textFill>
              </w:rPr>
            </w:pP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7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szCs w:val="21"/>
                <w14:textFill>
                  <w14:solidFill>
                    <w14:schemeClr w14:val="tx1"/>
                  </w14:solidFill>
                </w14:textFill>
              </w:rPr>
              <w:t>⑦</w:t>
            </w:r>
            <w:r>
              <w:rPr>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restart"/>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废气</w:t>
            </w:r>
          </w:p>
        </w:tc>
        <w:tc>
          <w:tcPr>
            <w:tcW w:w="1011" w:type="dxa"/>
            <w:vMerge w:val="restart"/>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color w:val="000000" w:themeColor="text1"/>
                <w:kern w:val="0"/>
                <w:szCs w:val="21"/>
                <w:lang w:bidi="ar"/>
                <w14:textFill>
                  <w14:solidFill>
                    <w14:schemeClr w14:val="tx1"/>
                  </w14:solidFill>
                </w14:textFill>
              </w:rPr>
              <w:t>有组织</w:t>
            </w: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0.267</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0.267</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+0.267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SO</w:t>
            </w:r>
            <w:r>
              <w:rPr>
                <w:color w:val="000000" w:themeColor="text1"/>
                <w:kern w:val="0"/>
                <w:szCs w:val="21"/>
                <w:vertAlign w:val="subscript"/>
                <w:lang w:bidi="ar"/>
                <w14:textFill>
                  <w14:solidFill>
                    <w14:schemeClr w14:val="tx1"/>
                  </w14:solidFill>
                </w14:textFill>
              </w:rPr>
              <w:t>2</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0.122</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0.122</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NO</w:t>
            </w:r>
            <w:r>
              <w:rPr>
                <w:color w:val="000000" w:themeColor="text1"/>
                <w:kern w:val="0"/>
                <w:szCs w:val="21"/>
                <w:vertAlign w:val="subscript"/>
                <w:lang w:bidi="ar"/>
                <w14:textFill>
                  <w14:solidFill>
                    <w14:schemeClr w14:val="tx1"/>
                  </w14:solidFill>
                </w14:textFill>
              </w:rPr>
              <w:t>X</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0.321</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0.321</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0.321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HCl</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0.295</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0.295</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0.295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非甲烷总烃</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0.096</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0.096</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甲醛</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0.0004</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0.0004</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restart"/>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color w:val="000000" w:themeColor="text1"/>
                <w:kern w:val="0"/>
                <w:szCs w:val="21"/>
                <w:lang w:bidi="ar"/>
                <w14:textFill>
                  <w14:solidFill>
                    <w14:schemeClr w14:val="tx1"/>
                  </w14:solidFill>
                </w14:textFill>
              </w:rPr>
              <w:t>无组织</w:t>
            </w: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颗粒物</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0.322</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0.322</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+0.322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非甲烷总烃</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0.1013</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0.1013</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+0.1013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HC</w:t>
            </w:r>
            <w:r>
              <w:rPr>
                <w:rFonts w:hint="eastAsia"/>
                <w:color w:val="000000" w:themeColor="text1"/>
                <w:kern w:val="0"/>
                <w:szCs w:val="21"/>
                <w:lang w:bidi="ar"/>
                <w14:textFill>
                  <w14:solidFill>
                    <w14:schemeClr w14:val="tx1"/>
                  </w14:solidFill>
                </w14:textFill>
              </w:rPr>
              <w:t>l</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7" w:type="dxa"/>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011" w:type="dxa"/>
            <w:vMerge w:val="continue"/>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甲醛</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0.0005</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717"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0.0005</w:t>
            </w:r>
          </w:p>
        </w:tc>
        <w:tc>
          <w:tcPr>
            <w:tcW w:w="1068" w:type="dxa"/>
            <w:vAlign w:val="center"/>
          </w:tcPr>
          <w:p>
            <w:pPr>
              <w:widowControl/>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+0.0005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Merge w:val="restart"/>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废水</w:t>
            </w: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COD</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276"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1.836</w:t>
            </w:r>
          </w:p>
        </w:tc>
        <w:tc>
          <w:tcPr>
            <w:tcW w:w="176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1.836</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1.836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SS</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276"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0.972</w:t>
            </w:r>
          </w:p>
        </w:tc>
        <w:tc>
          <w:tcPr>
            <w:tcW w:w="176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0.972</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0.972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88" w:type="dxa"/>
            <w:gridSpan w:val="2"/>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氨氮</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276"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c>
          <w:tcPr>
            <w:tcW w:w="176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0.135</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总磷</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276"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c>
          <w:tcPr>
            <w:tcW w:w="176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0.0216</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0.0216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Merge w:val="continue"/>
            <w:vAlign w:val="center"/>
          </w:tcPr>
          <w:p>
            <w:pPr>
              <w:adjustRightInd w:val="0"/>
              <w:snapToGrid w:val="0"/>
              <w:jc w:val="center"/>
              <w:rPr>
                <w:snapToGrid w:val="0"/>
                <w:color w:val="000000" w:themeColor="text1"/>
                <w:kern w:val="21"/>
                <w:szCs w:val="21"/>
                <w14:textFill>
                  <w14:solidFill>
                    <w14:schemeClr w14:val="tx1"/>
                  </w14:solidFill>
                </w14:textFill>
              </w:rPr>
            </w:pPr>
          </w:p>
        </w:tc>
        <w:tc>
          <w:tcPr>
            <w:tcW w:w="14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总氮</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276"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0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c>
          <w:tcPr>
            <w:tcW w:w="1761"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color w:val="000000" w:themeColor="text1"/>
                <w:kern w:val="0"/>
                <w:szCs w:val="21"/>
                <w:lang w:bidi="ar"/>
                <w14:textFill>
                  <w14:solidFill>
                    <w14:schemeClr w14:val="tx1"/>
                  </w14:solidFill>
                </w14:textFill>
              </w:rPr>
              <w:t>0.216</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color w:val="000000" w:themeColor="text1"/>
                <w:kern w:val="0"/>
                <w:szCs w:val="21"/>
                <w:lang w:bidi="ar"/>
                <w14:textFill>
                  <w14:solidFill>
                    <w14:schemeClr w14:val="tx1"/>
                  </w14:solidFill>
                </w14:textFill>
              </w:rPr>
              <w:t>0.216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color w:val="000000" w:themeColor="text1"/>
                <w:kern w:val="0"/>
                <w:szCs w:val="21"/>
                <w:lang w:bidi="ar"/>
                <w14:textFill>
                  <w14:solidFill>
                    <w14:schemeClr w14:val="tx1"/>
                  </w14:solidFill>
                </w14:textFill>
              </w:rPr>
              <w:t>生活垃圾</w:t>
            </w:r>
          </w:p>
        </w:tc>
        <w:tc>
          <w:tcPr>
            <w:tcW w:w="1417"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c>
          <w:tcPr>
            <w:tcW w:w="1701"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1761" w:type="dxa"/>
            <w:vAlign w:val="center"/>
          </w:tcPr>
          <w:p>
            <w:pPr>
              <w:adjustRightInd w:val="0"/>
              <w:snapToGrid w:val="0"/>
              <w:jc w:val="center"/>
              <w:rPr>
                <w:color w:val="000000" w:themeColor="text1"/>
                <w:kern w:val="0"/>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color w:val="000000" w:themeColor="text1"/>
                <w:kern w:val="0"/>
                <w:szCs w:val="21"/>
                <w:lang w:bidi="ar"/>
                <w14:textFill>
                  <w14:solidFill>
                    <w14:schemeClr w14:val="tx1"/>
                  </w14:solidFill>
                </w14:textFill>
              </w:rPr>
              <w:t>一般工业固废</w:t>
            </w:r>
          </w:p>
        </w:tc>
        <w:tc>
          <w:tcPr>
            <w:tcW w:w="1417" w:type="dxa"/>
            <w:vAlign w:val="center"/>
          </w:tcPr>
          <w:p>
            <w:pPr>
              <w:adjustRightInd w:val="0"/>
              <w:snapToGrid w:val="0"/>
              <w:jc w:val="center"/>
              <w:rPr>
                <w:color w:val="000000" w:themeColor="text1"/>
                <w:kern w:val="0"/>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45.53</w:t>
            </w:r>
          </w:p>
        </w:tc>
        <w:tc>
          <w:tcPr>
            <w:tcW w:w="176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45.53</w:t>
            </w:r>
          </w:p>
        </w:tc>
        <w:tc>
          <w:tcPr>
            <w:tcW w:w="1068" w:type="dxa"/>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45.53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gridSpan w:val="2"/>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color w:val="000000" w:themeColor="text1"/>
                <w:kern w:val="0"/>
                <w:szCs w:val="21"/>
                <w:lang w:bidi="ar"/>
                <w14:textFill>
                  <w14:solidFill>
                    <w14:schemeClr w14:val="tx1"/>
                  </w14:solidFill>
                </w14:textFill>
              </w:rPr>
              <w:t>危险废物</w:t>
            </w:r>
          </w:p>
        </w:tc>
        <w:tc>
          <w:tcPr>
            <w:tcW w:w="1417" w:type="dxa"/>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w:t>
            </w:r>
          </w:p>
        </w:tc>
        <w:tc>
          <w:tcPr>
            <w:tcW w:w="1701"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276" w:type="dxa"/>
            <w:vAlign w:val="center"/>
          </w:tcPr>
          <w:p>
            <w:pPr>
              <w:widowControl/>
              <w:adjustRightInd w:val="0"/>
              <w:snapToGrid w:val="0"/>
              <w:jc w:val="center"/>
              <w:textAlignment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01" w:type="dxa"/>
            <w:vAlign w:val="center"/>
          </w:tcPr>
          <w:p>
            <w:pPr>
              <w:adjustRightInd w:val="0"/>
              <w:snapToGrid w:val="0"/>
              <w:jc w:val="center"/>
              <w:rPr>
                <w:snapToGrid w:val="0"/>
                <w:color w:val="000000" w:themeColor="text1"/>
                <w:kern w:val="21"/>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559" w:type="dxa"/>
            <w:vAlign w:val="center"/>
          </w:tcPr>
          <w:p>
            <w:pPr>
              <w:widowControl/>
              <w:adjustRightInd w:val="0"/>
              <w:snapToGrid w:val="0"/>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32.488</w:t>
            </w:r>
          </w:p>
        </w:tc>
        <w:tc>
          <w:tcPr>
            <w:tcW w:w="1761" w:type="dxa"/>
            <w:vAlign w:val="center"/>
          </w:tcPr>
          <w:p>
            <w:pPr>
              <w:adjustRightInd w:val="0"/>
              <w:snapToGrid w:val="0"/>
              <w:jc w:val="center"/>
              <w:rPr>
                <w:color w:val="000000" w:themeColor="text1"/>
                <w:kern w:val="0"/>
                <w:szCs w:val="21"/>
                <w14:textFill>
                  <w14:solidFill>
                    <w14:schemeClr w14:val="tx1"/>
                  </w14:solidFill>
                </w14:textFill>
              </w:rPr>
            </w:pPr>
            <w:r>
              <w:rPr>
                <w:snapToGrid w:val="0"/>
                <w:color w:val="000000" w:themeColor="text1"/>
                <w:kern w:val="21"/>
                <w:szCs w:val="21"/>
                <w14:textFill>
                  <w14:solidFill>
                    <w14:schemeClr w14:val="tx1"/>
                  </w14:solidFill>
                </w14:textFill>
              </w:rPr>
              <w:t>/</w:t>
            </w:r>
          </w:p>
        </w:tc>
        <w:tc>
          <w:tcPr>
            <w:tcW w:w="1717"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32.488</w:t>
            </w:r>
          </w:p>
        </w:tc>
        <w:tc>
          <w:tcPr>
            <w:tcW w:w="1068" w:type="dxa"/>
            <w:vAlign w:val="center"/>
          </w:tcPr>
          <w:p>
            <w:pPr>
              <w:widowControl/>
              <w:adjustRightInd w:val="0"/>
              <w:snapToGrid w:val="0"/>
              <w:jc w:val="center"/>
              <w:textAlignment w:val="center"/>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w:t>
            </w:r>
            <w:r>
              <w:rPr>
                <w:rFonts w:hint="eastAsia"/>
                <w:color w:val="000000" w:themeColor="text1"/>
                <w:kern w:val="0"/>
                <w:szCs w:val="21"/>
                <w:lang w:val="en-US" w:eastAsia="zh-CN" w:bidi="ar"/>
                <w14:textFill>
                  <w14:solidFill>
                    <w14:schemeClr w14:val="tx1"/>
                  </w14:solidFill>
                </w14:textFill>
              </w:rPr>
              <w:t>32.488</w:t>
            </w:r>
          </w:p>
        </w:tc>
      </w:tr>
    </w:tbl>
    <w:p>
      <w:pPr>
        <w:adjustRightInd w:val="0"/>
        <w:snapToGrid w:val="0"/>
        <w:jc w:val="left"/>
        <w:rPr>
          <w:color w:val="000000" w:themeColor="text1"/>
          <w:kern w:val="0"/>
          <w:szCs w:val="20"/>
          <w14:textFill>
            <w14:solidFill>
              <w14:schemeClr w14:val="tx1"/>
            </w14:solidFill>
          </w14:textFill>
        </w:rPr>
      </w:pPr>
      <w:bookmarkStart w:id="15" w:name="_Toc16566"/>
      <w:bookmarkStart w:id="16" w:name="_Toc26402"/>
      <w:r>
        <w:rPr>
          <w:snapToGrid w:val="0"/>
          <w:color w:val="000000" w:themeColor="text1"/>
          <w:kern w:val="21"/>
          <w:szCs w:val="21"/>
          <w14:textFill>
            <w14:solidFill>
              <w14:schemeClr w14:val="tx1"/>
            </w14:solidFill>
          </w14:textFill>
        </w:rPr>
        <w:t>注：</w:t>
      </w:r>
      <w:r>
        <w:rPr>
          <w:snapToGrid w:val="0"/>
          <w:color w:val="000000" w:themeColor="text1"/>
          <w:spacing w:val="-16"/>
          <w:kern w:val="21"/>
          <w:szCs w:val="21"/>
          <w14:textFill>
            <w14:solidFill>
              <w14:schemeClr w14:val="tx1"/>
            </w14:solidFill>
          </w14:textFill>
        </w:rPr>
        <w:fldChar w:fldCharType="begin"/>
      </w:r>
      <w:r>
        <w:rPr>
          <w:snapToGrid w:val="0"/>
          <w:color w:val="000000" w:themeColor="text1"/>
          <w:spacing w:val="-16"/>
          <w:kern w:val="21"/>
          <w:szCs w:val="21"/>
          <w14:textFill>
            <w14:solidFill>
              <w14:schemeClr w14:val="tx1"/>
            </w14:solidFill>
          </w14:textFill>
        </w:rPr>
        <w:instrText xml:space="preserve"> = 6 \* GB3 \* MERGEFORMAT </w:instrText>
      </w:r>
      <w:r>
        <w:rPr>
          <w:snapToGrid w:val="0"/>
          <w:color w:val="000000" w:themeColor="text1"/>
          <w:spacing w:val="-1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⑥</w:t>
      </w:r>
      <w:r>
        <w:rPr>
          <w:snapToGrid w:val="0"/>
          <w:color w:val="000000" w:themeColor="text1"/>
          <w:spacing w:val="-16"/>
          <w:kern w:val="21"/>
          <w:szCs w:val="21"/>
          <w14:textFill>
            <w14:solidFill>
              <w14:schemeClr w14:val="tx1"/>
            </w14:solidFill>
          </w14:textFill>
        </w:rPr>
        <w:fldChar w:fldCharType="end"/>
      </w:r>
      <w:r>
        <w:rPr>
          <w:snapToGrid w:val="0"/>
          <w:color w:val="000000" w:themeColor="text1"/>
          <w:spacing w:val="-16"/>
          <w:kern w:val="21"/>
          <w:szCs w:val="21"/>
          <w14:textFill>
            <w14:solidFill>
              <w14:schemeClr w14:val="tx1"/>
            </w14:solidFill>
          </w14:textFill>
        </w:rPr>
        <w:t>=</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1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①</w:t>
      </w:r>
      <w:r>
        <w:rPr>
          <w:snapToGrid w:val="0"/>
          <w:color w:val="000000" w:themeColor="text1"/>
          <w:spacing w:val="-6"/>
          <w:kern w:val="21"/>
          <w:szCs w:val="21"/>
          <w14:textFill>
            <w14:solidFill>
              <w14:schemeClr w14:val="tx1"/>
            </w14:solidFill>
          </w14:textFill>
        </w:rPr>
        <w:fldChar w:fldCharType="end"/>
      </w:r>
      <w:r>
        <w:rPr>
          <w:snapToGrid w:val="0"/>
          <w:color w:val="000000" w:themeColor="text1"/>
          <w:spacing w:val="-6"/>
          <w:kern w:val="21"/>
          <w:szCs w:val="21"/>
          <w14:textFill>
            <w14:solidFill>
              <w14:schemeClr w14:val="tx1"/>
            </w14:solidFill>
          </w14:textFill>
        </w:rPr>
        <w:t>+</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3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③</w:t>
      </w:r>
      <w:r>
        <w:rPr>
          <w:snapToGrid w:val="0"/>
          <w:color w:val="000000" w:themeColor="text1"/>
          <w:spacing w:val="-6"/>
          <w:kern w:val="21"/>
          <w:szCs w:val="21"/>
          <w14:textFill>
            <w14:solidFill>
              <w14:schemeClr w14:val="tx1"/>
            </w14:solidFill>
          </w14:textFill>
        </w:rPr>
        <w:fldChar w:fldCharType="end"/>
      </w:r>
      <w:r>
        <w:rPr>
          <w:snapToGrid w:val="0"/>
          <w:color w:val="000000" w:themeColor="text1"/>
          <w:spacing w:val="-6"/>
          <w:kern w:val="21"/>
          <w:szCs w:val="21"/>
          <w14:textFill>
            <w14:solidFill>
              <w14:schemeClr w14:val="tx1"/>
            </w14:solidFill>
          </w14:textFill>
        </w:rPr>
        <w:t>+</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4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④</w:t>
      </w:r>
      <w:r>
        <w:rPr>
          <w:snapToGrid w:val="0"/>
          <w:color w:val="000000" w:themeColor="text1"/>
          <w:spacing w:val="-6"/>
          <w:kern w:val="21"/>
          <w:szCs w:val="21"/>
          <w14:textFill>
            <w14:solidFill>
              <w14:schemeClr w14:val="tx1"/>
            </w14:solidFill>
          </w14:textFill>
        </w:rPr>
        <w:fldChar w:fldCharType="end"/>
      </w:r>
      <w:r>
        <w:rPr>
          <w:snapToGrid w:val="0"/>
          <w:color w:val="000000" w:themeColor="text1"/>
          <w:spacing w:val="-6"/>
          <w:kern w:val="21"/>
          <w:szCs w:val="21"/>
          <w14:textFill>
            <w14:solidFill>
              <w14:schemeClr w14:val="tx1"/>
            </w14:solidFill>
          </w14:textFill>
        </w:rPr>
        <w:t>-</w:t>
      </w:r>
      <w:r>
        <w:rPr>
          <w:snapToGrid w:val="0"/>
          <w:color w:val="000000" w:themeColor="text1"/>
          <w:spacing w:val="-16"/>
          <w:kern w:val="21"/>
          <w:szCs w:val="21"/>
          <w14:textFill>
            <w14:solidFill>
              <w14:schemeClr w14:val="tx1"/>
            </w14:solidFill>
          </w14:textFill>
        </w:rPr>
        <w:fldChar w:fldCharType="begin"/>
      </w:r>
      <w:r>
        <w:rPr>
          <w:snapToGrid w:val="0"/>
          <w:color w:val="000000" w:themeColor="text1"/>
          <w:spacing w:val="-16"/>
          <w:kern w:val="21"/>
          <w:szCs w:val="21"/>
          <w14:textFill>
            <w14:solidFill>
              <w14:schemeClr w14:val="tx1"/>
            </w14:solidFill>
          </w14:textFill>
        </w:rPr>
        <w:instrText xml:space="preserve"> = 5 \* GB3 \* MERGEFORMAT </w:instrText>
      </w:r>
      <w:r>
        <w:rPr>
          <w:snapToGrid w:val="0"/>
          <w:color w:val="000000" w:themeColor="text1"/>
          <w:spacing w:val="-1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⑤</w:t>
      </w:r>
      <w:r>
        <w:rPr>
          <w:snapToGrid w:val="0"/>
          <w:color w:val="000000" w:themeColor="text1"/>
          <w:spacing w:val="-16"/>
          <w:kern w:val="21"/>
          <w:szCs w:val="21"/>
          <w14:textFill>
            <w14:solidFill>
              <w14:schemeClr w14:val="tx1"/>
            </w14:solidFill>
          </w14:textFill>
        </w:rPr>
        <w:fldChar w:fldCharType="end"/>
      </w:r>
      <w:r>
        <w:rPr>
          <w:snapToGrid w:val="0"/>
          <w:color w:val="000000" w:themeColor="text1"/>
          <w:spacing w:val="-16"/>
          <w:kern w:val="21"/>
          <w:szCs w:val="21"/>
          <w14:textFill>
            <w14:solidFill>
              <w14:schemeClr w14:val="tx1"/>
            </w14:solidFill>
          </w14:textFill>
        </w:rPr>
        <w:t>；</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7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⑦</w:t>
      </w:r>
      <w:r>
        <w:rPr>
          <w:snapToGrid w:val="0"/>
          <w:color w:val="000000" w:themeColor="text1"/>
          <w:spacing w:val="-6"/>
          <w:kern w:val="21"/>
          <w:szCs w:val="21"/>
          <w14:textFill>
            <w14:solidFill>
              <w14:schemeClr w14:val="tx1"/>
            </w14:solidFill>
          </w14:textFill>
        </w:rPr>
        <w:fldChar w:fldCharType="end"/>
      </w:r>
      <w:r>
        <w:rPr>
          <w:snapToGrid w:val="0"/>
          <w:color w:val="000000" w:themeColor="text1"/>
          <w:spacing w:val="-6"/>
          <w:kern w:val="21"/>
          <w:szCs w:val="21"/>
          <w14:textFill>
            <w14:solidFill>
              <w14:schemeClr w14:val="tx1"/>
            </w14:solidFill>
          </w14:textFill>
        </w:rPr>
        <w:t>=</w:t>
      </w:r>
      <w:r>
        <w:rPr>
          <w:snapToGrid w:val="0"/>
          <w:color w:val="000000" w:themeColor="text1"/>
          <w:spacing w:val="-16"/>
          <w:kern w:val="21"/>
          <w:szCs w:val="21"/>
          <w14:textFill>
            <w14:solidFill>
              <w14:schemeClr w14:val="tx1"/>
            </w14:solidFill>
          </w14:textFill>
        </w:rPr>
        <w:fldChar w:fldCharType="begin"/>
      </w:r>
      <w:r>
        <w:rPr>
          <w:snapToGrid w:val="0"/>
          <w:color w:val="000000" w:themeColor="text1"/>
          <w:spacing w:val="-16"/>
          <w:kern w:val="21"/>
          <w:szCs w:val="21"/>
          <w14:textFill>
            <w14:solidFill>
              <w14:schemeClr w14:val="tx1"/>
            </w14:solidFill>
          </w14:textFill>
        </w:rPr>
        <w:instrText xml:space="preserve"> = 6 \* GB3 \* MERGEFORMAT </w:instrText>
      </w:r>
      <w:r>
        <w:rPr>
          <w:snapToGrid w:val="0"/>
          <w:color w:val="000000" w:themeColor="text1"/>
          <w:spacing w:val="-1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⑥</w:t>
      </w:r>
      <w:r>
        <w:rPr>
          <w:snapToGrid w:val="0"/>
          <w:color w:val="000000" w:themeColor="text1"/>
          <w:spacing w:val="-16"/>
          <w:kern w:val="21"/>
          <w:szCs w:val="21"/>
          <w14:textFill>
            <w14:solidFill>
              <w14:schemeClr w14:val="tx1"/>
            </w14:solidFill>
          </w14:textFill>
        </w:rPr>
        <w:fldChar w:fldCharType="end"/>
      </w:r>
      <w:r>
        <w:rPr>
          <w:snapToGrid w:val="0"/>
          <w:color w:val="000000" w:themeColor="text1"/>
          <w:spacing w:val="-16"/>
          <w:kern w:val="21"/>
          <w:szCs w:val="21"/>
          <w14:textFill>
            <w14:solidFill>
              <w14:schemeClr w14:val="tx1"/>
            </w14:solidFill>
          </w14:textFill>
        </w:rPr>
        <w:t>-</w:t>
      </w:r>
      <w:r>
        <w:rPr>
          <w:snapToGrid w:val="0"/>
          <w:color w:val="000000" w:themeColor="text1"/>
          <w:spacing w:val="-6"/>
          <w:kern w:val="21"/>
          <w:szCs w:val="21"/>
          <w14:textFill>
            <w14:solidFill>
              <w14:schemeClr w14:val="tx1"/>
            </w14:solidFill>
          </w14:textFill>
        </w:rPr>
        <w:fldChar w:fldCharType="begin"/>
      </w:r>
      <w:r>
        <w:rPr>
          <w:snapToGrid w:val="0"/>
          <w:color w:val="000000" w:themeColor="text1"/>
          <w:spacing w:val="-6"/>
          <w:kern w:val="21"/>
          <w:szCs w:val="21"/>
          <w14:textFill>
            <w14:solidFill>
              <w14:schemeClr w14:val="tx1"/>
            </w14:solidFill>
          </w14:textFill>
        </w:rPr>
        <w:instrText xml:space="preserve"> = 1 \* GB3 \* MERGEFORMAT </w:instrText>
      </w:r>
      <w:r>
        <w:rPr>
          <w:snapToGrid w:val="0"/>
          <w:color w:val="000000" w:themeColor="text1"/>
          <w:spacing w:val="-6"/>
          <w:kern w:val="21"/>
          <w:szCs w:val="21"/>
          <w14:textFill>
            <w14:solidFill>
              <w14:schemeClr w14:val="tx1"/>
            </w14:solidFill>
          </w14:textFill>
        </w:rPr>
        <w:fldChar w:fldCharType="separate"/>
      </w:r>
      <w:r>
        <w:rPr>
          <w:color w:val="000000" w:themeColor="text1"/>
          <w:kern w:val="0"/>
          <w:szCs w:val="21"/>
          <w14:textFill>
            <w14:solidFill>
              <w14:schemeClr w14:val="tx1"/>
            </w14:solidFill>
          </w14:textFill>
        </w:rPr>
        <w:t>①</w:t>
      </w:r>
      <w:r>
        <w:rPr>
          <w:snapToGrid w:val="0"/>
          <w:color w:val="000000" w:themeColor="text1"/>
          <w:spacing w:val="-6"/>
          <w:kern w:val="21"/>
          <w:szCs w:val="21"/>
          <w14:textFill>
            <w14:solidFill>
              <w14:schemeClr w14:val="tx1"/>
            </w14:solidFill>
          </w14:textFill>
        </w:rPr>
        <w:fldChar w:fldCharType="end"/>
      </w:r>
      <w:bookmarkEnd w:id="15"/>
      <w:bookmarkEnd w:id="16"/>
    </w:p>
    <w:p>
      <w:pPr>
        <w:rPr>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224" w:hRule="atLeast"/>
          <w:jc w:val="center"/>
        </w:trPr>
        <w:tc>
          <w:tcPr>
            <w:tcW w:w="8844" w:type="dxa"/>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预审意见：</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公  章</w:t>
            </w:r>
          </w:p>
          <w:p>
            <w:pPr>
              <w:ind w:firstLine="480" w:firstLineChars="200"/>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经办人：          审核人：           签发人：           年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849" w:hRule="atLeast"/>
          <w:jc w:val="center"/>
        </w:trPr>
        <w:tc>
          <w:tcPr>
            <w:tcW w:w="8844" w:type="dxa"/>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下一级环境保护行政主管部门审查意见：</w:t>
            </w: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公  章</w:t>
            </w:r>
          </w:p>
          <w:p>
            <w:pPr>
              <w:ind w:firstLine="480" w:firstLineChars="200"/>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经办人：          审核人：           签发人：           年   月   日</w:t>
            </w:r>
          </w:p>
        </w:tc>
      </w:tr>
    </w:tbl>
    <w:p>
      <w:pPr>
        <w:pStyle w:val="8"/>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3" w:hRule="atLeast"/>
          <w:jc w:val="center"/>
        </w:trPr>
        <w:tc>
          <w:tcPr>
            <w:tcW w:w="8844" w:type="dxa"/>
          </w:tcPr>
          <w:p>
            <w:pPr>
              <w:pStyle w:val="44"/>
              <w:spacing w:before="249" w:beforeLines="80" w:after="31"/>
              <w:rPr>
                <w:rFonts w:ascii="Times New Roman"/>
                <w:b/>
                <w:snapToGrid w:val="0"/>
                <w:color w:val="000000" w:themeColor="text1"/>
                <w:spacing w:val="-6"/>
                <w:kern w:val="21"/>
                <w:sz w:val="24"/>
                <w:szCs w:val="24"/>
                <w14:textFill>
                  <w14:solidFill>
                    <w14:schemeClr w14:val="tx1"/>
                  </w14:solidFill>
                </w14:textFill>
              </w:rPr>
            </w:pPr>
            <w:r>
              <w:rPr>
                <w:rFonts w:ascii="Times New Roman"/>
                <w:b/>
                <w:snapToGrid w:val="0"/>
                <w:color w:val="000000" w:themeColor="text1"/>
                <w:spacing w:val="-6"/>
                <w:kern w:val="21"/>
                <w:sz w:val="24"/>
                <w:szCs w:val="24"/>
                <w14:textFill>
                  <w14:solidFill>
                    <w14:schemeClr w14:val="tx1"/>
                  </w14:solidFill>
                </w14:textFill>
              </w:rPr>
              <w:t>注释</w:t>
            </w:r>
          </w:p>
          <w:p>
            <w:pPr>
              <w:adjustRightInd w:val="0"/>
              <w:snapToGrid w:val="0"/>
              <w:spacing w:line="360" w:lineRule="auto"/>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一、本报告应附以下附件、附图：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1、附件</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附件1 </w:t>
            </w:r>
            <w:r>
              <w:rPr>
                <w:rFonts w:hint="eastAsia"/>
                <w:color w:val="000000" w:themeColor="text1"/>
                <w:kern w:val="0"/>
                <w:sz w:val="24"/>
                <w14:textFill>
                  <w14:solidFill>
                    <w14:schemeClr w14:val="tx1"/>
                  </w14:solidFill>
                </w14:textFill>
              </w:rPr>
              <w:t>环评合同</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附件2 江苏省投资项目备案证</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营业执照及法人身份证复印件</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附件3 租赁合同</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附件4 </w:t>
            </w:r>
            <w:r>
              <w:rPr>
                <w:rFonts w:hint="eastAsia"/>
                <w:color w:val="000000" w:themeColor="text1"/>
                <w:kern w:val="0"/>
                <w:sz w:val="24"/>
                <w14:textFill>
                  <w14:solidFill>
                    <w14:schemeClr w14:val="tx1"/>
                  </w14:solidFill>
                </w14:textFill>
              </w:rPr>
              <w:t>土地证</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附件5 建设单位承诺书</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附件6 审批申请表</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附件7 审批承诺函</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附件8 委托函</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附件9 现场踏勘照片</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附件10 关于《</w:t>
            </w:r>
            <w:r>
              <w:rPr>
                <w:color w:val="000000" w:themeColor="text1"/>
                <w:kern w:val="0"/>
                <w:sz w:val="24"/>
                <w:lang w:val="zh-CN"/>
                <w14:textFill>
                  <w14:solidFill>
                    <w14:schemeClr w14:val="tx1"/>
                  </w14:solidFill>
                </w14:textFill>
              </w:rPr>
              <w:t>江苏泰州海陵工业园区（市级园区）开发建设规划（2021-2035）环境影响报告书</w:t>
            </w:r>
            <w:r>
              <w:rPr>
                <w:color w:val="000000" w:themeColor="text1"/>
                <w:kern w:val="0"/>
                <w:sz w:val="24"/>
                <w14:textFill>
                  <w14:solidFill>
                    <w14:schemeClr w14:val="tx1"/>
                  </w14:solidFill>
                </w14:textFill>
              </w:rPr>
              <w:t>》的审查意见</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附件11 公示截图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附件12 酚醛树脂MSDS</w:t>
            </w:r>
          </w:p>
          <w:p>
            <w:pPr>
              <w:adjustRightInd w:val="0"/>
              <w:snapToGrid w:val="0"/>
              <w:spacing w:line="360" w:lineRule="auto"/>
              <w:ind w:firstLine="480" w:firstLineChars="200"/>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附件13 监测报告</w:t>
            </w:r>
          </w:p>
          <w:p>
            <w:pPr>
              <w:adjustRightInd w:val="0"/>
              <w:snapToGrid w:val="0"/>
              <w:spacing w:line="360" w:lineRule="auto"/>
              <w:ind w:firstLine="480" w:firstLineChars="200"/>
              <w:rPr>
                <w:rFonts w:hint="default" w:eastAsia="宋体"/>
                <w:color w:val="000000" w:themeColor="text1"/>
                <w:kern w:val="0"/>
                <w:sz w:val="24"/>
                <w:lang w:val="en-US"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附件14 产能及原辅料、设备确认函</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2、附图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附图1 地理位置图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附图2 </w:t>
            </w:r>
            <w:r>
              <w:rPr>
                <w:rFonts w:hint="eastAsia"/>
                <w:color w:val="000000" w:themeColor="text1"/>
                <w:kern w:val="0"/>
                <w:sz w:val="24"/>
                <w14:textFill>
                  <w14:solidFill>
                    <w14:schemeClr w14:val="tx1"/>
                  </w14:solidFill>
                </w14:textFill>
              </w:rPr>
              <w:t>大气环境目标保护图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附图3 厂区平面布置图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附图4 项目与生态区域位置关系图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附图5 土地利用规划图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附图6 项目与泰州市“三区三线”位置关系图</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附图7 大气环境目标保护图</w:t>
            </w:r>
          </w:p>
          <w:p>
            <w:pPr>
              <w:rPr>
                <w:color w:val="000000" w:themeColor="text1"/>
                <w:kern w:val="0"/>
                <w:sz w:val="24"/>
                <w14:textFill>
                  <w14:solidFill>
                    <w14:schemeClr w14:val="tx1"/>
                  </w14:solidFill>
                </w14:textFill>
              </w:rPr>
            </w:pPr>
          </w:p>
          <w:p>
            <w:pPr>
              <w:pStyle w:val="8"/>
              <w:rPr>
                <w:color w:val="000000" w:themeColor="text1"/>
                <w:sz w:val="24"/>
                <w14:textFill>
                  <w14:solidFill>
                    <w14:schemeClr w14:val="tx1"/>
                  </w14:solidFill>
                </w14:textFill>
              </w:rPr>
            </w:pPr>
          </w:p>
          <w:p>
            <w:pPr>
              <w:pStyle w:val="8"/>
              <w:rPr>
                <w:color w:val="000000" w:themeColor="text1"/>
                <w14:textFill>
                  <w14:solidFill>
                    <w14:schemeClr w14:val="tx1"/>
                  </w14:solidFill>
                </w14:textFill>
              </w:rPr>
            </w:pP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06CCE"/>
    <w:multiLevelType w:val="singleLevel"/>
    <w:tmpl w:val="8EC06CCE"/>
    <w:lvl w:ilvl="0" w:tentative="0">
      <w:start w:val="1"/>
      <w:numFmt w:val="decimal"/>
      <w:suff w:val="nothing"/>
      <w:lvlText w:val="%1、"/>
      <w:lvlJc w:val="left"/>
    </w:lvl>
  </w:abstractNum>
  <w:abstractNum w:abstractNumId="1">
    <w:nsid w:val="90C6009F"/>
    <w:multiLevelType w:val="singleLevel"/>
    <w:tmpl w:val="90C6009F"/>
    <w:lvl w:ilvl="0" w:tentative="0">
      <w:start w:val="1"/>
      <w:numFmt w:val="bullet"/>
      <w:pStyle w:val="9"/>
      <w:lvlText w:val=""/>
      <w:lvlJc w:val="left"/>
      <w:pPr>
        <w:tabs>
          <w:tab w:val="left" w:pos="2040"/>
        </w:tabs>
        <w:ind w:left="2040" w:hanging="360"/>
      </w:pPr>
      <w:rPr>
        <w:rFonts w:hint="default" w:ascii="Wingdings" w:hAnsi="Wingdings"/>
      </w:rPr>
    </w:lvl>
  </w:abstractNum>
  <w:abstractNum w:abstractNumId="2">
    <w:nsid w:val="DB4930A6"/>
    <w:multiLevelType w:val="multilevel"/>
    <w:tmpl w:val="DB4930A6"/>
    <w:lvl w:ilvl="0" w:tentative="0">
      <w:start w:val="1"/>
      <w:numFmt w:val="decimal"/>
      <w:suff w:val="space"/>
      <w:lvlText w:val="第%1章"/>
      <w:lvlJc w:val="left"/>
      <w:pPr>
        <w:ind w:left="0" w:firstLine="0"/>
      </w:pPr>
      <w:rPr>
        <w:rFonts w:hint="eastAsia"/>
      </w:rPr>
    </w:lvl>
    <w:lvl w:ilvl="1" w:tentative="0">
      <w:start w:val="1"/>
      <w:numFmt w:val="decimal"/>
      <w:pStyle w:val="3"/>
      <w:suff w:val="space"/>
      <w:lvlText w:val="%1.%2"/>
      <w:lvlJc w:val="left"/>
      <w:pPr>
        <w:ind w:left="0" w:firstLine="0"/>
      </w:pPr>
      <w:rPr>
        <w:rFonts w:hint="default"/>
        <w:b/>
        <w:sz w:val="32"/>
        <w:szCs w:val="32"/>
      </w:rPr>
    </w:lvl>
    <w:lvl w:ilvl="2" w:tentative="0">
      <w:start w:val="1"/>
      <w:numFmt w:val="decimal"/>
      <w:suff w:val="space"/>
      <w:lvlText w:val="%1.%2.%3"/>
      <w:lvlJc w:val="left"/>
      <w:pPr>
        <w:ind w:left="20" w:firstLine="0"/>
      </w:pPr>
      <w:rPr>
        <w:rFonts w:hint="eastAsia"/>
      </w:rPr>
    </w:lvl>
    <w:lvl w:ilvl="3" w:tentative="0">
      <w:start w:val="1"/>
      <w:numFmt w:val="decimal"/>
      <w:suff w:val="space"/>
      <w:lvlText w:val="（%4）"/>
      <w:lvlJc w:val="left"/>
      <w:pPr>
        <w:ind w:left="3118"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6D1129C6"/>
    <w:multiLevelType w:val="singleLevel"/>
    <w:tmpl w:val="6D1129C6"/>
    <w:lvl w:ilvl="0" w:tentative="0">
      <w:start w:val="2"/>
      <w:numFmt w:val="decimal"/>
      <w:lvlText w:val="(%1)"/>
      <w:lvlJc w:val="left"/>
      <w:pPr>
        <w:tabs>
          <w:tab w:val="left" w:pos="312"/>
        </w:tabs>
      </w:pPr>
    </w:lvl>
  </w:abstractNum>
  <w:abstractNum w:abstractNumId="4">
    <w:nsid w:val="6F536322"/>
    <w:multiLevelType w:val="singleLevel"/>
    <w:tmpl w:val="6F536322"/>
    <w:lvl w:ilvl="0" w:tentative="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OWJjYzhiODE4Yzk4NGVjMDRhZDBmNGRhNDJjOGYifQ=="/>
  </w:docVars>
  <w:rsids>
    <w:rsidRoot w:val="00172A27"/>
    <w:rsid w:val="001346D6"/>
    <w:rsid w:val="00172A27"/>
    <w:rsid w:val="00213CF6"/>
    <w:rsid w:val="00294687"/>
    <w:rsid w:val="00616F17"/>
    <w:rsid w:val="00635810"/>
    <w:rsid w:val="00884FE1"/>
    <w:rsid w:val="01362291"/>
    <w:rsid w:val="01CF010D"/>
    <w:rsid w:val="020C008E"/>
    <w:rsid w:val="021A6C4F"/>
    <w:rsid w:val="02497534"/>
    <w:rsid w:val="02A86C87"/>
    <w:rsid w:val="02AB5AF9"/>
    <w:rsid w:val="03681621"/>
    <w:rsid w:val="03B46353"/>
    <w:rsid w:val="03B552F7"/>
    <w:rsid w:val="041C1499"/>
    <w:rsid w:val="04CB4231"/>
    <w:rsid w:val="052102F4"/>
    <w:rsid w:val="05B2719F"/>
    <w:rsid w:val="063C551A"/>
    <w:rsid w:val="07300CC3"/>
    <w:rsid w:val="07342561"/>
    <w:rsid w:val="0808754A"/>
    <w:rsid w:val="08123E8A"/>
    <w:rsid w:val="08435D9E"/>
    <w:rsid w:val="092263E9"/>
    <w:rsid w:val="09420839"/>
    <w:rsid w:val="099948FD"/>
    <w:rsid w:val="0A4D2BF6"/>
    <w:rsid w:val="0AA479FE"/>
    <w:rsid w:val="0B24469B"/>
    <w:rsid w:val="0C0369A6"/>
    <w:rsid w:val="0C706164"/>
    <w:rsid w:val="0D4E3C51"/>
    <w:rsid w:val="0DAD0977"/>
    <w:rsid w:val="0DE04CD0"/>
    <w:rsid w:val="0E075F68"/>
    <w:rsid w:val="0EE3661B"/>
    <w:rsid w:val="0F167E4F"/>
    <w:rsid w:val="107D28CA"/>
    <w:rsid w:val="10946843"/>
    <w:rsid w:val="11951E4E"/>
    <w:rsid w:val="11B147AE"/>
    <w:rsid w:val="12437483"/>
    <w:rsid w:val="12633005"/>
    <w:rsid w:val="12CB18A0"/>
    <w:rsid w:val="12F47048"/>
    <w:rsid w:val="13051255"/>
    <w:rsid w:val="1413629C"/>
    <w:rsid w:val="143A6726"/>
    <w:rsid w:val="1460611B"/>
    <w:rsid w:val="1492341C"/>
    <w:rsid w:val="14F10A93"/>
    <w:rsid w:val="15176632"/>
    <w:rsid w:val="152F4368"/>
    <w:rsid w:val="15A563D8"/>
    <w:rsid w:val="15BD5E17"/>
    <w:rsid w:val="15D15A3A"/>
    <w:rsid w:val="15F754DC"/>
    <w:rsid w:val="16142BF1"/>
    <w:rsid w:val="16273291"/>
    <w:rsid w:val="171F61B2"/>
    <w:rsid w:val="17CF3BE0"/>
    <w:rsid w:val="1800023D"/>
    <w:rsid w:val="184F64C0"/>
    <w:rsid w:val="18A46A59"/>
    <w:rsid w:val="18FC6C57"/>
    <w:rsid w:val="19C21C4E"/>
    <w:rsid w:val="1A542891"/>
    <w:rsid w:val="1A83746A"/>
    <w:rsid w:val="1A903AFB"/>
    <w:rsid w:val="1A912881"/>
    <w:rsid w:val="1ABD5F72"/>
    <w:rsid w:val="1B067919"/>
    <w:rsid w:val="1B34092A"/>
    <w:rsid w:val="1B5A59F0"/>
    <w:rsid w:val="1B5B127F"/>
    <w:rsid w:val="1D3823D4"/>
    <w:rsid w:val="1DAF4298"/>
    <w:rsid w:val="1E25455A"/>
    <w:rsid w:val="1E465402"/>
    <w:rsid w:val="1EB15DEE"/>
    <w:rsid w:val="1F2B2044"/>
    <w:rsid w:val="1F360E3E"/>
    <w:rsid w:val="1F4B6242"/>
    <w:rsid w:val="1FD2088D"/>
    <w:rsid w:val="201560AF"/>
    <w:rsid w:val="204903BE"/>
    <w:rsid w:val="20EF7097"/>
    <w:rsid w:val="20F52909"/>
    <w:rsid w:val="217D645B"/>
    <w:rsid w:val="21AA1B83"/>
    <w:rsid w:val="21EB1616"/>
    <w:rsid w:val="22525B39"/>
    <w:rsid w:val="237422B9"/>
    <w:rsid w:val="241906BD"/>
    <w:rsid w:val="247E49C4"/>
    <w:rsid w:val="24EC5DD1"/>
    <w:rsid w:val="253F05F7"/>
    <w:rsid w:val="25545725"/>
    <w:rsid w:val="261426C5"/>
    <w:rsid w:val="26927B1B"/>
    <w:rsid w:val="269E134D"/>
    <w:rsid w:val="271B0BF0"/>
    <w:rsid w:val="274719E5"/>
    <w:rsid w:val="27800A53"/>
    <w:rsid w:val="28793E20"/>
    <w:rsid w:val="28A2018E"/>
    <w:rsid w:val="28F16D27"/>
    <w:rsid w:val="29385A89"/>
    <w:rsid w:val="29CD4916"/>
    <w:rsid w:val="29E614B4"/>
    <w:rsid w:val="2A6860CE"/>
    <w:rsid w:val="2A96083F"/>
    <w:rsid w:val="2ABF1892"/>
    <w:rsid w:val="2AC05EBC"/>
    <w:rsid w:val="2AD22E02"/>
    <w:rsid w:val="2AF92FF6"/>
    <w:rsid w:val="2BD575BF"/>
    <w:rsid w:val="2D306A77"/>
    <w:rsid w:val="2D435ED3"/>
    <w:rsid w:val="2EF16493"/>
    <w:rsid w:val="2FA21EAE"/>
    <w:rsid w:val="304940D8"/>
    <w:rsid w:val="31175F84"/>
    <w:rsid w:val="31280191"/>
    <w:rsid w:val="3148336F"/>
    <w:rsid w:val="320F75A3"/>
    <w:rsid w:val="323668DE"/>
    <w:rsid w:val="32C263F9"/>
    <w:rsid w:val="33525999"/>
    <w:rsid w:val="33B65C7D"/>
    <w:rsid w:val="33D44A17"/>
    <w:rsid w:val="345968B4"/>
    <w:rsid w:val="34E40873"/>
    <w:rsid w:val="35764280"/>
    <w:rsid w:val="360F36CE"/>
    <w:rsid w:val="362A1C0B"/>
    <w:rsid w:val="367B3FC7"/>
    <w:rsid w:val="368525D6"/>
    <w:rsid w:val="373E6FB2"/>
    <w:rsid w:val="38A9631F"/>
    <w:rsid w:val="38DA0C96"/>
    <w:rsid w:val="38EF4370"/>
    <w:rsid w:val="391E1E7A"/>
    <w:rsid w:val="392E47B3"/>
    <w:rsid w:val="39A700C1"/>
    <w:rsid w:val="39F07CBA"/>
    <w:rsid w:val="39FD5F33"/>
    <w:rsid w:val="3A0E1EEE"/>
    <w:rsid w:val="3A850402"/>
    <w:rsid w:val="3B6A75F8"/>
    <w:rsid w:val="3B7566C9"/>
    <w:rsid w:val="3BAA664E"/>
    <w:rsid w:val="3C463BC1"/>
    <w:rsid w:val="3D9A41C5"/>
    <w:rsid w:val="3DB01D85"/>
    <w:rsid w:val="3E644487"/>
    <w:rsid w:val="3E686071"/>
    <w:rsid w:val="3EB75121"/>
    <w:rsid w:val="3F6C7EC6"/>
    <w:rsid w:val="3FB157F6"/>
    <w:rsid w:val="3FC45529"/>
    <w:rsid w:val="3FFFE007"/>
    <w:rsid w:val="402406BD"/>
    <w:rsid w:val="4024421A"/>
    <w:rsid w:val="41260850"/>
    <w:rsid w:val="41F8770C"/>
    <w:rsid w:val="428F7D3E"/>
    <w:rsid w:val="435A3EC5"/>
    <w:rsid w:val="43707776"/>
    <w:rsid w:val="4453331F"/>
    <w:rsid w:val="44576BD5"/>
    <w:rsid w:val="449D459A"/>
    <w:rsid w:val="46517D32"/>
    <w:rsid w:val="46880187"/>
    <w:rsid w:val="46D52711"/>
    <w:rsid w:val="46DB4ED9"/>
    <w:rsid w:val="470152B5"/>
    <w:rsid w:val="47E726FC"/>
    <w:rsid w:val="482E032B"/>
    <w:rsid w:val="4839282C"/>
    <w:rsid w:val="48C26CC5"/>
    <w:rsid w:val="48DD3AFF"/>
    <w:rsid w:val="48F86677"/>
    <w:rsid w:val="49865F45"/>
    <w:rsid w:val="4988035F"/>
    <w:rsid w:val="4A121587"/>
    <w:rsid w:val="4A1C41B3"/>
    <w:rsid w:val="4A9A1CA8"/>
    <w:rsid w:val="4B6D2F19"/>
    <w:rsid w:val="4B944949"/>
    <w:rsid w:val="4C0A0767"/>
    <w:rsid w:val="4C404189"/>
    <w:rsid w:val="4C72630D"/>
    <w:rsid w:val="4CBC7F59"/>
    <w:rsid w:val="4D8D58E6"/>
    <w:rsid w:val="4DB57B01"/>
    <w:rsid w:val="4E0D453F"/>
    <w:rsid w:val="4E151645"/>
    <w:rsid w:val="4E742BD3"/>
    <w:rsid w:val="505B36D3"/>
    <w:rsid w:val="508D3EE8"/>
    <w:rsid w:val="51EC090F"/>
    <w:rsid w:val="52C113F5"/>
    <w:rsid w:val="52C13B4A"/>
    <w:rsid w:val="53F046E7"/>
    <w:rsid w:val="54106507"/>
    <w:rsid w:val="541F6D7A"/>
    <w:rsid w:val="54600AF5"/>
    <w:rsid w:val="549A28A4"/>
    <w:rsid w:val="56257BE9"/>
    <w:rsid w:val="567809C3"/>
    <w:rsid w:val="57014382"/>
    <w:rsid w:val="57376AD1"/>
    <w:rsid w:val="57F347A6"/>
    <w:rsid w:val="586A0242"/>
    <w:rsid w:val="58D00F8B"/>
    <w:rsid w:val="59301A29"/>
    <w:rsid w:val="59594ADC"/>
    <w:rsid w:val="5A0C7DA1"/>
    <w:rsid w:val="5A266559"/>
    <w:rsid w:val="5B8147BE"/>
    <w:rsid w:val="5BCC3C8B"/>
    <w:rsid w:val="5BCD448E"/>
    <w:rsid w:val="5BE54D4D"/>
    <w:rsid w:val="5C3E7375"/>
    <w:rsid w:val="5C4A34F9"/>
    <w:rsid w:val="5D3715D8"/>
    <w:rsid w:val="5D5A15C2"/>
    <w:rsid w:val="5DA16A52"/>
    <w:rsid w:val="5E583050"/>
    <w:rsid w:val="5E7856CD"/>
    <w:rsid w:val="5EC43461"/>
    <w:rsid w:val="5F2C6AB4"/>
    <w:rsid w:val="5F8328B3"/>
    <w:rsid w:val="609805E0"/>
    <w:rsid w:val="60F041D8"/>
    <w:rsid w:val="61446C03"/>
    <w:rsid w:val="6151253D"/>
    <w:rsid w:val="61CB22EF"/>
    <w:rsid w:val="61DE6636"/>
    <w:rsid w:val="62374B9A"/>
    <w:rsid w:val="639F2CC3"/>
    <w:rsid w:val="63A177AC"/>
    <w:rsid w:val="64343D1A"/>
    <w:rsid w:val="644A3F19"/>
    <w:rsid w:val="64EC7F2A"/>
    <w:rsid w:val="65476131"/>
    <w:rsid w:val="65962C14"/>
    <w:rsid w:val="664A51A0"/>
    <w:rsid w:val="66D9725C"/>
    <w:rsid w:val="66E04E56"/>
    <w:rsid w:val="66E1463B"/>
    <w:rsid w:val="675A7DD1"/>
    <w:rsid w:val="676A1A68"/>
    <w:rsid w:val="68012603"/>
    <w:rsid w:val="68513114"/>
    <w:rsid w:val="685E210F"/>
    <w:rsid w:val="68B054A3"/>
    <w:rsid w:val="69260BD5"/>
    <w:rsid w:val="699B6A4B"/>
    <w:rsid w:val="69BD6509"/>
    <w:rsid w:val="69E14A37"/>
    <w:rsid w:val="6A38552B"/>
    <w:rsid w:val="6B282560"/>
    <w:rsid w:val="6B884F58"/>
    <w:rsid w:val="6BBF2EC5"/>
    <w:rsid w:val="6C051C8E"/>
    <w:rsid w:val="6CAB51F7"/>
    <w:rsid w:val="6CE33832"/>
    <w:rsid w:val="6CF90658"/>
    <w:rsid w:val="6D033285"/>
    <w:rsid w:val="6DA5433C"/>
    <w:rsid w:val="6E4C47B8"/>
    <w:rsid w:val="6F2358B4"/>
    <w:rsid w:val="6F357DC6"/>
    <w:rsid w:val="6F675D4D"/>
    <w:rsid w:val="6F6B4F52"/>
    <w:rsid w:val="6FAF14A2"/>
    <w:rsid w:val="7055204A"/>
    <w:rsid w:val="70822713"/>
    <w:rsid w:val="714E0847"/>
    <w:rsid w:val="71FE7EC8"/>
    <w:rsid w:val="7289422C"/>
    <w:rsid w:val="728E35F1"/>
    <w:rsid w:val="72D77675"/>
    <w:rsid w:val="74361EB5"/>
    <w:rsid w:val="74AE1D6B"/>
    <w:rsid w:val="74DD43BC"/>
    <w:rsid w:val="76D35A76"/>
    <w:rsid w:val="76E03616"/>
    <w:rsid w:val="77222601"/>
    <w:rsid w:val="772269FE"/>
    <w:rsid w:val="774626EC"/>
    <w:rsid w:val="774B7D02"/>
    <w:rsid w:val="775C1F10"/>
    <w:rsid w:val="77B77146"/>
    <w:rsid w:val="77DE0B76"/>
    <w:rsid w:val="78434E7D"/>
    <w:rsid w:val="78963DFF"/>
    <w:rsid w:val="78A551F0"/>
    <w:rsid w:val="790A14F7"/>
    <w:rsid w:val="79272E0F"/>
    <w:rsid w:val="79D51B05"/>
    <w:rsid w:val="7A187C44"/>
    <w:rsid w:val="7A590988"/>
    <w:rsid w:val="7A6D5DA4"/>
    <w:rsid w:val="7C72188D"/>
    <w:rsid w:val="7C7D6CD8"/>
    <w:rsid w:val="7CAD0B17"/>
    <w:rsid w:val="7CB119FC"/>
    <w:rsid w:val="7CC320E9"/>
    <w:rsid w:val="7D711B45"/>
    <w:rsid w:val="7D8E40D5"/>
    <w:rsid w:val="7DAF266D"/>
    <w:rsid w:val="7DB83C18"/>
    <w:rsid w:val="7DF32EA2"/>
    <w:rsid w:val="7E8D3F7C"/>
    <w:rsid w:val="7EE23C40"/>
    <w:rsid w:val="7F66397B"/>
    <w:rsid w:val="7F9932C1"/>
    <w:rsid w:val="7FCF48EB"/>
    <w:rsid w:val="BBDFB529"/>
    <w:rsid w:val="FDCD645F"/>
    <w:rsid w:val="FFFF7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napToGrid w:val="0"/>
      <w:spacing w:before="50" w:beforeLines="50" w:after="50" w:afterLines="50"/>
      <w:jc w:val="left"/>
      <w:outlineLvl w:val="0"/>
    </w:pPr>
    <w:rPr>
      <w:b/>
      <w:bCs/>
      <w:kern w:val="44"/>
      <w:sz w:val="44"/>
      <w:szCs w:val="44"/>
    </w:rPr>
  </w:style>
  <w:style w:type="paragraph" w:styleId="3">
    <w:name w:val="heading 2"/>
    <w:basedOn w:val="1"/>
    <w:next w:val="1"/>
    <w:autoRedefine/>
    <w:semiHidden/>
    <w:unhideWhenUsed/>
    <w:qFormat/>
    <w:uiPriority w:val="0"/>
    <w:pPr>
      <w:keepNext/>
      <w:keepLines/>
      <w:numPr>
        <w:ilvl w:val="1"/>
        <w:numId w:val="1"/>
      </w:numPr>
      <w:spacing w:before="120" w:after="120"/>
      <w:outlineLvl w:val="1"/>
    </w:pPr>
    <w:rPr>
      <w:rFonts w:eastAsia="Times New Roman" w:cstheme="majorBidi"/>
      <w:b/>
      <w:bCs/>
      <w:sz w:val="22"/>
      <w:szCs w:val="32"/>
      <w:lang w:eastAsia="en-US"/>
    </w:rPr>
  </w:style>
  <w:style w:type="paragraph" w:styleId="4">
    <w:name w:val="heading 3"/>
    <w:basedOn w:val="1"/>
    <w:next w:val="1"/>
    <w:autoRedefine/>
    <w:semiHidden/>
    <w:unhideWhenUsed/>
    <w:qFormat/>
    <w:uiPriority w:val="0"/>
    <w:pPr>
      <w:spacing w:beforeAutospacing="1" w:afterAutospacing="1"/>
      <w:jc w:val="left"/>
      <w:outlineLvl w:val="2"/>
    </w:pPr>
    <w:rPr>
      <w:rFonts w:hint="eastAsia" w:ascii="宋体" w:hAnsi="宋体"/>
      <w:b/>
      <w:bCs/>
      <w:kern w:val="0"/>
      <w:sz w:val="27"/>
      <w:szCs w:val="27"/>
    </w:rPr>
  </w:style>
  <w:style w:type="paragraph" w:styleId="5">
    <w:name w:val="heading 4"/>
    <w:basedOn w:val="1"/>
    <w:next w:val="1"/>
    <w:autoRedefine/>
    <w:semiHidden/>
    <w:unhideWhenUsed/>
    <w:qFormat/>
    <w:uiPriority w:val="0"/>
    <w:pPr>
      <w:keepNext/>
      <w:keepLines/>
      <w:outlineLvl w:val="3"/>
    </w:pPr>
    <w:rPr>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adjustRightInd w:val="0"/>
      <w:spacing w:line="312" w:lineRule="atLeast"/>
      <w:ind w:firstLine="420"/>
      <w:textAlignment w:val="baseline"/>
    </w:pPr>
    <w:rPr>
      <w:rFonts w:ascii="宋体" w:hAnsi="Courier New"/>
      <w:kern w:val="0"/>
      <w:szCs w:val="20"/>
    </w:rPr>
  </w:style>
  <w:style w:type="paragraph" w:styleId="7">
    <w:name w:val="annotation text"/>
    <w:basedOn w:val="1"/>
    <w:autoRedefine/>
    <w:qFormat/>
    <w:uiPriority w:val="0"/>
    <w:pPr>
      <w:jc w:val="left"/>
    </w:pPr>
  </w:style>
  <w:style w:type="paragraph" w:styleId="8">
    <w:name w:val="Body Text"/>
    <w:basedOn w:val="1"/>
    <w:next w:val="9"/>
    <w:autoRedefine/>
    <w:qFormat/>
    <w:uiPriority w:val="0"/>
    <w:pPr>
      <w:widowControl/>
      <w:snapToGrid w:val="0"/>
      <w:spacing w:before="60" w:after="160" w:line="259" w:lineRule="auto"/>
      <w:ind w:right="113"/>
    </w:pPr>
    <w:rPr>
      <w:kern w:val="0"/>
      <w:sz w:val="18"/>
      <w:szCs w:val="20"/>
    </w:rPr>
  </w:style>
  <w:style w:type="paragraph" w:styleId="9">
    <w:name w:val="List Bullet 5"/>
    <w:basedOn w:val="1"/>
    <w:autoRedefine/>
    <w:qFormat/>
    <w:uiPriority w:val="0"/>
    <w:pPr>
      <w:numPr>
        <w:ilvl w:val="0"/>
        <w:numId w:val="2"/>
      </w:numPr>
    </w:pPr>
  </w:style>
  <w:style w:type="paragraph" w:styleId="10">
    <w:name w:val="Body Text Indent"/>
    <w:basedOn w:val="1"/>
    <w:next w:val="1"/>
    <w:autoRedefine/>
    <w:qFormat/>
    <w:uiPriority w:val="0"/>
    <w:pPr>
      <w:spacing w:after="120"/>
      <w:ind w:left="420" w:leftChars="200"/>
    </w:pPr>
    <w:rPr>
      <w:kern w:val="0"/>
      <w:sz w:val="24"/>
      <w:szCs w:val="20"/>
    </w:rPr>
  </w:style>
  <w:style w:type="paragraph" w:styleId="11">
    <w:name w:val="Block Text"/>
    <w:basedOn w:val="1"/>
    <w:autoRedefine/>
    <w:qFormat/>
    <w:uiPriority w:val="0"/>
    <w:pPr>
      <w:spacing w:after="120"/>
      <w:ind w:left="1440" w:leftChars="700" w:right="1440" w:rightChars="700"/>
    </w:pPr>
  </w:style>
  <w:style w:type="paragraph" w:styleId="12">
    <w:name w:val="Balloon Text"/>
    <w:basedOn w:val="1"/>
    <w:link w:val="46"/>
    <w:autoRedefine/>
    <w:qFormat/>
    <w:uiPriority w:val="0"/>
    <w:rPr>
      <w:sz w:val="18"/>
      <w:szCs w:val="18"/>
    </w:rPr>
  </w:style>
  <w:style w:type="paragraph" w:styleId="13">
    <w:name w:val="footer"/>
    <w:basedOn w:val="1"/>
    <w:autoRedefine/>
    <w:qFormat/>
    <w:uiPriority w:val="99"/>
    <w:pPr>
      <w:tabs>
        <w:tab w:val="center" w:pos="4153"/>
        <w:tab w:val="right" w:pos="8306"/>
      </w:tabs>
      <w:snapToGrid w:val="0"/>
      <w:jc w:val="left"/>
    </w:pPr>
    <w:rPr>
      <w:kern w:val="0"/>
      <w:sz w:val="18"/>
      <w:szCs w:val="20"/>
    </w:rPr>
  </w:style>
  <w:style w:type="paragraph" w:styleId="14">
    <w:name w:val="header"/>
    <w:basedOn w:val="1"/>
    <w:next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footnote text"/>
    <w:basedOn w:val="1"/>
    <w:autoRedefine/>
    <w:unhideWhenUsed/>
    <w:qFormat/>
    <w:uiPriority w:val="0"/>
    <w:pPr>
      <w:spacing w:before="60"/>
      <w:ind w:firstLine="482"/>
      <w:jc w:val="left"/>
    </w:pPr>
    <w:rPr>
      <w:rFonts w:ascii="Arial" w:hAnsi="Arial" w:eastAsia="仿宋_GB2312"/>
      <w:kern w:val="0"/>
      <w:sz w:val="18"/>
      <w:szCs w:val="18"/>
    </w:rPr>
  </w:style>
  <w:style w:type="paragraph" w:styleId="16">
    <w:name w:val="toc 9"/>
    <w:basedOn w:val="1"/>
    <w:next w:val="1"/>
    <w:autoRedefine/>
    <w:semiHidden/>
    <w:qFormat/>
    <w:uiPriority w:val="0"/>
    <w:pPr>
      <w:ind w:left="1680"/>
      <w:jc w:val="left"/>
    </w:pPr>
    <w:rPr>
      <w:sz w:val="18"/>
      <w:szCs w:val="18"/>
    </w:rPr>
  </w:style>
  <w:style w:type="paragraph" w:styleId="17">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8">
    <w:name w:val="Body Text First Indent 2"/>
    <w:basedOn w:val="10"/>
    <w:next w:val="8"/>
    <w:autoRedefine/>
    <w:unhideWhenUsed/>
    <w:qFormat/>
    <w:uiPriority w:val="0"/>
    <w:pPr>
      <w:spacing w:line="312" w:lineRule="auto"/>
      <w:ind w:firstLine="420" w:firstLineChars="200"/>
    </w:pPr>
    <w:rPr>
      <w:rFonts w:ascii="仿宋_GB2312" w:eastAsia="仿宋_GB2312"/>
      <w:szCs w:val="24"/>
    </w:rPr>
  </w:style>
  <w:style w:type="table" w:styleId="20">
    <w:name w:val="Table Grid"/>
    <w:basedOn w:val="1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autoRedefine/>
    <w:qFormat/>
    <w:uiPriority w:val="0"/>
    <w:rPr>
      <w:b/>
    </w:rPr>
  </w:style>
  <w:style w:type="character" w:styleId="23">
    <w:name w:val="Emphasis"/>
    <w:basedOn w:val="21"/>
    <w:autoRedefine/>
    <w:qFormat/>
    <w:uiPriority w:val="0"/>
    <w:rPr>
      <w:i/>
    </w:rPr>
  </w:style>
  <w:style w:type="character" w:styleId="24">
    <w:name w:val="Hyperlink"/>
    <w:basedOn w:val="21"/>
    <w:autoRedefine/>
    <w:qFormat/>
    <w:uiPriority w:val="0"/>
    <w:rPr>
      <w:color w:val="0000FF"/>
      <w:u w:val="single"/>
    </w:rPr>
  </w:style>
  <w:style w:type="character" w:styleId="25">
    <w:name w:val="annotation reference"/>
    <w:autoRedefine/>
    <w:semiHidden/>
    <w:qFormat/>
    <w:uiPriority w:val="0"/>
    <w:rPr>
      <w:sz w:val="21"/>
    </w:rPr>
  </w:style>
  <w:style w:type="paragraph" w:customStyle="1" w:styleId="26">
    <w:name w:val="Default"/>
    <w:basedOn w:val="27"/>
    <w:next w:val="15"/>
    <w:autoRedefine/>
    <w:qFormat/>
    <w:uiPriority w:val="0"/>
    <w:pPr>
      <w:autoSpaceDE w:val="0"/>
      <w:autoSpaceDN w:val="0"/>
      <w:adjustRightInd w:val="0"/>
      <w:spacing w:line="240" w:lineRule="exact"/>
    </w:pPr>
    <w:rPr>
      <w:rFonts w:ascii="宋体" w:hAnsi="宋体" w:cs="宋体"/>
      <w:color w:val="000000"/>
      <w:sz w:val="24"/>
      <w:szCs w:val="24"/>
      <w:lang w:eastAsia="zh-CN"/>
    </w:rPr>
  </w:style>
  <w:style w:type="paragraph" w:customStyle="1" w:styleId="27">
    <w:name w:val="正文文本 (13)"/>
    <w:basedOn w:val="1"/>
    <w:autoRedefine/>
    <w:qFormat/>
    <w:uiPriority w:val="0"/>
    <w:pPr>
      <w:shd w:val="clear" w:color="auto" w:fill="FFFFFF"/>
      <w:spacing w:line="494" w:lineRule="exact"/>
    </w:pPr>
    <w:rPr>
      <w:sz w:val="28"/>
      <w:szCs w:val="28"/>
      <w:lang w:eastAsia="en-US"/>
    </w:rPr>
  </w:style>
  <w:style w:type="paragraph" w:customStyle="1" w:styleId="28">
    <w:name w:val="B-表格内容"/>
    <w:basedOn w:val="1"/>
    <w:autoRedefine/>
    <w:qFormat/>
    <w:uiPriority w:val="0"/>
    <w:pPr>
      <w:jc w:val="center"/>
    </w:pPr>
    <w:rPr>
      <w:rFonts w:hint="eastAsia"/>
      <w:szCs w:val="21"/>
    </w:rPr>
  </w:style>
  <w:style w:type="paragraph" w:customStyle="1" w:styleId="29">
    <w:name w:val="Table Text"/>
    <w:basedOn w:val="1"/>
    <w:autoRedefine/>
    <w:semiHidden/>
    <w:qFormat/>
    <w:uiPriority w:val="0"/>
    <w:rPr>
      <w:rFonts w:ascii="宋体" w:hAnsi="宋体" w:cs="宋体"/>
      <w:szCs w:val="21"/>
      <w:lang w:eastAsia="en-US"/>
    </w:rPr>
  </w:style>
  <w:style w:type="table" w:customStyle="1" w:styleId="30">
    <w:name w:val="Table Normal"/>
    <w:autoRedefine/>
    <w:semiHidden/>
    <w:unhideWhenUsed/>
    <w:qFormat/>
    <w:uiPriority w:val="0"/>
    <w:tblPr>
      <w:tblCellMar>
        <w:top w:w="0" w:type="dxa"/>
        <w:left w:w="0" w:type="dxa"/>
        <w:bottom w:w="0" w:type="dxa"/>
        <w:right w:w="0" w:type="dxa"/>
      </w:tblCellMar>
    </w:tblPr>
  </w:style>
  <w:style w:type="paragraph" w:customStyle="1" w:styleId="31">
    <w:name w:val="小四表文左齐"/>
    <w:basedOn w:val="1"/>
    <w:autoRedefine/>
    <w:qFormat/>
    <w:uiPriority w:val="0"/>
    <w:pPr>
      <w:jc w:val="center"/>
    </w:pPr>
    <w:rPr>
      <w:rFonts w:ascii="宋体" w:hAnsi="Arial Black"/>
      <w:szCs w:val="20"/>
    </w:rPr>
  </w:style>
  <w:style w:type="paragraph" w:customStyle="1" w:styleId="32">
    <w:name w:val="表内表"/>
    <w:basedOn w:val="1"/>
    <w:autoRedefine/>
    <w:qFormat/>
    <w:uiPriority w:val="0"/>
    <w:pPr>
      <w:spacing w:line="240" w:lineRule="atLeast"/>
      <w:jc w:val="center"/>
    </w:pPr>
    <w:rPr>
      <w:bCs/>
      <w:szCs w:val="21"/>
    </w:rPr>
  </w:style>
  <w:style w:type="paragraph" w:styleId="33">
    <w:name w:val="List Paragraph"/>
    <w:basedOn w:val="1"/>
    <w:autoRedefine/>
    <w:qFormat/>
    <w:uiPriority w:val="99"/>
    <w:pPr>
      <w:spacing w:line="360" w:lineRule="auto"/>
      <w:ind w:firstLine="420" w:firstLineChars="200"/>
    </w:pPr>
    <w:rPr>
      <w:sz w:val="24"/>
      <w:szCs w:val="20"/>
    </w:rPr>
  </w:style>
  <w:style w:type="paragraph" w:customStyle="1" w:styleId="34">
    <w:name w:val="！正文"/>
    <w:basedOn w:val="1"/>
    <w:autoRedefine/>
    <w:qFormat/>
    <w:uiPriority w:val="0"/>
    <w:pPr>
      <w:adjustRightInd w:val="0"/>
      <w:snapToGrid w:val="0"/>
      <w:ind w:firstLine="200"/>
    </w:pPr>
    <w:rPr>
      <w:szCs w:val="20"/>
    </w:rPr>
  </w:style>
  <w:style w:type="paragraph" w:customStyle="1" w:styleId="35">
    <w:name w:val="aa表格"/>
    <w:basedOn w:val="36"/>
    <w:autoRedefine/>
    <w:qFormat/>
    <w:uiPriority w:val="0"/>
    <w:rPr>
      <w:rFonts w:ascii="Times New Roman" w:hAnsi="Times New Roman"/>
      <w:spacing w:val="5"/>
    </w:rPr>
  </w:style>
  <w:style w:type="paragraph" w:customStyle="1" w:styleId="36">
    <w:name w:val="a表格"/>
    <w:basedOn w:val="37"/>
    <w:autoRedefine/>
    <w:qFormat/>
    <w:uiPriority w:val="0"/>
    <w:pPr>
      <w:adjustRightInd w:val="0"/>
      <w:snapToGrid w:val="0"/>
    </w:pPr>
    <w:rPr>
      <w:rFonts w:ascii="宋体" w:hAnsi="宋体" w:cs="宋体"/>
      <w:sz w:val="21"/>
      <w:szCs w:val="21"/>
    </w:rPr>
  </w:style>
  <w:style w:type="paragraph" w:customStyle="1" w:styleId="37">
    <w:name w:val="表前文字"/>
    <w:basedOn w:val="1"/>
    <w:autoRedefine/>
    <w:qFormat/>
    <w:uiPriority w:val="0"/>
    <w:pPr>
      <w:autoSpaceDE w:val="0"/>
      <w:autoSpaceDN w:val="0"/>
      <w:ind w:right="-84" w:rightChars="-40"/>
      <w:jc w:val="center"/>
    </w:pPr>
    <w:rPr>
      <w:b/>
      <w:kern w:val="28"/>
      <w:sz w:val="22"/>
      <w:szCs w:val="28"/>
      <w:lang w:val="zh-CN" w:bidi="zh-CN"/>
    </w:rPr>
  </w:style>
  <w:style w:type="paragraph" w:customStyle="1" w:styleId="38">
    <w:name w:val="表格文字"/>
    <w:basedOn w:val="8"/>
    <w:next w:val="8"/>
    <w:autoRedefine/>
    <w:qFormat/>
    <w:uiPriority w:val="0"/>
    <w:pPr>
      <w:jc w:val="center"/>
    </w:pPr>
    <w:rPr>
      <w:bCs/>
      <w:iCs/>
      <w:sz w:val="20"/>
    </w:rPr>
  </w:style>
  <w:style w:type="paragraph" w:customStyle="1" w:styleId="39">
    <w:name w:val="Table Paragraph"/>
    <w:basedOn w:val="1"/>
    <w:autoRedefine/>
    <w:qFormat/>
    <w:uiPriority w:val="1"/>
  </w:style>
  <w:style w:type="character" w:customStyle="1" w:styleId="40">
    <w:name w:val="font61"/>
    <w:basedOn w:val="21"/>
    <w:autoRedefine/>
    <w:qFormat/>
    <w:uiPriority w:val="0"/>
    <w:rPr>
      <w:rFonts w:hint="default" w:ascii="Times New Roman" w:hAnsi="Times New Roman" w:cs="Times New Roman"/>
      <w:b/>
      <w:bCs/>
      <w:color w:val="000000"/>
      <w:sz w:val="21"/>
      <w:szCs w:val="21"/>
      <w:u w:val="none"/>
      <w:vertAlign w:val="superscript"/>
    </w:rPr>
  </w:style>
  <w:style w:type="paragraph" w:customStyle="1" w:styleId="41">
    <w:name w:val="正文 首行缩进:  2 字符"/>
    <w:basedOn w:val="1"/>
    <w:autoRedefine/>
    <w:qFormat/>
    <w:uiPriority w:val="99"/>
    <w:pPr>
      <w:ind w:firstLine="579" w:firstLineChars="200"/>
    </w:pPr>
    <w:rPr>
      <w:rFonts w:eastAsia="等线" w:cs="宋体"/>
      <w:szCs w:val="20"/>
    </w:rPr>
  </w:style>
  <w:style w:type="paragraph" w:customStyle="1" w:styleId="42">
    <w:name w:val="a正文"/>
    <w:basedOn w:val="43"/>
    <w:autoRedefine/>
    <w:qFormat/>
    <w:uiPriority w:val="0"/>
    <w:pPr>
      <w:tabs>
        <w:tab w:val="left" w:pos="420"/>
        <w:tab w:val="left" w:pos="870"/>
        <w:tab w:val="left" w:pos="3150"/>
      </w:tabs>
      <w:spacing w:line="360" w:lineRule="auto"/>
    </w:pPr>
  </w:style>
  <w:style w:type="paragraph" w:customStyle="1" w:styleId="43">
    <w:name w:val="宋体正文小四蓝色"/>
    <w:autoRedefine/>
    <w:qFormat/>
    <w:uiPriority w:val="0"/>
    <w:pPr>
      <w:spacing w:line="500" w:lineRule="exact"/>
      <w:ind w:firstLine="480" w:firstLineChars="200"/>
    </w:pPr>
    <w:rPr>
      <w:rFonts w:ascii="Times New Roman" w:hAnsi="宋体" w:eastAsia="宋体" w:cs="Times New Roman"/>
      <w:color w:val="0000FF"/>
      <w:sz w:val="24"/>
      <w:szCs w:val="24"/>
      <w:lang w:val="en-US" w:eastAsia="zh-CN" w:bidi="ar-SA"/>
    </w:rPr>
  </w:style>
  <w:style w:type="paragraph" w:customStyle="1" w:styleId="44">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45">
    <w:name w:val="样式1"/>
    <w:basedOn w:val="1"/>
    <w:next w:val="11"/>
    <w:autoRedefine/>
    <w:qFormat/>
    <w:uiPriority w:val="0"/>
    <w:pPr>
      <w:snapToGrid w:val="0"/>
      <w:spacing w:line="360" w:lineRule="auto"/>
      <w:jc w:val="center"/>
    </w:pPr>
    <w:rPr>
      <w:rFonts w:ascii="宋体" w:hAnsi="宋体"/>
      <w:sz w:val="24"/>
    </w:rPr>
  </w:style>
  <w:style w:type="character" w:customStyle="1" w:styleId="46">
    <w:name w:val="批注框文本 Char"/>
    <w:basedOn w:val="21"/>
    <w:link w:val="12"/>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image" Target="media/image6.wmf"/><Relationship Id="rId15" Type="http://schemas.openxmlformats.org/officeDocument/2006/relationships/oleObject" Target="embeddings/oleObject5.bin"/><Relationship Id="rId14" Type="http://schemas.openxmlformats.org/officeDocument/2006/relationships/image" Target="media/image5.png"/><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90</Pages>
  <Words>51696</Words>
  <Characters>59764</Characters>
  <Lines>459</Lines>
  <Paragraphs>129</Paragraphs>
  <TotalTime>8</TotalTime>
  <ScaleCrop>false</ScaleCrop>
  <LinksUpToDate>false</LinksUpToDate>
  <CharactersWithSpaces>60216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2024-02-21T08:52:00Z</dcterms:created>
  <dc:creator>lee</dc:creator>
  <cp:lastModifiedBy>123</cp:lastModifiedBy>
  <dcterms:modified xsi:type="dcterms:W3CDTF">2024-03-05T06:27:55Z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5D869C637F8C4FE38BF0C1C78FB82C53_13</vt:lpwstr>
  </property>
</Properties>
</file>