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046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_GBK" w:eastAsia="方正小标宋_GBK"/>
          <w:sz w:val="44"/>
          <w:szCs w:val="44"/>
        </w:rPr>
      </w:pPr>
    </w:p>
    <w:p w14:paraId="2B7851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《关于</w:t>
      </w:r>
      <w:r>
        <w:rPr>
          <w:rFonts w:hint="eastAsia" w:ascii="方正小标宋_GBK" w:eastAsia="方正小标宋_GBK"/>
          <w:bCs/>
          <w:sz w:val="44"/>
          <w:szCs w:val="44"/>
        </w:rPr>
        <w:t>促进泰州综合保税区高水平开放高质量发展的若干措施</w:t>
      </w:r>
      <w:r>
        <w:rPr>
          <w:rFonts w:hint="eastAsia" w:ascii="方正小标宋_GBK" w:eastAsia="方正小标宋_GBK"/>
          <w:bCs/>
          <w:sz w:val="44"/>
          <w:szCs w:val="44"/>
          <w:lang w:eastAsia="zh-CN"/>
        </w:rPr>
        <w:t>（征求意见稿）</w:t>
      </w:r>
      <w:r>
        <w:rPr>
          <w:rFonts w:hint="eastAsia" w:ascii="方正小标宋_GBK" w:eastAsia="方正小标宋_GBK"/>
          <w:sz w:val="44"/>
          <w:szCs w:val="44"/>
        </w:rPr>
        <w:t>》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编制</w:t>
      </w:r>
      <w:r>
        <w:rPr>
          <w:rFonts w:hint="eastAsia" w:ascii="方正小标宋_GBK" w:eastAsia="方正小标宋_GBK"/>
          <w:sz w:val="44"/>
          <w:szCs w:val="44"/>
        </w:rPr>
        <w:t>说明</w:t>
      </w:r>
    </w:p>
    <w:p w14:paraId="744221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_GBK" w:eastAsia="方正小标宋_GBK"/>
          <w:sz w:val="44"/>
          <w:szCs w:val="44"/>
        </w:rPr>
      </w:pPr>
    </w:p>
    <w:p w14:paraId="148BD08E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泰州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综合保税区（以下简称“综保区”）是推动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全市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外向型经济发展、促进高水平开放的重要平台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。为贯彻落实党中央、国务院关于推动高质量发展、扩大高水平开放的决策部署，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eastAsia="zh-CN"/>
        </w:rPr>
        <w:t>市商务局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/>
        </w:rPr>
        <w:t>会同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/>
        </w:rPr>
        <w:t>综保区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</w:rPr>
        <w:t>编制了《促进泰州综合保税区高水平开放高质量发展的若干措施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</w:rPr>
        <w:t>征求意见稿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</w:rPr>
        <w:t>》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</w:rPr>
        <w:t>以下简称《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eastAsia="zh-CN"/>
        </w:rPr>
        <w:t>若干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</w:rPr>
        <w:t>措施》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</w:rPr>
        <w:t>。现将有关情况汇报如下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eastAsia="zh-CN"/>
        </w:rPr>
        <w:t>：</w:t>
      </w:r>
      <w:bookmarkStart w:id="0" w:name="_GoBack"/>
      <w:bookmarkEnd w:id="0"/>
    </w:p>
    <w:p w14:paraId="5DD56C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一、</w:t>
      </w:r>
      <w:r>
        <w:rPr>
          <w:rFonts w:hint="eastAsia" w:ascii="黑体" w:hAnsi="黑体" w:eastAsia="黑体" w:cs="Times New Roman"/>
          <w:sz w:val="32"/>
          <w:szCs w:val="32"/>
          <w:lang w:eastAsia="zh-CN"/>
        </w:rPr>
        <w:t>起草过程</w:t>
      </w:r>
    </w:p>
    <w:p w14:paraId="6126EB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</w:rPr>
        <w:t>制定本《</w:t>
      </w:r>
      <w:r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2"/>
          <w:lang w:eastAsia="zh-CN"/>
        </w:rPr>
        <w:t>若干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</w:rPr>
        <w:t>措施》，主要基于三点考虑</w:t>
      </w:r>
      <w:r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2"/>
          <w:lang w:eastAsia="zh-CN"/>
        </w:rPr>
        <w:t>：</w:t>
      </w:r>
    </w:p>
    <w:p w14:paraId="6E799A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 w:val="0"/>
          <w:bCs/>
          <w:kern w:val="2"/>
          <w:sz w:val="32"/>
          <w:szCs w:val="32"/>
        </w:rPr>
        <w:t>落实上级部署的需要。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国家高度重视综保区发展，国务院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办公厅转发海关总署</w:t>
      </w:r>
      <w:r>
        <w:rPr>
          <w:rFonts w:ascii="Times New Roman" w:hAnsi="Times New Roman" w:eastAsia="仿宋_GB2312" w:cs="Times New Roman"/>
          <w:sz w:val="32"/>
          <w:szCs w:val="32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关于促进综合保税区扩能提质的若干措施</w:t>
      </w:r>
      <w:r>
        <w:rPr>
          <w:rFonts w:ascii="Times New Roman" w:hAnsi="Times New Roman" w:eastAsia="仿宋_GB2312" w:cs="Times New Roman"/>
          <w:sz w:val="32"/>
          <w:szCs w:val="32"/>
        </w:rPr>
        <w:t>》（国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办函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﹝</w:t>
      </w:r>
      <w:r>
        <w:rPr>
          <w:rFonts w:ascii="Times New Roman" w:hAnsi="Times New Roman" w:eastAsia="仿宋_GB2312" w:cs="Times New Roman"/>
          <w:sz w:val="32"/>
          <w:szCs w:val="32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26</w:t>
      </w:r>
      <w:r>
        <w:rPr>
          <w:rFonts w:ascii="Times New Roman" w:hAnsi="Times New Roman" w:eastAsia="仿宋_GB2312" w:cs="Times New Roman"/>
          <w:sz w:val="32"/>
          <w:szCs w:val="32"/>
        </w:rPr>
        <w:t>﹞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40</w:t>
      </w:r>
      <w:r>
        <w:rPr>
          <w:rFonts w:ascii="Times New Roman" w:hAnsi="Times New Roman" w:eastAsia="仿宋_GB2312" w:cs="Times New Roman"/>
          <w:sz w:val="32"/>
          <w:szCs w:val="32"/>
        </w:rPr>
        <w:t>号），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发布</w:t>
      </w: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项政策举措，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对综保区发展作出系统性战略部署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。自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2020年起，海关总署启动对全国综合保税区绩效评估工作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，将地级市人民政府出台支持措施纳入加分项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。因此，制定本措施是落实上级部署、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争先进位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的必要举措。</w:t>
      </w:r>
    </w:p>
    <w:p w14:paraId="569D1B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kern w:val="2"/>
          <w:sz w:val="32"/>
          <w:szCs w:val="32"/>
          <w:lang w:eastAsia="zh-CN"/>
        </w:rPr>
        <w:t>（二）</w:t>
      </w:r>
      <w:r>
        <w:rPr>
          <w:rFonts w:hint="default" w:ascii="楷体_GB2312" w:hAnsi="楷体_GB2312" w:eastAsia="楷体_GB2312" w:cs="楷体_GB2312"/>
          <w:b w:val="0"/>
          <w:bCs/>
          <w:kern w:val="2"/>
          <w:sz w:val="32"/>
          <w:szCs w:val="32"/>
        </w:rPr>
        <w:t>应对区域竞争的需要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近年来，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周边地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</w:rPr>
        <w:t>区</w:t>
      </w:r>
      <w:r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2"/>
          <w:lang w:eastAsia="zh-CN"/>
        </w:rPr>
        <w:t>纷纷加大对综保区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</w:rPr>
        <w:t>产业政策支持力度，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省内苏州、无锡、南通、连云港、镇江、扬州等地已陆续出台促进综保区发展的相关政策。面对日趋激烈的区域竞争，我市亟需推出更有力的举措，以巩固现有产业基础，吸引优质项目和资源要素，推动综保区在全国绩效评估中争先进位。</w:t>
      </w:r>
    </w:p>
    <w:p w14:paraId="028095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楷体_GB2312" w:cs="楷体_GB2312"/>
          <w:b w:val="0"/>
          <w:bCs/>
          <w:kern w:val="2"/>
          <w:sz w:val="32"/>
          <w:szCs w:val="32"/>
          <w:lang w:val="en-US" w:eastAsia="zh-CN"/>
        </w:rPr>
        <w:t>（三）</w:t>
      </w:r>
      <w:r>
        <w:rPr>
          <w:rFonts w:hint="default" w:ascii="Times New Roman" w:hAnsi="Times New Roman" w:eastAsia="楷体_GB2312" w:cs="楷体_GB2312"/>
          <w:b w:val="0"/>
          <w:bCs/>
          <w:kern w:val="2"/>
          <w:sz w:val="32"/>
          <w:szCs w:val="32"/>
          <w:lang w:val="en-US" w:eastAsia="zh-CN"/>
        </w:rPr>
        <w:t>激发内生动力需要。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当前，综保区发展面临新形势、新要求，原有的政策红利和模式优势逐步减弱，发展瓶颈日益显现。为此，必须进一步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推进制度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创新，优化政策供给，激发内生发展动力，提升产业能级和综合竞争力，更好服务全市外向型经济高质量发展。</w:t>
      </w:r>
    </w:p>
    <w:p w14:paraId="0F8F80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</w:rPr>
        <w:t>文件起草期间，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市商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务局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牵头组织调研走访了北京、上海、苏州、昆山、南通等多地综保区，学习关于保税维修、跨境电商、保税物流等方面的先进做法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多次走访医药园区生物制药企业，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深入了解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保税研发功能的需求和监管方式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。在此基础上，研究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起草了《若干措施》初稿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，广泛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征求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有关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部门意见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，并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</w:rPr>
        <w:t>组织召开专题会议讨论，</w:t>
      </w:r>
      <w:r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2"/>
          <w:lang w:eastAsia="zh-CN"/>
        </w:rPr>
        <w:t>经多轮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修改，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</w:rPr>
        <w:t>形成《</w:t>
      </w:r>
      <w:r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2"/>
          <w:lang w:eastAsia="zh-CN"/>
        </w:rPr>
        <w:t>若干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</w:rPr>
        <w:t>措施》征求意见稿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 w14:paraId="14F9B7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二、主要内容</w:t>
      </w:r>
    </w:p>
    <w:p w14:paraId="4E1E4C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b w:val="0"/>
          <w:bCs/>
          <w:sz w:val="32"/>
          <w:szCs w:val="32"/>
        </w:rPr>
      </w:pPr>
      <w:r>
        <w:rPr>
          <w:rFonts w:ascii="Times New Roman" w:hAnsi="Times New Roman" w:eastAsia="仿宋_GB2312"/>
          <w:b w:val="0"/>
          <w:bCs/>
          <w:sz w:val="32"/>
          <w:szCs w:val="32"/>
        </w:rPr>
        <w:t>《</w:t>
      </w:r>
      <w:r>
        <w:rPr>
          <w:rFonts w:hint="eastAsia" w:ascii="Times New Roman" w:hAnsi="Times New Roman" w:eastAsia="仿宋_GB2312"/>
          <w:b w:val="0"/>
          <w:bCs/>
          <w:sz w:val="32"/>
          <w:szCs w:val="32"/>
          <w:lang w:eastAsia="zh-CN"/>
        </w:rPr>
        <w:t>若干</w:t>
      </w:r>
      <w:r>
        <w:rPr>
          <w:rFonts w:ascii="Times New Roman" w:hAnsi="Times New Roman" w:eastAsia="仿宋_GB2312"/>
          <w:b w:val="0"/>
          <w:bCs/>
          <w:sz w:val="32"/>
          <w:szCs w:val="32"/>
        </w:rPr>
        <w:t>措施》共分</w:t>
      </w:r>
      <w:r>
        <w:rPr>
          <w:rFonts w:hint="eastAsia" w:ascii="Times New Roman" w:hAnsi="Times New Roman" w:eastAsia="仿宋_GB2312"/>
          <w:b w:val="0"/>
          <w:bCs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/>
          <w:b w:val="0"/>
          <w:bCs/>
          <w:sz w:val="32"/>
          <w:szCs w:val="32"/>
        </w:rPr>
        <w:t>大条、</w:t>
      </w:r>
      <w:r>
        <w:rPr>
          <w:rFonts w:hint="eastAsia" w:ascii="Times New Roman" w:hAnsi="Times New Roman" w:eastAsia="仿宋_GB2312"/>
          <w:b w:val="0"/>
          <w:bCs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_GB2312"/>
          <w:b w:val="0"/>
          <w:bCs/>
          <w:sz w:val="32"/>
          <w:szCs w:val="32"/>
        </w:rPr>
        <w:t>小条，遵循</w:t>
      </w:r>
      <w:r>
        <w:rPr>
          <w:rFonts w:hint="eastAsia" w:ascii="Times New Roman" w:hAnsi="Times New Roman" w:eastAsia="仿宋_GB2312"/>
          <w:b w:val="0"/>
          <w:bCs/>
          <w:sz w:val="32"/>
          <w:szCs w:val="32"/>
          <w:lang w:eastAsia="zh-CN"/>
        </w:rPr>
        <w:t>“</w:t>
      </w:r>
      <w:r>
        <w:rPr>
          <w:rFonts w:ascii="Times New Roman" w:hAnsi="Times New Roman" w:eastAsia="仿宋_GB2312"/>
          <w:b w:val="0"/>
          <w:bCs/>
          <w:sz w:val="32"/>
          <w:szCs w:val="32"/>
        </w:rPr>
        <w:t>聚焦重点、精准施策、注重实效</w:t>
      </w:r>
      <w:r>
        <w:rPr>
          <w:rFonts w:hint="eastAsia" w:ascii="Times New Roman" w:hAnsi="Times New Roman" w:eastAsia="仿宋_GB2312"/>
          <w:b w:val="0"/>
          <w:bCs/>
          <w:sz w:val="32"/>
          <w:szCs w:val="32"/>
          <w:lang w:eastAsia="zh-CN"/>
        </w:rPr>
        <w:t>”</w:t>
      </w:r>
      <w:r>
        <w:rPr>
          <w:rFonts w:ascii="Times New Roman" w:hAnsi="Times New Roman" w:eastAsia="仿宋_GB2312"/>
          <w:b w:val="0"/>
          <w:bCs/>
          <w:sz w:val="32"/>
          <w:szCs w:val="32"/>
        </w:rPr>
        <w:t>的原则</w:t>
      </w:r>
      <w:r>
        <w:rPr>
          <w:rFonts w:hint="eastAsia" w:ascii="Times New Roman" w:hAnsi="Times New Roman" w:eastAsia="仿宋_GB2312"/>
          <w:b w:val="0"/>
          <w:bCs/>
          <w:sz w:val="32"/>
          <w:szCs w:val="32"/>
        </w:rPr>
        <w:t>，</w:t>
      </w:r>
      <w:r>
        <w:rPr>
          <w:rFonts w:ascii="Times New Roman" w:hAnsi="Times New Roman" w:eastAsia="仿宋_GB2312"/>
          <w:b w:val="0"/>
          <w:bCs/>
          <w:sz w:val="32"/>
          <w:szCs w:val="32"/>
        </w:rPr>
        <w:t>主要内容包括：</w:t>
      </w:r>
    </w:p>
    <w:p w14:paraId="28039C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b w:val="0"/>
          <w:bCs/>
          <w:kern w:val="2"/>
          <w:sz w:val="32"/>
          <w:szCs w:val="32"/>
          <w:lang w:val="en-US" w:eastAsia="zh-CN"/>
        </w:rPr>
        <w:t>1.立足产业基础，明晰功能定位。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立足电子信息与大健康产业，发挥链核企业带动作用，升级保税加工；打造特色保税物流，支持全球分拨与数据共享；培育生物医药保税研发、“1210”跨境电商、医疗器械保税维修等新兴业态，推动综保区高质量发展。</w:t>
      </w:r>
    </w:p>
    <w:p w14:paraId="30469E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b w:val="0"/>
          <w:bCs/>
          <w:kern w:val="2"/>
          <w:sz w:val="32"/>
          <w:szCs w:val="32"/>
          <w:lang w:val="en-US" w:eastAsia="zh-CN"/>
        </w:rPr>
        <w:t>2.加快开发利用，提升园区能级。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支持综保区拓展功能，建设生物医药研发平台，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20"/>
        </w:rPr>
        <w:t>纳入药品进口口岸范围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20"/>
          <w:lang w:eastAsia="zh-CN"/>
        </w:rPr>
        <w:t>，建设指定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监管场地，联动港口、空港构建大进大出物流格局；鼓励企业申报创新中心、高企、优质外汇企业等，提升科创能级。</w:t>
      </w:r>
    </w:p>
    <w:p w14:paraId="695634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b w:val="0"/>
          <w:bCs/>
          <w:kern w:val="2"/>
          <w:sz w:val="32"/>
          <w:szCs w:val="32"/>
          <w:lang w:val="en-US" w:eastAsia="zh-CN"/>
        </w:rPr>
        <w:t>3.推进制度创新，优化监管服务。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建立全市招商共用机制，项目数据划归引入地；集中全市力量推送适合综保区项目，在招商培训中打造综保区特色板块；创新监管模式，提升通关便利，探索全产业链保税监管等，建立联动预警机制。</w:t>
      </w:r>
    </w:p>
    <w:p w14:paraId="1767D2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b w:val="0"/>
          <w:bCs/>
          <w:kern w:val="2"/>
          <w:sz w:val="32"/>
          <w:szCs w:val="32"/>
          <w:lang w:val="en-US" w:eastAsia="zh-CN"/>
        </w:rPr>
        <w:t>4.加强组织领导，强化支撑保障。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建立市、区两级联动机制，定期会商解决综保区发展问题，选派骨干挂职；用足各级稳外贸政策，出台产业扶持细则，明确奖励标准，确保落地见效。</w:t>
      </w:r>
    </w:p>
    <w:sectPr>
      <w:footerReference r:id="rId3" w:type="default"/>
      <w:footerReference r:id="rId4" w:type="even"/>
      <w:pgSz w:w="11906" w:h="16838"/>
      <w:pgMar w:top="1701" w:right="1474" w:bottom="1701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55223484"/>
      <w:docPartObj>
        <w:docPartGallery w:val="autotext"/>
      </w:docPartObj>
    </w:sdtPr>
    <w:sdtContent>
      <w:p w14:paraId="70F0FA9E">
        <w:pPr>
          <w:pStyle w:val="2"/>
          <w:jc w:val="center"/>
        </w:pPr>
        <w:r>
          <w:rPr>
            <w:rFonts w:hint="eastAsia" w:ascii="方正仿宋_GBK" w:eastAsia="方正仿宋_GBK"/>
            <w:sz w:val="24"/>
            <w:szCs w:val="24"/>
          </w:rPr>
          <w:fldChar w:fldCharType="begin"/>
        </w:r>
        <w:r>
          <w:rPr>
            <w:rFonts w:hint="eastAsia" w:ascii="方正仿宋_GBK" w:eastAsia="方正仿宋_GBK"/>
            <w:sz w:val="24"/>
            <w:szCs w:val="24"/>
          </w:rPr>
          <w:instrText xml:space="preserve"> PAGE   \* MERGEFORMAT </w:instrText>
        </w:r>
        <w:r>
          <w:rPr>
            <w:rFonts w:hint="eastAsia" w:ascii="方正仿宋_GBK" w:eastAsia="方正仿宋_GBK"/>
            <w:sz w:val="24"/>
            <w:szCs w:val="24"/>
          </w:rPr>
          <w:fldChar w:fldCharType="separate"/>
        </w:r>
        <w:r>
          <w:rPr>
            <w:rFonts w:ascii="方正仿宋_GBK" w:eastAsia="方正仿宋_GBK"/>
            <w:sz w:val="24"/>
            <w:szCs w:val="24"/>
            <w:lang w:val="zh-CN"/>
          </w:rPr>
          <w:t>-</w:t>
        </w:r>
        <w:r>
          <w:rPr>
            <w:rFonts w:ascii="方正仿宋_GBK" w:eastAsia="方正仿宋_GBK"/>
            <w:sz w:val="24"/>
            <w:szCs w:val="24"/>
          </w:rPr>
          <w:t xml:space="preserve"> 4 -</w:t>
        </w:r>
        <w:r>
          <w:rPr>
            <w:rFonts w:hint="eastAsia" w:ascii="方正仿宋_GBK" w:eastAsia="方正仿宋_GBK"/>
            <w:sz w:val="24"/>
            <w:szCs w:val="24"/>
          </w:rPr>
          <w:fldChar w:fldCharType="end"/>
        </w:r>
      </w:p>
    </w:sdtContent>
  </w:sdt>
  <w:p w14:paraId="5C0B7CB9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DE95E9">
    <w:pPr>
      <w:pStyle w:val="2"/>
      <w:adjustRightInd w:val="0"/>
      <w:ind w:left="782"/>
      <w:rPr>
        <w:rFonts w:ascii="Times New Roman" w:hAnsi="Times New Roman" w:eastAsia="方正仿宋_GBK" w:cs="Times New Roman"/>
        <w:sz w:val="32"/>
        <w:szCs w:val="32"/>
      </w:rPr>
    </w:pPr>
    <w:r>
      <w:rPr>
        <w:rFonts w:hint="eastAsia"/>
      </w:rPr>
      <w:softHyphen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AFA"/>
    <w:rsid w:val="000A5893"/>
    <w:rsid w:val="000B0734"/>
    <w:rsid w:val="001137BE"/>
    <w:rsid w:val="00126E5C"/>
    <w:rsid w:val="00224FFF"/>
    <w:rsid w:val="00293B60"/>
    <w:rsid w:val="00296F02"/>
    <w:rsid w:val="002A091A"/>
    <w:rsid w:val="002A3AB3"/>
    <w:rsid w:val="003558D9"/>
    <w:rsid w:val="003723C3"/>
    <w:rsid w:val="00376EC5"/>
    <w:rsid w:val="00386719"/>
    <w:rsid w:val="003A0663"/>
    <w:rsid w:val="003C25CB"/>
    <w:rsid w:val="004021B1"/>
    <w:rsid w:val="0045041E"/>
    <w:rsid w:val="004901B6"/>
    <w:rsid w:val="004B48F9"/>
    <w:rsid w:val="0059094E"/>
    <w:rsid w:val="005940B1"/>
    <w:rsid w:val="005B1596"/>
    <w:rsid w:val="005B612B"/>
    <w:rsid w:val="005D3571"/>
    <w:rsid w:val="005E5768"/>
    <w:rsid w:val="00627DC6"/>
    <w:rsid w:val="00646C80"/>
    <w:rsid w:val="00685C4E"/>
    <w:rsid w:val="006B6403"/>
    <w:rsid w:val="006D1FB7"/>
    <w:rsid w:val="007B1BFB"/>
    <w:rsid w:val="00812AFA"/>
    <w:rsid w:val="0086305C"/>
    <w:rsid w:val="00916162"/>
    <w:rsid w:val="0092484F"/>
    <w:rsid w:val="00947185"/>
    <w:rsid w:val="00956A0C"/>
    <w:rsid w:val="00956A74"/>
    <w:rsid w:val="009930EC"/>
    <w:rsid w:val="009A20D0"/>
    <w:rsid w:val="009D5ED6"/>
    <w:rsid w:val="00A17881"/>
    <w:rsid w:val="00A25F59"/>
    <w:rsid w:val="00A43C80"/>
    <w:rsid w:val="00A9478D"/>
    <w:rsid w:val="00C63933"/>
    <w:rsid w:val="00C8233C"/>
    <w:rsid w:val="00C94A6C"/>
    <w:rsid w:val="00C96209"/>
    <w:rsid w:val="00D00A38"/>
    <w:rsid w:val="00D0786F"/>
    <w:rsid w:val="00D31D36"/>
    <w:rsid w:val="00D77B7C"/>
    <w:rsid w:val="00D82698"/>
    <w:rsid w:val="00DA392A"/>
    <w:rsid w:val="00DB05F7"/>
    <w:rsid w:val="00DD5216"/>
    <w:rsid w:val="00E060A3"/>
    <w:rsid w:val="00E50726"/>
    <w:rsid w:val="00E76C35"/>
    <w:rsid w:val="00E92F94"/>
    <w:rsid w:val="00EB2F40"/>
    <w:rsid w:val="00EC5B9F"/>
    <w:rsid w:val="00EC6CEE"/>
    <w:rsid w:val="00F958A6"/>
    <w:rsid w:val="00FB155E"/>
    <w:rsid w:val="027C3329"/>
    <w:rsid w:val="054D3027"/>
    <w:rsid w:val="05D81C31"/>
    <w:rsid w:val="0ED76D19"/>
    <w:rsid w:val="10671CEC"/>
    <w:rsid w:val="30C52635"/>
    <w:rsid w:val="348925AE"/>
    <w:rsid w:val="37261200"/>
    <w:rsid w:val="38A553CB"/>
    <w:rsid w:val="38AA7772"/>
    <w:rsid w:val="3EF4670B"/>
    <w:rsid w:val="40B70C98"/>
    <w:rsid w:val="412E12DF"/>
    <w:rsid w:val="45557E66"/>
    <w:rsid w:val="47D457D8"/>
    <w:rsid w:val="4EA12ED9"/>
    <w:rsid w:val="5C207B33"/>
    <w:rsid w:val="5CC64546"/>
    <w:rsid w:val="643176B7"/>
    <w:rsid w:val="67A41618"/>
    <w:rsid w:val="6955306E"/>
    <w:rsid w:val="698519E9"/>
    <w:rsid w:val="705D051C"/>
    <w:rsid w:val="710572EA"/>
    <w:rsid w:val="7FE2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paragraph" w:customStyle="1" w:styleId="9">
    <w:name w:val="列出段落1"/>
    <w:basedOn w:val="1"/>
    <w:qFormat/>
    <w:uiPriority w:val="99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88D020-8764-492F-8F82-4E48C9DE34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1335</Words>
  <Characters>1350</Characters>
  <Lines>11</Lines>
  <Paragraphs>3</Paragraphs>
  <TotalTime>16</TotalTime>
  <ScaleCrop>false</ScaleCrop>
  <LinksUpToDate>false</LinksUpToDate>
  <CharactersWithSpaces>1350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2019-09-20T08:53:00Z</dcterms:created>
  <dc:creator>User</dc:creator>
  <cp:lastModifiedBy>Jizz</cp:lastModifiedBy>
  <cp:lastPrinted>2025-03-21T03:00:00Z</cp:lastPrinted>
  <dcterms:modified xsi:type="dcterms:W3CDTF">2026-05-06T01:15:33Z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269C726C0E2142AFB97C0099D7F0AD4A_13</vt:lpwstr>
  </property>
  <property fmtid="{D5CDD505-2E9C-101B-9397-08002B2CF9AE}" pid="4" name="KSOTemplateDocerSaveRecord">
    <vt:lpwstr>eyJoZGlkIjoiM2I3NjNkN2Q1NGMyM2YzZDZlMTRlMTY3YmMxZTNiMmMiLCJ1c2VySWQiOiI0NTczMTQzNjMifQ==</vt:lpwstr>
  </property>
</Properties>
</file>