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E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kern w:val="2"/>
          <w:sz w:val="32"/>
          <w:szCs w:val="40"/>
          <w:lang w:val="en-US" w:eastAsia="zh-CN" w:bidi="ar-SA"/>
        </w:rPr>
      </w:pPr>
    </w:p>
    <w:p w14:paraId="53E9AC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《市政府办公室关于印发泰州市教育、科技、公共文化、医疗卫生、生态环境、自然资源、应急救援、交通运输领域市与区财政事权</w:t>
      </w:r>
    </w:p>
    <w:p w14:paraId="75E48D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和支出责任划分改革重点任务的通知</w:t>
      </w:r>
    </w:p>
    <w:p w14:paraId="12F9B3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40"/>
          <w:lang w:val="en-US" w:eastAsia="zh-CN" w:bidi="ar-SA"/>
        </w:rPr>
      </w:pPr>
      <w:r>
        <w:rPr>
          <w:rFonts w:hint="eastAsia" w:ascii="方正小标宋_GBK" w:hAnsi="方正小标宋_GBK" w:eastAsia="方正小标宋_GBK" w:cs="方正小标宋_GBK"/>
          <w:kern w:val="2"/>
          <w:sz w:val="44"/>
          <w:szCs w:val="44"/>
          <w:lang w:val="en-US" w:eastAsia="zh-CN" w:bidi="ar-SA"/>
        </w:rPr>
        <w:t>（征求意见稿）》解读</w:t>
      </w:r>
    </w:p>
    <w:p w14:paraId="77558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40"/>
          <w:lang w:val="en-US" w:eastAsia="zh-CN" w:bidi="ar-SA"/>
        </w:rPr>
      </w:pPr>
      <w:bookmarkStart w:id="0" w:name="_GoBack"/>
      <w:bookmarkEnd w:id="0"/>
    </w:p>
    <w:p w14:paraId="0C7820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kern w:val="2"/>
          <w:sz w:val="32"/>
          <w:szCs w:val="40"/>
          <w:lang w:val="en-US" w:eastAsia="zh-CN" w:bidi="ar-SA"/>
        </w:rPr>
        <w:t>一、</w:t>
      </w:r>
      <w:r>
        <w:rPr>
          <w:rFonts w:hint="eastAsia" w:ascii="黑体" w:hAnsi="黑体" w:eastAsia="黑体" w:cs="黑体"/>
          <w:sz w:val="32"/>
          <w:szCs w:val="40"/>
          <w:lang w:val="en-US" w:eastAsia="zh-CN"/>
        </w:rPr>
        <w:t>起草背景</w:t>
      </w:r>
    </w:p>
    <w:p w14:paraId="712AF6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为积极贯彻落实党中央、国务院关于建立现代财政制度、理顺政府间财政关系的决策部署，根据《国务院关于推进中央与地方财政事权和支出责任划分改革的指导意见》（国发〔2016〕49号）等文件要求，结合本市实际，制定本改革重点任务。主要考虑如下：一是与国家、省级改革方案框架和内容紧密衔接。以国家和省、市已明确的财政事权划分原则及具体事项为基础，将需由地方承担的财政事权和支出责任在市与区之间进行科学合理的划分，确保改革方向与上级要求保持一致。二是保持现有市和区财力格局稳定。在推进改革过程中，充分考虑市和区两级政府的财政承受能力，遵循现行职责分工和经费保障政策，对已经划分科学合理并行之有效的事项进行梳理确认，确保改革平稳有序进行，为泰州市经济社会高质量发展提供有力支撑。三是突出泰州市各相关领域特点。结合本市教育、科技、公共文化、医疗卫生、生态环境、自然资源、应急救援、交通运输领域的实际情况，对财政事权进行进一步细化和明确，确保改革措施更加符合泰州发展需求。</w:t>
      </w:r>
    </w:p>
    <w:p w14:paraId="6ACA6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kern w:val="2"/>
          <w:sz w:val="32"/>
          <w:szCs w:val="40"/>
          <w:lang w:val="en-US" w:eastAsia="zh-CN" w:bidi="ar-SA"/>
        </w:rPr>
        <w:t>二、</w:t>
      </w:r>
      <w:r>
        <w:rPr>
          <w:rFonts w:hint="eastAsia" w:ascii="黑体" w:hAnsi="黑体" w:eastAsia="黑体" w:cs="黑体"/>
          <w:sz w:val="32"/>
          <w:szCs w:val="40"/>
          <w:lang w:val="en-US" w:eastAsia="zh-CN"/>
        </w:rPr>
        <w:t>主要内容</w:t>
      </w:r>
    </w:p>
    <w:p w14:paraId="55308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改革</w:t>
      </w:r>
      <w:r>
        <w:rPr>
          <w:rFonts w:hint="eastAsia" w:ascii="Times New Roman" w:hAnsi="Times New Roman" w:eastAsia="方正仿宋_GBK" w:cs="Times New Roman"/>
          <w:sz w:val="32"/>
          <w:szCs w:val="40"/>
          <w:lang w:val="en-US" w:eastAsia="zh-CN"/>
        </w:rPr>
        <w:t>重点任务主要从教育、科技、公共文化、医疗卫生、生态环境、自然资源、应急救援、交通运输领域划分市与区财政事权和支出责任，逐一明确市级事权、市与区共同事权以及区级事权，对应事权层级，一并明确了相应的支出责任。遵循以下原则：一是将对全市有影响、涉及全市、市级直接实施以及市级政府和部门为责任主体的事项，确认为市级财政事权，由市级承担支出责任；二是将市级统一部署各区共同落实的事项以及重点地区、重点领域、重大复杂的事项等，确认为市与区共同财政事权，由市与区共同承担支出责任；三是将区级其他事项确认为区级财政事权，由区承担支出责任。具体包括：</w:t>
      </w:r>
    </w:p>
    <w:p w14:paraId="1E407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lang w:val="en-US" w:eastAsia="zh-CN"/>
        </w:rPr>
      </w:pPr>
      <w:r>
        <w:rPr>
          <w:rFonts w:hint="eastAsia" w:ascii="方正楷体_GBK" w:hAnsi="方正楷体_GBK" w:eastAsia="方正楷体_GBK" w:cs="方正楷体_GBK"/>
          <w:b w:val="0"/>
          <w:bCs w:val="0"/>
          <w:sz w:val="32"/>
          <w:szCs w:val="40"/>
          <w:lang w:val="en-US" w:eastAsia="zh-CN"/>
        </w:rPr>
        <w:t>（一）教育领域</w:t>
      </w:r>
    </w:p>
    <w:p w14:paraId="39D40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lang w:val="en-US" w:eastAsia="zh-CN"/>
        </w:rPr>
      </w:pPr>
      <w:r>
        <w:rPr>
          <w:rFonts w:hint="eastAsia" w:ascii="Times New Roman" w:hAnsi="Times New Roman" w:eastAsia="方正仿宋_GBK" w:cs="Times New Roman"/>
          <w:sz w:val="32"/>
          <w:szCs w:val="40"/>
          <w:lang w:val="en-US" w:eastAsia="zh-CN"/>
        </w:rPr>
        <w:t>教育领域市与区财政事权和支出责任划分，主要从义务教育、学生资助、其它教育等三个方面，针对涉及的义务教育阶段学校（含特殊教育学校）生均公用经费、家庭经济困难学生生活补助、校舍安全保障经费、教师绩效工资、薄弱环节改善与能力提升经费、学前教育政府资助、普通高中免学杂费补助和国家助学金、中等职业教育免学费补助国家奖助学金、专门学校运行经费等9个事项，逐一明确市级财政事权、市与区共同财政事权以及区级财政事权，同时合理划分相应的支出责任。</w:t>
      </w:r>
    </w:p>
    <w:p w14:paraId="6EDD33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lang w:val="en-US" w:eastAsia="zh-CN"/>
        </w:rPr>
      </w:pPr>
      <w:r>
        <w:rPr>
          <w:rFonts w:hint="eastAsia" w:ascii="方正楷体_GBK" w:hAnsi="方正楷体_GBK" w:eastAsia="方正楷体_GBK" w:cs="方正楷体_GBK"/>
          <w:b w:val="0"/>
          <w:bCs w:val="0"/>
          <w:sz w:val="32"/>
          <w:szCs w:val="40"/>
          <w:lang w:val="en-US" w:eastAsia="zh-CN"/>
        </w:rPr>
        <w:t>科技领域</w:t>
      </w:r>
    </w:p>
    <w:p w14:paraId="0E26F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科技领域市与区财政事权和支出责任划分改革重点任务，主要从科技研发、科技成果转移转化、科技创新基地建设发展、区域创新体系建设、社会科学研究及应用、科学技术普及、科技人才队伍建设、科研机构改革发展和重点政策落实等九个方面，针对涉及的基础研究、应用研究与技术研究开发、科技成果转移转化、实验室体系建设、公共研发平台建设、企业研发机构建设、区域科创载体建设、社会科学研究及应用、科学技术普及、科技人才队伍建设、科研机构改革和发展建设、科技创新和产业创新融合发展等12个事项，逐一明确市级财政事权、市与区共同财政事权及区级财政事权，同时合理划分相应的支出责任。</w:t>
      </w:r>
    </w:p>
    <w:p w14:paraId="65B2C1C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lang w:val="en-US" w:eastAsia="zh-CN"/>
        </w:rPr>
      </w:pPr>
      <w:r>
        <w:rPr>
          <w:rFonts w:hint="eastAsia" w:ascii="方正楷体_GBK" w:hAnsi="方正楷体_GBK" w:eastAsia="方正楷体_GBK" w:cs="方正楷体_GBK"/>
          <w:b w:val="0"/>
          <w:bCs w:val="0"/>
          <w:sz w:val="32"/>
          <w:szCs w:val="40"/>
          <w:lang w:val="en-US" w:eastAsia="zh-CN"/>
        </w:rPr>
        <w:t>公共文化领域</w:t>
      </w:r>
    </w:p>
    <w:p w14:paraId="192031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公共文化领域市与区财政事权和支出责任划分，主要从公共文化服务能力建设、基本公共文化服务、文化遗产保护传承、文化艺术创作扶持、文化交流等五个方面，针对涉及的公共文化管理、公共文化服务机构改革和发展建设、基层公共文化设施免费或低收费开放、其他基本公共文化服务事项、物质文化遗产保护、非物质文化遗产保护、文化艺术创作扶持、文化交流等8个事项，逐一明确市级财政事权、市与区共同财政事权以及区级财政事权，同时合理划分相应的支出责任。</w:t>
      </w:r>
    </w:p>
    <w:p w14:paraId="057F9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kern w:val="2"/>
          <w:sz w:val="32"/>
          <w:szCs w:val="40"/>
          <w:lang w:val="en-US" w:eastAsia="zh-CN" w:bidi="ar-SA"/>
        </w:rPr>
        <w:t>（四）</w:t>
      </w:r>
      <w:r>
        <w:rPr>
          <w:rFonts w:hint="eastAsia" w:ascii="方正楷体_GBK" w:hAnsi="方正楷体_GBK" w:eastAsia="方正楷体_GBK" w:cs="方正楷体_GBK"/>
          <w:sz w:val="32"/>
          <w:szCs w:val="40"/>
          <w:lang w:val="en-US" w:eastAsia="zh-CN"/>
        </w:rPr>
        <w:t>医疗卫生领</w:t>
      </w:r>
      <w:r>
        <w:rPr>
          <w:rFonts w:hint="eastAsia" w:ascii="方正楷体_GBK" w:hAnsi="方正楷体_GBK" w:eastAsia="方正楷体_GBK" w:cs="方正楷体_GBK"/>
          <w:b w:val="0"/>
          <w:bCs w:val="0"/>
          <w:sz w:val="32"/>
          <w:szCs w:val="40"/>
          <w:lang w:val="en-US" w:eastAsia="zh-CN"/>
        </w:rPr>
        <w:t>域</w:t>
      </w:r>
    </w:p>
    <w:p w14:paraId="3CABE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b/>
          <w:bCs/>
          <w:sz w:val="32"/>
          <w:szCs w:val="40"/>
          <w:shd w:val="clear" w:color="FFFFFF" w:fill="D9D9D9"/>
          <w:lang w:val="en-US" w:eastAsia="zh-CN"/>
        </w:rPr>
      </w:pPr>
      <w:r>
        <w:rPr>
          <w:rFonts w:hint="default" w:ascii="Times New Roman" w:hAnsi="Times New Roman" w:eastAsia="方正仿宋_GBK" w:cs="Times New Roman"/>
          <w:sz w:val="32"/>
          <w:szCs w:val="40"/>
          <w:lang w:val="en-US" w:eastAsia="zh-CN"/>
        </w:rPr>
        <w:t>医疗卫生领域市与区财政事权和支出责任划分改革</w:t>
      </w:r>
      <w:r>
        <w:rPr>
          <w:rFonts w:hint="eastAsia" w:ascii="Times New Roman" w:hAnsi="Times New Roman" w:eastAsia="方正仿宋_GBK" w:cs="Times New Roman"/>
          <w:sz w:val="32"/>
          <w:szCs w:val="40"/>
          <w:lang w:val="en-US" w:eastAsia="zh-CN"/>
        </w:rPr>
        <w:t>重点任务</w:t>
      </w:r>
      <w:r>
        <w:rPr>
          <w:rFonts w:hint="default" w:ascii="Times New Roman" w:hAnsi="Times New Roman" w:eastAsia="方正仿宋_GBK" w:cs="Times New Roman"/>
          <w:sz w:val="32"/>
          <w:szCs w:val="40"/>
          <w:lang w:val="en-US" w:eastAsia="zh-CN"/>
        </w:rPr>
        <w:t>，主要</w:t>
      </w:r>
      <w:r>
        <w:rPr>
          <w:rFonts w:hint="eastAsia" w:ascii="Times New Roman" w:hAnsi="Times New Roman" w:eastAsia="方正仿宋_GBK" w:cs="Times New Roman"/>
          <w:sz w:val="32"/>
          <w:szCs w:val="40"/>
          <w:lang w:val="en-US" w:eastAsia="zh-CN"/>
        </w:rPr>
        <w:t>从</w:t>
      </w:r>
      <w:r>
        <w:rPr>
          <w:rFonts w:hint="default" w:ascii="Times New Roman" w:hAnsi="Times New Roman" w:eastAsia="方正仿宋_GBK" w:cs="Times New Roman"/>
          <w:sz w:val="32"/>
          <w:szCs w:val="40"/>
          <w:lang w:val="en-US" w:eastAsia="zh-CN"/>
        </w:rPr>
        <w:t>公共卫生、医疗保障、计划生育、</w:t>
      </w:r>
      <w:r>
        <w:rPr>
          <w:rFonts w:hint="eastAsia" w:ascii="Times New Roman" w:hAnsi="Times New Roman" w:eastAsia="方正仿宋_GBK" w:cs="Times New Roman"/>
          <w:sz w:val="32"/>
          <w:szCs w:val="40"/>
          <w:lang w:val="en-US" w:eastAsia="zh-CN"/>
        </w:rPr>
        <w:t>能力建设及其他事项等五</w:t>
      </w:r>
      <w:r>
        <w:rPr>
          <w:rFonts w:hint="default" w:ascii="Times New Roman" w:hAnsi="Times New Roman" w:eastAsia="方正仿宋_GBK" w:cs="Times New Roman"/>
          <w:sz w:val="32"/>
          <w:szCs w:val="40"/>
          <w:lang w:val="en-US" w:eastAsia="zh-CN"/>
        </w:rPr>
        <w:t>个方面，</w:t>
      </w:r>
      <w:r>
        <w:rPr>
          <w:rFonts w:hint="eastAsia" w:ascii="Times New Roman" w:hAnsi="Times New Roman" w:eastAsia="方正仿宋_GBK" w:cs="Times New Roman"/>
          <w:sz w:val="32"/>
          <w:szCs w:val="40"/>
          <w:lang w:val="en-US" w:eastAsia="zh-CN"/>
        </w:rPr>
        <w:t>针对涉及的</w:t>
      </w:r>
      <w:r>
        <w:rPr>
          <w:rFonts w:hint="default" w:ascii="Times New Roman" w:hAnsi="Times New Roman" w:eastAsia="方正仿宋_GBK" w:cs="Times New Roman"/>
          <w:sz w:val="32"/>
          <w:szCs w:val="40"/>
          <w:lang w:val="en-US" w:eastAsia="zh-CN"/>
        </w:rPr>
        <w:t>基本公共卫生服务、免费婚前检查</w:t>
      </w:r>
      <w:r>
        <w:rPr>
          <w:rFonts w:hint="eastAsia" w:ascii="Times New Roman" w:hAnsi="Times New Roman" w:eastAsia="方正仿宋_GBK" w:cs="Times New Roman"/>
          <w:sz w:val="32"/>
          <w:szCs w:val="40"/>
          <w:lang w:val="en-US" w:eastAsia="zh-CN"/>
        </w:rPr>
        <w:t>服务</w:t>
      </w:r>
      <w:r>
        <w:rPr>
          <w:rFonts w:hint="default" w:ascii="Times New Roman" w:hAnsi="Times New Roman" w:eastAsia="方正仿宋_GBK" w:cs="Times New Roman"/>
          <w:sz w:val="32"/>
          <w:szCs w:val="40"/>
          <w:lang w:val="en-US" w:eastAsia="zh-CN"/>
        </w:rPr>
        <w:t>、</w:t>
      </w:r>
      <w:r>
        <w:rPr>
          <w:rFonts w:hint="eastAsia" w:ascii="Times New Roman" w:hAnsi="Times New Roman" w:eastAsia="方正仿宋_GBK" w:cs="Times New Roman"/>
          <w:sz w:val="32"/>
          <w:szCs w:val="40"/>
          <w:lang w:val="en-US" w:eastAsia="zh-CN"/>
        </w:rPr>
        <w:t>适龄妇女免费“两癌”检查服务</w:t>
      </w:r>
      <w:r>
        <w:rPr>
          <w:rFonts w:hint="default" w:ascii="Times New Roman" w:hAnsi="Times New Roman" w:eastAsia="方正仿宋_GBK" w:cs="Times New Roman"/>
          <w:sz w:val="32"/>
          <w:szCs w:val="40"/>
          <w:lang w:val="en-US" w:eastAsia="zh-CN"/>
        </w:rPr>
        <w:t>、城乡居民基本医疗保险补助、长期护理保险补助、城乡医疗救助</w:t>
      </w:r>
      <w:r>
        <w:rPr>
          <w:rFonts w:hint="eastAsia" w:ascii="Times New Roman" w:hAnsi="Times New Roman" w:eastAsia="方正仿宋_GBK" w:cs="Times New Roman"/>
          <w:sz w:val="32"/>
          <w:szCs w:val="40"/>
          <w:lang w:val="en-US" w:eastAsia="zh-CN"/>
        </w:rPr>
        <w:t>、</w:t>
      </w:r>
      <w:r>
        <w:rPr>
          <w:rFonts w:hint="default" w:ascii="Times New Roman" w:hAnsi="Times New Roman" w:eastAsia="方正仿宋_GBK" w:cs="Times New Roman"/>
          <w:sz w:val="32"/>
          <w:szCs w:val="40"/>
          <w:lang w:val="en-US" w:eastAsia="zh-CN"/>
        </w:rPr>
        <w:t>计划生育特殊困难家庭对象住院护理保险、</w:t>
      </w:r>
      <w:r>
        <w:rPr>
          <w:rFonts w:hint="eastAsia" w:ascii="方正仿宋_GBK" w:hAnsi="方正仿宋_GBK" w:eastAsia="方正仿宋_GBK" w:cs="方正仿宋_GBK"/>
          <w:snapToGrid/>
          <w:color w:val="000000"/>
          <w:kern w:val="2"/>
          <w:sz w:val="32"/>
          <w:szCs w:val="32"/>
          <w:highlight w:val="none"/>
          <w:u w:val="none"/>
          <w:shd w:val="clear"/>
          <w:lang w:val="en-US" w:eastAsia="zh-CN" w:bidi="ar-SA"/>
        </w:rPr>
        <w:t>持独生子女父母光荣证退休职工一次性奖励金</w:t>
      </w:r>
      <w:r>
        <w:rPr>
          <w:rFonts w:hint="default" w:ascii="Times New Roman" w:hAnsi="Times New Roman" w:eastAsia="方正仿宋_GBK" w:cs="Times New Roman"/>
          <w:sz w:val="32"/>
          <w:szCs w:val="40"/>
          <w:lang w:val="en-US" w:eastAsia="zh-CN"/>
        </w:rPr>
        <w:t>、</w:t>
      </w:r>
      <w:r>
        <w:rPr>
          <w:rFonts w:hint="eastAsia" w:ascii="方正仿宋_GBK" w:hAnsi="方正仿宋_GBK" w:eastAsia="方正仿宋_GBK" w:cs="方正仿宋_GBK"/>
          <w:snapToGrid/>
          <w:color w:val="000000"/>
          <w:kern w:val="2"/>
          <w:sz w:val="32"/>
          <w:szCs w:val="32"/>
          <w:highlight w:val="none"/>
          <w:u w:val="none"/>
          <w:shd w:val="clear"/>
          <w:lang w:val="en-US" w:eastAsia="zh-CN" w:bidi="ar-SA"/>
        </w:rPr>
        <w:t>医疗卫生机构改革和发展建设</w:t>
      </w:r>
      <w:r>
        <w:rPr>
          <w:rFonts w:hint="default" w:ascii="Times New Roman" w:hAnsi="Times New Roman" w:eastAsia="方正仿宋_GBK" w:cs="Times New Roman"/>
          <w:sz w:val="32"/>
          <w:szCs w:val="40"/>
          <w:lang w:val="en-US" w:eastAsia="zh-CN"/>
        </w:rPr>
        <w:t>、</w:t>
      </w:r>
      <w:r>
        <w:rPr>
          <w:rFonts w:hint="eastAsia" w:ascii="方正仿宋_GBK" w:hAnsi="方正仿宋_GBK" w:eastAsia="方正仿宋_GBK" w:cs="方正仿宋_GBK"/>
          <w:snapToGrid/>
          <w:color w:val="000000"/>
          <w:kern w:val="2"/>
          <w:sz w:val="32"/>
          <w:szCs w:val="32"/>
          <w:highlight w:val="none"/>
          <w:u w:val="none"/>
          <w:shd w:val="clear"/>
          <w:lang w:val="en-US" w:eastAsia="zh-CN" w:bidi="ar-SA"/>
        </w:rPr>
        <w:t>卫生健康管理事务</w:t>
      </w:r>
      <w:r>
        <w:rPr>
          <w:rFonts w:hint="default" w:ascii="Times New Roman" w:hAnsi="Times New Roman" w:eastAsia="方正仿宋_GBK" w:cs="Times New Roman"/>
          <w:sz w:val="32"/>
          <w:szCs w:val="40"/>
          <w:lang w:val="en-US" w:eastAsia="zh-CN"/>
        </w:rPr>
        <w:t>等10个事项</w:t>
      </w:r>
      <w:r>
        <w:rPr>
          <w:rFonts w:hint="eastAsia" w:ascii="Times New Roman" w:hAnsi="Times New Roman" w:eastAsia="方正仿宋_GBK" w:cs="Times New Roman"/>
          <w:sz w:val="32"/>
          <w:szCs w:val="40"/>
          <w:lang w:val="en-US" w:eastAsia="zh-CN"/>
        </w:rPr>
        <w:t>，逐一明确市级财政事权、市与区共同财政事权及区级财政事权，同时合理划分相应的支出责任。</w:t>
      </w:r>
    </w:p>
    <w:p w14:paraId="79FE302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楷体_GBK" w:hAnsi="方正楷体_GBK" w:eastAsia="方正楷体_GBK" w:cs="方正楷体_GBK"/>
          <w:b w:val="0"/>
          <w:bCs w:val="0"/>
          <w:sz w:val="32"/>
          <w:szCs w:val="40"/>
          <w:shd w:val="clear" w:color="auto" w:fill="auto"/>
          <w:lang w:val="en-US" w:eastAsia="zh-CN"/>
        </w:rPr>
        <w:t>生态环境领域</w:t>
      </w:r>
    </w:p>
    <w:p w14:paraId="43DA59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仿宋_GBK" w:hAnsi="方正仿宋_GBK" w:eastAsia="方正仿宋_GBK" w:cs="方正仿宋_GBK"/>
          <w:b w:val="0"/>
          <w:bCs w:val="0"/>
          <w:sz w:val="32"/>
          <w:szCs w:val="40"/>
          <w:shd w:val="clear" w:color="auto" w:fill="auto"/>
          <w:lang w:val="en-US" w:eastAsia="zh-CN"/>
        </w:rPr>
        <w:t>生态环境领域市与区财政事权和支出责任划分改革重点任务，主要从规划制度制定、监测执法、管理事务和能力建设、污染防治及其他事项等五个方面，针对涉及的生态环境规划、监测、执法，生态保护和修复，环境影响评价，生态环保宣传，生态环境信息，水、大气、土壤和固体污染防治等事项，逐一明确市级财政事权、市与区共同财政事权及区级财政事权，同时合理划分相应的支出责任。</w:t>
      </w:r>
    </w:p>
    <w:p w14:paraId="5554D3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楷体_GBK" w:hAnsi="方正楷体_GBK" w:eastAsia="方正楷体_GBK" w:cs="方正楷体_GBK"/>
          <w:b w:val="0"/>
          <w:bCs w:val="0"/>
          <w:sz w:val="32"/>
          <w:szCs w:val="40"/>
          <w:shd w:val="clear" w:color="auto" w:fill="auto"/>
          <w:lang w:val="en-US" w:eastAsia="zh-CN"/>
        </w:rPr>
        <w:t>自然资源领域</w:t>
      </w:r>
    </w:p>
    <w:p w14:paraId="528A3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仿宋_GBK" w:hAnsi="方正仿宋_GBK" w:eastAsia="方正仿宋_GBK" w:cs="方正仿宋_GBK"/>
          <w:b w:val="0"/>
          <w:bCs w:val="0"/>
          <w:sz w:val="32"/>
          <w:szCs w:val="40"/>
          <w:shd w:val="clear" w:color="auto" w:fill="auto"/>
          <w:lang w:val="en-US" w:eastAsia="zh-CN"/>
        </w:rPr>
        <w:t>自然资源领域市与区财政事权和支出责任划分改革重点任务，主要从自然资源调查监测、自然资源产权管理、国土空间规划和用途管制、国土空间生态保护修复、自然资源保护监管、自然资源领域灾害防治及其他事项等七个方面，针对涉及的自然资源基础调查、确权登记、有偿使用和权益管理，国土空间规划，国土空间用途管制，国土空间生态保护修复，自然资源保护监管，灾害防治等事项，逐一明确市级财政事权、市与区共同财政事权及区级财政事权，同时合理划分相应的支出责任。</w:t>
      </w:r>
    </w:p>
    <w:p w14:paraId="5BB1A36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楷体_GBK" w:hAnsi="方正楷体_GBK" w:eastAsia="方正楷体_GBK" w:cs="方正楷体_GBK"/>
          <w:b w:val="0"/>
          <w:bCs w:val="0"/>
          <w:sz w:val="32"/>
          <w:szCs w:val="40"/>
          <w:shd w:val="clear" w:color="auto" w:fill="auto"/>
          <w:lang w:val="en-US" w:eastAsia="zh-CN"/>
        </w:rPr>
        <w:t>应急救援领域</w:t>
      </w:r>
    </w:p>
    <w:p w14:paraId="68E543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仿宋_GBK" w:hAnsi="方正仿宋_GBK" w:eastAsia="方正仿宋_GBK" w:cs="方正仿宋_GBK"/>
          <w:b w:val="0"/>
          <w:bCs w:val="0"/>
          <w:sz w:val="32"/>
          <w:szCs w:val="40"/>
          <w:shd w:val="clear" w:color="auto" w:fill="auto"/>
          <w:lang w:val="en-US" w:eastAsia="zh-CN"/>
        </w:rPr>
        <w:t>应急救援领域市与区财政事权和支出责任划分改革重点任务，主要从预防与应急准备、灾害事故风险隐患调查及监测预警、应急处置与救援救灾及其他事项等四个方面，针对涉及的应急管理制度建设、救援能力建设、管理信息系统建设、安全生产监督管理、宣传教育培训、应急领域科技研究推广应用、灾害事故风险隐患调查、灾害事故监测预警等事项，逐一明确市级财政事权、市与区共同财政事权及区级财政事权，同时合理划分相应的支出责任。</w:t>
      </w:r>
    </w:p>
    <w:p w14:paraId="7896946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sz w:val="32"/>
          <w:szCs w:val="40"/>
          <w:shd w:val="clear" w:color="auto" w:fill="auto"/>
          <w:lang w:val="en-US" w:eastAsia="zh-CN"/>
        </w:rPr>
      </w:pPr>
      <w:r>
        <w:rPr>
          <w:rFonts w:hint="eastAsia" w:ascii="方正楷体_GBK" w:hAnsi="方正楷体_GBK" w:eastAsia="方正楷体_GBK" w:cs="方正楷体_GBK"/>
          <w:b w:val="0"/>
          <w:bCs w:val="0"/>
          <w:sz w:val="32"/>
          <w:szCs w:val="40"/>
          <w:shd w:val="clear" w:color="auto" w:fill="auto"/>
          <w:lang w:val="en-US" w:eastAsia="zh-CN"/>
        </w:rPr>
        <w:t>交通运输领域</w:t>
      </w:r>
    </w:p>
    <w:p w14:paraId="55004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交通运输</w:t>
      </w:r>
      <w:r>
        <w:rPr>
          <w:rFonts w:hint="default" w:ascii="Times New Roman" w:hAnsi="Times New Roman" w:eastAsia="方正仿宋_GBK" w:cs="Times New Roman"/>
          <w:sz w:val="32"/>
          <w:szCs w:val="40"/>
          <w:lang w:val="en-US" w:eastAsia="zh-CN"/>
        </w:rPr>
        <w:t>领域市与区财政事权和支出责任划分改革重点任务，从公路、港航、铁路、民航、邮政和综合交通等</w:t>
      </w:r>
      <w:r>
        <w:rPr>
          <w:rFonts w:hint="eastAsia" w:ascii="Times New Roman" w:hAnsi="Times New Roman" w:eastAsia="方正仿宋_GBK" w:cs="Times New Roman"/>
          <w:sz w:val="32"/>
          <w:szCs w:val="40"/>
          <w:lang w:val="en-US" w:eastAsia="zh-CN"/>
        </w:rPr>
        <w:t>六</w:t>
      </w:r>
      <w:r>
        <w:rPr>
          <w:rFonts w:hint="default" w:ascii="Times New Roman" w:hAnsi="Times New Roman" w:eastAsia="方正仿宋_GBK" w:cs="Times New Roman"/>
          <w:sz w:val="32"/>
          <w:szCs w:val="40"/>
          <w:lang w:val="en-US" w:eastAsia="zh-CN"/>
        </w:rPr>
        <w:t>个方面，</w:t>
      </w:r>
      <w:r>
        <w:rPr>
          <w:rFonts w:hint="eastAsia" w:ascii="Times New Roman" w:hAnsi="Times New Roman" w:eastAsia="方正仿宋_GBK" w:cs="Times New Roman"/>
          <w:sz w:val="32"/>
          <w:szCs w:val="40"/>
          <w:lang w:val="en-US" w:eastAsia="zh-CN"/>
        </w:rPr>
        <w:t>针对涉及的</w:t>
      </w:r>
      <w:r>
        <w:rPr>
          <w:rFonts w:hint="default" w:ascii="Times New Roman" w:hAnsi="Times New Roman" w:eastAsia="方正仿宋_GBK" w:cs="Times New Roman"/>
          <w:sz w:val="32"/>
          <w:szCs w:val="40"/>
          <w:lang w:val="en-US" w:eastAsia="zh-CN"/>
        </w:rPr>
        <w:t>高速公路、普通国省道、农村公路、航道、港口、铁路、民航、邮政、运输发展、综合执法、应急保障等11个事项，</w:t>
      </w:r>
      <w:r>
        <w:rPr>
          <w:rFonts w:hint="eastAsia" w:ascii="Times New Roman" w:hAnsi="Times New Roman" w:eastAsia="方正仿宋_GBK" w:cs="Times New Roman"/>
          <w:sz w:val="32"/>
          <w:szCs w:val="40"/>
          <w:lang w:val="en-US" w:eastAsia="zh-CN"/>
        </w:rPr>
        <w:t>逐一明确市级财政事权、市与区共同财政事权及区级财政事权，同时合理划分相应的支出责任。</w:t>
      </w:r>
    </w:p>
    <w:p w14:paraId="28B5E1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通过</w:t>
      </w:r>
      <w:r>
        <w:rPr>
          <w:rFonts w:hint="eastAsia" w:ascii="Times New Roman" w:hAnsi="Times New Roman" w:eastAsia="方正仿宋_GBK" w:cs="Times New Roman"/>
          <w:sz w:val="32"/>
          <w:szCs w:val="40"/>
          <w:lang w:val="en-US" w:eastAsia="zh-CN"/>
        </w:rPr>
        <w:t>对</w:t>
      </w:r>
      <w:r>
        <w:rPr>
          <w:rFonts w:hint="default" w:ascii="Times New Roman" w:hAnsi="Times New Roman" w:eastAsia="方正仿宋_GBK" w:cs="Times New Roman"/>
          <w:sz w:val="32"/>
          <w:szCs w:val="40"/>
          <w:lang w:val="en-US" w:eastAsia="zh-CN"/>
        </w:rPr>
        <w:t>上述领域的细化政策标准与资源配置优化，进一步厘清市与区财政事权边界，规范支出责任分担机制，强化财政保障的可持续性，</w:t>
      </w:r>
      <w:r>
        <w:rPr>
          <w:rFonts w:hint="eastAsia" w:ascii="Times New Roman" w:hAnsi="Times New Roman" w:eastAsia="方正仿宋_GBK" w:cs="Times New Roman"/>
          <w:sz w:val="32"/>
          <w:szCs w:val="40"/>
          <w:lang w:val="en-US" w:eastAsia="zh-CN"/>
        </w:rPr>
        <w:t>同时</w:t>
      </w:r>
      <w:r>
        <w:rPr>
          <w:rFonts w:hint="default" w:ascii="Times New Roman" w:hAnsi="Times New Roman" w:eastAsia="方正仿宋_GBK" w:cs="Times New Roman"/>
          <w:sz w:val="32"/>
          <w:szCs w:val="40"/>
          <w:lang w:val="en-US" w:eastAsia="zh-CN"/>
        </w:rPr>
        <w:t>也为提升公共服务均等化水平、推动区域协调发展提供了坚实的制度支撑。</w:t>
      </w:r>
    </w:p>
    <w:p w14:paraId="32FBBB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40"/>
          <w:shd w:val="clear" w:color="auto" w:fill="auto"/>
          <w:lang w:val="en-US" w:eastAsia="zh-CN" w:bidi="ar-SA"/>
        </w:rPr>
      </w:pPr>
      <w:r>
        <w:rPr>
          <w:rFonts w:hint="eastAsia" w:ascii="黑体" w:hAnsi="黑体" w:eastAsia="黑体" w:cs="黑体"/>
          <w:kern w:val="2"/>
          <w:sz w:val="32"/>
          <w:szCs w:val="40"/>
          <w:shd w:val="clear" w:color="auto" w:fill="auto"/>
          <w:lang w:val="en-US" w:eastAsia="zh-CN" w:bidi="ar-SA"/>
        </w:rPr>
        <w:t>保障措施</w:t>
      </w:r>
    </w:p>
    <w:p w14:paraId="7C21A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一是切实加强组织领导，各区及各相关部门需密切协作，结合地区实际细化政策措施，形成上下联动、协同推进的工作格局，保障改革任务有序有效开展。二是严格落实支出责任，根据改革明确的财政事权和支出责任划分，各区政府要科学规划、合理安排资金，确保职责履行到位。三是强化资金绩效管理，加快建立健全相关领域预算绩效管理机制，深化财政、审计等部门联动监管机制，确保资金安全高效使用。四是统筹协调动态优化，根据经济社会发展及上级政策变化，适时调整财政事权与支出责任，确保改革措施与时俱进、科学有效。</w:t>
      </w:r>
    </w:p>
    <w:sectPr>
      <w:footerReference r:id="rId3" w:type="default"/>
      <w:pgSz w:w="11906" w:h="16838"/>
      <w:pgMar w:top="170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4A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084CB">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7084CB">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6957E"/>
    <w:multiLevelType w:val="singleLevel"/>
    <w:tmpl w:val="EDB6957E"/>
    <w:lvl w:ilvl="0" w:tentative="0">
      <w:start w:val="3"/>
      <w:numFmt w:val="chineseCounting"/>
      <w:suff w:val="nothing"/>
      <w:lvlText w:val="%1、"/>
      <w:lvlJc w:val="left"/>
      <w:rPr>
        <w:rFonts w:hint="eastAsia"/>
      </w:rPr>
    </w:lvl>
  </w:abstractNum>
  <w:abstractNum w:abstractNumId="1">
    <w:nsid w:val="3F38598B"/>
    <w:multiLevelType w:val="singleLevel"/>
    <w:tmpl w:val="3F38598B"/>
    <w:lvl w:ilvl="0" w:tentative="0">
      <w:start w:val="2"/>
      <w:numFmt w:val="chineseCounting"/>
      <w:suff w:val="nothing"/>
      <w:lvlText w:val="（%1）"/>
      <w:lvlJc w:val="left"/>
      <w:rPr>
        <w:rFonts w:hint="eastAsia"/>
      </w:rPr>
    </w:lvl>
  </w:abstractNum>
  <w:abstractNum w:abstractNumId="2">
    <w:nsid w:val="7A4C45D0"/>
    <w:multiLevelType w:val="singleLevel"/>
    <w:tmpl w:val="7A4C45D0"/>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02A99"/>
    <w:rsid w:val="056C7AEF"/>
    <w:rsid w:val="1424747F"/>
    <w:rsid w:val="163C4F8E"/>
    <w:rsid w:val="1AD87D51"/>
    <w:rsid w:val="1CE76D81"/>
    <w:rsid w:val="1FD71884"/>
    <w:rsid w:val="20CB6C58"/>
    <w:rsid w:val="2B457FE9"/>
    <w:rsid w:val="2E7C6894"/>
    <w:rsid w:val="32E6032C"/>
    <w:rsid w:val="333A41AC"/>
    <w:rsid w:val="351472BB"/>
    <w:rsid w:val="406B528B"/>
    <w:rsid w:val="428471F1"/>
    <w:rsid w:val="492E435B"/>
    <w:rsid w:val="4EE32DDC"/>
    <w:rsid w:val="52972F71"/>
    <w:rsid w:val="55012924"/>
    <w:rsid w:val="5910752F"/>
    <w:rsid w:val="5AA93841"/>
    <w:rsid w:val="62943029"/>
    <w:rsid w:val="6F90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2830</Words>
  <Characters>2837</Characters>
  <Lines>0</Lines>
  <Paragraphs>0</Paragraphs>
  <TotalTime>5</TotalTime>
  <ScaleCrop>false</ScaleCrop>
  <LinksUpToDate>false</LinksUpToDate>
  <CharactersWithSpaces>2837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2025-10-27T02:17:00Z</dcterms:created>
  <dc:creator>Administrator</dc:creator>
  <cp:lastModifiedBy>dl</cp:lastModifiedBy>
  <cp:lastPrinted>2025-10-27T03:24:00Z</cp:lastPrinted>
  <dcterms:modified xsi:type="dcterms:W3CDTF">2025-11-11T02:39:00Z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eyJoZGlkIjoiYWFlNmQ0MTljNGU4ZTNlZTM2ZDVlODIwMmU1OGQ1YjgiLCJ1c2VySWQiOiIzOTAyNDg5NTEifQ==</vt:lpwstr>
  </property>
  <property fmtid="{D5CDD505-2E9C-101B-9397-08002B2CF9AE}" pid="4" name="ICV">
    <vt:lpwstr>3EB868E7C1B74CCFA8A66FC89AD25888_13</vt:lpwstr>
  </property>
</Properties>
</file>