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E106F">
      <w:pPr>
        <w:pStyle w:val="6"/>
        <w:keepNext w:val="0"/>
        <w:keepLines w:val="0"/>
        <w:pageBreakBefore w:val="0"/>
        <w:widowControl w:val="0"/>
        <w:numPr>
          <w:ilvl w:val="0"/>
          <w:numId w:val="0"/>
        </w:numPr>
        <w:kinsoku/>
        <w:wordWrap/>
        <w:overflowPunct/>
        <w:topLinePunct w:val="0"/>
        <w:autoSpaceDE/>
        <w:autoSpaceDN/>
        <w:bidi w:val="0"/>
        <w:adjustRightInd/>
        <w:snapToGrid/>
        <w:spacing w:line="660" w:lineRule="exact"/>
        <w:ind w:leftChars="0"/>
        <w:jc w:val="center"/>
        <w:textAlignment w:val="auto"/>
        <w:rPr>
          <w:rFonts w:hint="eastAsia" w:ascii="方正小标宋简体" w:hAnsi="方正小标宋简体" w:eastAsia="方正小标宋简体" w:cs="方正小标宋简体"/>
          <w:b w:val="0"/>
          <w:bCs/>
          <w:sz w:val="44"/>
          <w:szCs w:val="44"/>
        </w:rPr>
      </w:pPr>
    </w:p>
    <w:p w14:paraId="079E0E15">
      <w:pPr>
        <w:pStyle w:val="6"/>
        <w:keepNext w:val="0"/>
        <w:keepLines w:val="0"/>
        <w:pageBreakBefore w:val="0"/>
        <w:widowControl w:val="0"/>
        <w:numPr>
          <w:ilvl w:val="0"/>
          <w:numId w:val="0"/>
        </w:numPr>
        <w:kinsoku/>
        <w:wordWrap/>
        <w:overflowPunct/>
        <w:topLinePunct w:val="0"/>
        <w:autoSpaceDE/>
        <w:autoSpaceDN/>
        <w:bidi w:val="0"/>
        <w:adjustRightInd/>
        <w:snapToGrid/>
        <w:spacing w:line="660" w:lineRule="exact"/>
        <w:ind w:leftChars="0"/>
        <w:jc w:val="center"/>
        <w:textAlignment w:val="auto"/>
        <w:rPr>
          <w:rFonts w:hint="eastAsia" w:ascii="方正小标宋简体" w:hAnsi="方正小标宋简体" w:eastAsia="方正小标宋简体" w:cs="方正小标宋简体"/>
          <w:spacing w:val="-11"/>
          <w:kern w:val="2"/>
          <w:sz w:val="44"/>
          <w:szCs w:val="44"/>
          <w:lang w:val="en-US" w:eastAsia="zh-CN" w:bidi="ar-SA"/>
        </w:rPr>
      </w:pPr>
      <w:r>
        <w:rPr>
          <w:rFonts w:hint="eastAsia" w:ascii="方正小标宋简体" w:hAnsi="方正小标宋简体" w:eastAsia="方正小标宋简体" w:cs="方正小标宋简体"/>
          <w:spacing w:val="-11"/>
          <w:kern w:val="2"/>
          <w:sz w:val="44"/>
          <w:szCs w:val="44"/>
          <w:lang w:val="en-US" w:eastAsia="zh-CN" w:bidi="ar-SA"/>
        </w:rPr>
        <w:t>《泰州市城市地下空间开发利用专项规划（2021—2035年）》</w:t>
      </w:r>
    </w:p>
    <w:p w14:paraId="53307866">
      <w:pPr>
        <w:pStyle w:val="6"/>
        <w:keepNext w:val="0"/>
        <w:keepLines w:val="0"/>
        <w:pageBreakBefore w:val="0"/>
        <w:widowControl w:val="0"/>
        <w:numPr>
          <w:ilvl w:val="0"/>
          <w:numId w:val="0"/>
        </w:numPr>
        <w:kinsoku/>
        <w:wordWrap/>
        <w:overflowPunct/>
        <w:topLinePunct w:val="0"/>
        <w:autoSpaceDE/>
        <w:autoSpaceDN/>
        <w:bidi w:val="0"/>
        <w:adjustRightInd/>
        <w:snapToGrid/>
        <w:spacing w:line="660" w:lineRule="exact"/>
        <w:ind w:leftChars="0"/>
        <w:jc w:val="center"/>
        <w:textAlignment w:val="auto"/>
        <w:rPr>
          <w:rFonts w:hint="eastAsia" w:ascii="方正小标宋简体" w:hAnsi="方正小标宋简体" w:eastAsia="方正小标宋简体" w:cs="方正小标宋简体"/>
          <w:spacing w:val="-11"/>
          <w:kern w:val="2"/>
          <w:sz w:val="44"/>
          <w:szCs w:val="44"/>
          <w:lang w:val="en-US" w:eastAsia="zh-CN" w:bidi="ar-SA"/>
        </w:rPr>
      </w:pPr>
    </w:p>
    <w:p w14:paraId="147EA9AE">
      <w:pPr>
        <w:pStyle w:val="6"/>
        <w:keepNext w:val="0"/>
        <w:keepLines w:val="0"/>
        <w:pageBreakBefore w:val="0"/>
        <w:widowControl w:val="0"/>
        <w:numPr>
          <w:ilvl w:val="0"/>
          <w:numId w:val="0"/>
        </w:numPr>
        <w:kinsoku/>
        <w:wordWrap/>
        <w:overflowPunct/>
        <w:topLinePunct w:val="0"/>
        <w:autoSpaceDE/>
        <w:autoSpaceDN/>
        <w:bidi w:val="0"/>
        <w:adjustRightInd/>
        <w:snapToGrid/>
        <w:spacing w:line="660" w:lineRule="exact"/>
        <w:ind w:leftChars="0"/>
        <w:jc w:val="center"/>
        <w:textAlignment w:val="auto"/>
        <w:rPr>
          <w:rFonts w:hint="eastAsia" w:ascii="楷体" w:hAnsi="楷体" w:eastAsia="楷体" w:cs="楷体"/>
          <w:spacing w:val="-11"/>
          <w:kern w:val="2"/>
          <w:sz w:val="32"/>
          <w:szCs w:val="32"/>
          <w:lang w:val="en-US" w:eastAsia="zh-CN" w:bidi="ar-SA"/>
        </w:rPr>
      </w:pPr>
      <w:r>
        <w:rPr>
          <w:rFonts w:hint="eastAsia" w:ascii="楷体" w:hAnsi="楷体" w:eastAsia="楷体" w:cs="楷体"/>
          <w:spacing w:val="-11"/>
          <w:kern w:val="2"/>
          <w:sz w:val="32"/>
          <w:szCs w:val="32"/>
          <w:lang w:val="en-US" w:eastAsia="zh-CN" w:bidi="ar-SA"/>
        </w:rPr>
        <w:t>（公开征求意见稿）</w:t>
      </w:r>
    </w:p>
    <w:p w14:paraId="3F9C4715">
      <w:pPr>
        <w:pStyle w:val="6"/>
        <w:keepNext w:val="0"/>
        <w:keepLines w:val="0"/>
        <w:pageBreakBefore w:val="0"/>
        <w:widowControl w:val="0"/>
        <w:numPr>
          <w:ilvl w:val="0"/>
          <w:numId w:val="0"/>
        </w:numPr>
        <w:kinsoku/>
        <w:wordWrap/>
        <w:overflowPunct/>
        <w:topLinePunct w:val="0"/>
        <w:autoSpaceDE/>
        <w:autoSpaceDN/>
        <w:bidi w:val="0"/>
        <w:adjustRightInd/>
        <w:snapToGrid/>
        <w:spacing w:line="660" w:lineRule="exact"/>
        <w:ind w:leftChars="0"/>
        <w:jc w:val="center"/>
        <w:textAlignment w:val="auto"/>
        <w:rPr>
          <w:rFonts w:hint="eastAsia" w:ascii="方正小标宋简体" w:hAnsi="方正小标宋简体" w:eastAsia="方正小标宋简体" w:cs="方正小标宋简体"/>
          <w:spacing w:val="-11"/>
          <w:kern w:val="2"/>
          <w:sz w:val="44"/>
          <w:szCs w:val="44"/>
          <w:lang w:val="en-US" w:eastAsia="zh-CN" w:bidi="ar-SA"/>
        </w:rPr>
      </w:pPr>
    </w:p>
    <w:p w14:paraId="685EA147">
      <w:pPr>
        <w:pStyle w:val="6"/>
        <w:numPr>
          <w:ilvl w:val="0"/>
          <w:numId w:val="0"/>
        </w:numPr>
        <w:spacing w:line="360" w:lineRule="auto"/>
        <w:ind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lang w:val="en-US" w:eastAsia="zh-CN"/>
        </w:rPr>
        <w:t>一、</w:t>
      </w:r>
      <w:r>
        <w:rPr>
          <w:rFonts w:hint="eastAsia" w:ascii="方正黑体_GBK" w:hAnsi="方正黑体_GBK" w:eastAsia="方正黑体_GBK" w:cs="方正黑体_GBK"/>
          <w:b w:val="0"/>
          <w:bCs/>
          <w:sz w:val="32"/>
          <w:szCs w:val="32"/>
        </w:rPr>
        <w:t>规划范围</w:t>
      </w:r>
    </w:p>
    <w:p w14:paraId="115E10F7">
      <w:pPr>
        <w:pStyle w:val="6"/>
        <w:spacing w:line="360" w:lineRule="auto"/>
        <w:ind w:firstLine="48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规划范围为《泰州市国土空间总体规划（2021-2035年）》中划定的中心城区范围，包括海陵区、医药高新区（高港区）、姜堰区所属全部街道以及野徐镇、白马镇、苏陈镇、永安洲镇的行政辖区范围，总面积700.92平方公里。</w:t>
      </w:r>
    </w:p>
    <w:p w14:paraId="60BD83FC">
      <w:pPr>
        <w:pStyle w:val="6"/>
        <w:numPr>
          <w:ilvl w:val="0"/>
          <w:numId w:val="0"/>
        </w:numPr>
        <w:spacing w:line="360" w:lineRule="auto"/>
        <w:ind w:leftChars="0"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lang w:val="en-US" w:eastAsia="zh-CN"/>
        </w:rPr>
        <w:t>二、</w:t>
      </w:r>
      <w:r>
        <w:rPr>
          <w:rFonts w:hint="eastAsia" w:ascii="方正黑体_GBK" w:hAnsi="方正黑体_GBK" w:eastAsia="方正黑体_GBK" w:cs="方正黑体_GBK"/>
          <w:b w:val="0"/>
          <w:bCs/>
          <w:sz w:val="32"/>
          <w:szCs w:val="32"/>
        </w:rPr>
        <w:t>规划期限</w:t>
      </w:r>
    </w:p>
    <w:p w14:paraId="617D337C">
      <w:pPr>
        <w:pStyle w:val="6"/>
        <w:spacing w:line="360" w:lineRule="auto"/>
        <w:ind w:firstLine="48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依据《泰州市国土空间总体规划（2021-2035年）》，规划期限为2021-2035年。其中：近期为2021-2025年；远期为2026-2035年。</w:t>
      </w:r>
    </w:p>
    <w:p w14:paraId="1B2D0D31">
      <w:pPr>
        <w:pStyle w:val="6"/>
        <w:numPr>
          <w:ilvl w:val="0"/>
          <w:numId w:val="0"/>
        </w:numPr>
        <w:spacing w:line="360" w:lineRule="auto"/>
        <w:ind w:leftChars="0"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lang w:val="en-US" w:eastAsia="zh-CN"/>
        </w:rPr>
        <w:t>三、</w:t>
      </w:r>
      <w:r>
        <w:rPr>
          <w:rFonts w:hint="eastAsia" w:ascii="方正黑体_GBK" w:hAnsi="方正黑体_GBK" w:eastAsia="方正黑体_GBK" w:cs="方正黑体_GBK"/>
          <w:b w:val="0"/>
          <w:bCs/>
          <w:sz w:val="32"/>
          <w:szCs w:val="32"/>
        </w:rPr>
        <w:t>规划目标</w:t>
      </w:r>
    </w:p>
    <w:p w14:paraId="2A5FCEEB">
      <w:pPr>
        <w:pStyle w:val="6"/>
        <w:spacing w:line="360" w:lineRule="auto"/>
        <w:ind w:firstLine="48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坚持城市地下空间科学开发和高效利用，摸清城市地下空间建设发展现状，优化完善城市地下空间规划编制体系，建立健全城市地下空间开发利用标准规范和管理制度，充分发挥地下空间在城市空间优化中的重要作用，有序推进地下空间重点建设区、地下道路以及未来地下轨道交通等项目的建设，依法加强城市地下管线规划建设管理，全面提升全市城市地下空间开发利用规划、建设和管理水平。至规划期末，基本建成与城市定位相匹配的现代化地下空间格局，构建“地上地下一体化、功能类型多样化、设施系统高效化”的地下空间综合开发利用与保护体系。</w:t>
      </w:r>
    </w:p>
    <w:p w14:paraId="3891D71A">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2025年目标：初步实现地下空间平衡城市建设容量、提升城市人居环境的发展目标。</w:t>
      </w:r>
    </w:p>
    <w:p w14:paraId="4DF5D018">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2035年目标：建立促进城市地上地下空间与建设容量协调、各类地下设施系统高效、管理与保障完善的地下空间系统。</w:t>
      </w:r>
    </w:p>
    <w:p w14:paraId="6A3D05C7">
      <w:pPr>
        <w:pStyle w:val="6"/>
        <w:numPr>
          <w:ilvl w:val="0"/>
          <w:numId w:val="0"/>
        </w:numPr>
        <w:spacing w:line="360" w:lineRule="auto"/>
        <w:ind w:leftChars="0"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lang w:val="en-US" w:eastAsia="zh-CN"/>
        </w:rPr>
        <w:t>四、</w:t>
      </w:r>
      <w:r>
        <w:rPr>
          <w:rFonts w:hint="eastAsia" w:ascii="方正黑体_GBK" w:hAnsi="方正黑体_GBK" w:eastAsia="方正黑体_GBK" w:cs="方正黑体_GBK"/>
          <w:b w:val="0"/>
          <w:bCs/>
          <w:sz w:val="32"/>
          <w:szCs w:val="32"/>
        </w:rPr>
        <w:t>规划策略</w:t>
      </w:r>
    </w:p>
    <w:p w14:paraId="4213940F">
      <w:pPr>
        <w:pStyle w:val="6"/>
        <w:spacing w:line="360" w:lineRule="auto"/>
        <w:ind w:left="0" w:leftChars="0" w:firstLine="640" w:firstLineChars="200"/>
        <w:rPr>
          <w:rFonts w:hint="eastAsia"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rPr>
        <w:t>理性发展，整体统筹</w:t>
      </w:r>
    </w:p>
    <w:p w14:paraId="0423EB74">
      <w:pPr>
        <w:pStyle w:val="6"/>
        <w:spacing w:line="360" w:lineRule="auto"/>
        <w:ind w:firstLine="48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立足城市发展实际需求，理性预测城市地下空间开发利用规模，适度超前引导设施布局。从全局出发，兼顾地面建设、生态环境、各类设施及现有建设条件，统筹地上地下空间、统筹各类设施空间、统筹已建与新建空间。</w:t>
      </w:r>
    </w:p>
    <w:p w14:paraId="710C791C">
      <w:pPr>
        <w:pStyle w:val="6"/>
        <w:spacing w:line="360" w:lineRule="auto"/>
        <w:ind w:firstLine="480"/>
        <w:rPr>
          <w:rFonts w:hint="eastAsia" w:ascii="楷体" w:hAnsi="楷体" w:eastAsia="楷体" w:cs="楷体"/>
          <w:sz w:val="32"/>
          <w:szCs w:val="32"/>
        </w:rPr>
      </w:pPr>
      <w:r>
        <w:rPr>
          <w:rFonts w:hint="eastAsia" w:ascii="楷体" w:hAnsi="楷体" w:eastAsia="楷体" w:cs="楷体"/>
          <w:sz w:val="32"/>
          <w:szCs w:val="32"/>
          <w:lang w:val="en-US" w:eastAsia="zh-CN"/>
        </w:rPr>
        <w:t>（二）</w:t>
      </w:r>
      <w:r>
        <w:rPr>
          <w:rFonts w:hint="eastAsia" w:ascii="楷体" w:hAnsi="楷体" w:eastAsia="楷体" w:cs="楷体"/>
          <w:sz w:val="32"/>
          <w:szCs w:val="32"/>
        </w:rPr>
        <w:t>分类分区，差异引导</w:t>
      </w:r>
    </w:p>
    <w:p w14:paraId="068F1B51">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针对城市发展实际，采用分区差异化的发展策略。针对文化保护区域，提出各类历史要素区域的地下空间管控要求，特别要注重历史文物保护单位与地下文物的保护。针对老城建设区域，以旧城更新和轨道交通建设为契机，强化连通、系统开发，挖潜盘活建成区地下“存量”和“低效”资源，提高土地利用效率。针对城市新区，结合各类交通枢纽、各级商业中心，强化功能复合、立体开发，综合利用地下空间，同时完善地下设施配套。</w:t>
      </w:r>
    </w:p>
    <w:p w14:paraId="3B179485">
      <w:pPr>
        <w:pStyle w:val="6"/>
        <w:spacing w:line="360" w:lineRule="auto"/>
        <w:ind w:firstLine="480"/>
        <w:rPr>
          <w:rFonts w:hint="eastAsia" w:ascii="楷体" w:hAnsi="楷体" w:eastAsia="楷体" w:cs="楷体"/>
          <w:sz w:val="32"/>
          <w:szCs w:val="32"/>
        </w:rPr>
      </w:pPr>
      <w:r>
        <w:rPr>
          <w:rFonts w:hint="eastAsia" w:ascii="楷体" w:hAnsi="楷体" w:eastAsia="楷体" w:cs="楷体"/>
          <w:sz w:val="32"/>
          <w:szCs w:val="32"/>
          <w:lang w:val="en-US" w:eastAsia="zh-CN"/>
        </w:rPr>
        <w:t>（三）</w:t>
      </w:r>
      <w:r>
        <w:rPr>
          <w:rFonts w:hint="eastAsia" w:ascii="楷体" w:hAnsi="楷体" w:eastAsia="楷体" w:cs="楷体"/>
          <w:sz w:val="32"/>
          <w:szCs w:val="32"/>
        </w:rPr>
        <w:t>科学管控，落实管理</w:t>
      </w:r>
    </w:p>
    <w:p w14:paraId="12A97E99">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全面提升地下空间精细化、规范化、高效化管理水平。建立科学的城市地下空间规划管控体系，为规划管理提供技术依据。充分衔接国土空间总体规划，细化下位详细规划指导内容，为相关规划编制提供参考。</w:t>
      </w:r>
    </w:p>
    <w:p w14:paraId="0B6A639D">
      <w:pPr>
        <w:pStyle w:val="6"/>
        <w:numPr>
          <w:ilvl w:val="0"/>
          <w:numId w:val="0"/>
        </w:numPr>
        <w:spacing w:line="360" w:lineRule="auto"/>
        <w:ind w:leftChars="0"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lang w:val="en-US" w:eastAsia="zh-CN"/>
        </w:rPr>
        <w:t>五、</w:t>
      </w:r>
      <w:r>
        <w:rPr>
          <w:rFonts w:hint="eastAsia" w:ascii="方正黑体_GBK" w:hAnsi="方正黑体_GBK" w:eastAsia="方正黑体_GBK" w:cs="方正黑体_GBK"/>
          <w:b w:val="0"/>
          <w:bCs/>
          <w:sz w:val="32"/>
          <w:szCs w:val="32"/>
        </w:rPr>
        <w:t>规划主要内容</w:t>
      </w:r>
    </w:p>
    <w:p w14:paraId="0B7C4213">
      <w:pPr>
        <w:pStyle w:val="6"/>
        <w:numPr>
          <w:ilvl w:val="0"/>
          <w:numId w:val="0"/>
        </w:numPr>
        <w:spacing w:line="360" w:lineRule="auto"/>
        <w:ind w:leftChars="0"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lang w:eastAsia="zh-CN"/>
        </w:rPr>
        <w:t>（</w:t>
      </w:r>
      <w:r>
        <w:rPr>
          <w:rFonts w:hint="eastAsia" w:ascii="楷体" w:hAnsi="楷体" w:eastAsia="楷体" w:cs="楷体"/>
          <w:b w:val="0"/>
          <w:bCs/>
          <w:sz w:val="32"/>
          <w:szCs w:val="32"/>
          <w:lang w:val="en-US" w:eastAsia="zh-CN"/>
        </w:rPr>
        <w:t>一</w:t>
      </w:r>
      <w:r>
        <w:rPr>
          <w:rFonts w:hint="eastAsia" w:ascii="楷体" w:hAnsi="楷体" w:eastAsia="楷体" w:cs="楷体"/>
          <w:b w:val="0"/>
          <w:bCs/>
          <w:sz w:val="32"/>
          <w:szCs w:val="32"/>
          <w:lang w:eastAsia="zh-CN"/>
        </w:rPr>
        <w:t>）</w:t>
      </w:r>
      <w:r>
        <w:rPr>
          <w:rFonts w:hint="eastAsia" w:ascii="楷体" w:hAnsi="楷体" w:eastAsia="楷体" w:cs="楷体"/>
          <w:b w:val="0"/>
          <w:bCs/>
          <w:sz w:val="32"/>
          <w:szCs w:val="32"/>
        </w:rPr>
        <w:t>地下空间总体发展结构</w:t>
      </w:r>
    </w:p>
    <w:p w14:paraId="38FF83AE">
      <w:pPr>
        <w:pStyle w:val="6"/>
        <w:spacing w:line="360" w:lineRule="auto"/>
        <w:ind w:firstLine="48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依据地上总体发展结构，结合城市功能布局，地下空间开发利用可行性和必要性，形成“三主三副、两轴多点”的总体结构：</w:t>
      </w:r>
    </w:p>
    <w:p w14:paraId="3D6B8D91">
      <w:pPr>
        <w:pStyle w:val="6"/>
        <w:spacing w:line="360" w:lineRule="auto"/>
        <w:ind w:firstLine="48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三主：由金融商务极、健康服务极、高铁枢纽极合力构建市级综合中心。以三大发展极建设为契机，结合市级现代化城市中心区建设，综合开发商业商务、地下交通、地下人防等地下空间功能类型。</w:t>
      </w:r>
    </w:p>
    <w:p w14:paraId="6222C7F8">
      <w:pPr>
        <w:pStyle w:val="6"/>
        <w:spacing w:line="360" w:lineRule="auto"/>
        <w:ind w:firstLine="48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三副：坡子街副中心、高港片区副中心、姜堰片区副中心，形成以点状地下综合体为主的地下公共空间。</w:t>
      </w:r>
    </w:p>
    <w:p w14:paraId="6B5E5C31">
      <w:pPr>
        <w:pStyle w:val="6"/>
        <w:spacing w:line="360" w:lineRule="auto"/>
        <w:ind w:firstLine="48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两轴：依托轨道1号线、2号线，形成地下空间开发主要骨架。</w:t>
      </w:r>
    </w:p>
    <w:p w14:paraId="1E03C19C">
      <w:pPr>
        <w:pStyle w:val="6"/>
        <w:spacing w:line="360" w:lineRule="auto"/>
        <w:ind w:firstLine="48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多点：轨道地下站点。结合轨道站点地下段建设，综合开发周边地下空间，形成地下空间节点。</w:t>
      </w:r>
    </w:p>
    <w:p w14:paraId="11273040">
      <w:pPr>
        <w:pStyle w:val="6"/>
        <w:numPr>
          <w:ilvl w:val="0"/>
          <w:numId w:val="0"/>
        </w:numPr>
        <w:spacing w:line="360" w:lineRule="auto"/>
        <w:ind w:leftChars="0"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lang w:eastAsia="zh-CN"/>
        </w:rPr>
        <w:t>（</w:t>
      </w:r>
      <w:r>
        <w:rPr>
          <w:rFonts w:hint="eastAsia" w:ascii="楷体" w:hAnsi="楷体" w:eastAsia="楷体" w:cs="楷体"/>
          <w:b w:val="0"/>
          <w:bCs/>
          <w:sz w:val="32"/>
          <w:szCs w:val="32"/>
          <w:lang w:val="en-US" w:eastAsia="zh-CN"/>
        </w:rPr>
        <w:t>二</w:t>
      </w:r>
      <w:r>
        <w:rPr>
          <w:rFonts w:hint="eastAsia" w:ascii="楷体" w:hAnsi="楷体" w:eastAsia="楷体" w:cs="楷体"/>
          <w:b w:val="0"/>
          <w:bCs/>
          <w:sz w:val="32"/>
          <w:szCs w:val="32"/>
          <w:lang w:eastAsia="zh-CN"/>
        </w:rPr>
        <w:t>）</w:t>
      </w:r>
      <w:r>
        <w:rPr>
          <w:rFonts w:hint="eastAsia" w:ascii="楷体" w:hAnsi="楷体" w:eastAsia="楷体" w:cs="楷体"/>
          <w:b w:val="0"/>
          <w:bCs/>
          <w:sz w:val="32"/>
          <w:szCs w:val="32"/>
        </w:rPr>
        <w:t>地下空间开发利用分区</w:t>
      </w:r>
    </w:p>
    <w:p w14:paraId="2772D208">
      <w:pPr>
        <w:pStyle w:val="6"/>
        <w:spacing w:line="360" w:lineRule="auto"/>
        <w:ind w:firstLine="480"/>
        <w:rPr>
          <w:sz w:val="24"/>
          <w:szCs w:val="24"/>
        </w:rPr>
      </w:pPr>
      <w:r>
        <w:rPr>
          <w:rFonts w:hint="eastAsia" w:ascii="Times New Roman" w:hAnsi="Times New Roman" w:eastAsia="方正仿宋_GBK" w:cs="Times New Roman"/>
          <w:sz w:val="32"/>
          <w:szCs w:val="32"/>
        </w:rPr>
        <w:t>依据市域地下空间资源综合评估与社会需求分析，在中心城区建设用地范围内对各类地区提出开发利用管控区划，分别为重点建设区、一般建设区、限制建设区和禁止建设区。</w:t>
      </w:r>
    </w:p>
    <w:p w14:paraId="7AF03B05">
      <w:pPr>
        <w:spacing w:line="360" w:lineRule="auto"/>
        <w:ind w:firstLine="643" w:firstLineChars="20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1.</w:t>
      </w:r>
      <w:r>
        <w:rPr>
          <w:rFonts w:hint="eastAsia" w:ascii="方正仿宋_GBK" w:hAnsi="方正仿宋_GBK" w:eastAsia="方正仿宋_GBK" w:cs="方正仿宋_GBK"/>
          <w:b/>
          <w:bCs/>
          <w:sz w:val="32"/>
          <w:szCs w:val="32"/>
        </w:rPr>
        <w:t>重点建设区</w:t>
      </w:r>
    </w:p>
    <w:p w14:paraId="6D151EE8">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重点建设区是指城市各级中心。结合地面用地规划，进行地下重点公共空间布局。具体包括金融商务极、健康服务极、高铁枢纽极、坡子街副中心、高港片区副中心以及姜堰片区副中心。</w:t>
      </w:r>
    </w:p>
    <w:p w14:paraId="5E4FA04B">
      <w:pPr>
        <w:pStyle w:val="6"/>
        <w:spacing w:line="360" w:lineRule="auto"/>
        <w:ind w:firstLine="48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2.</w:t>
      </w:r>
      <w:r>
        <w:rPr>
          <w:rFonts w:hint="eastAsia" w:ascii="方正仿宋_GBK" w:hAnsi="方正仿宋_GBK" w:eastAsia="方正仿宋_GBK" w:cs="方正仿宋_GBK"/>
          <w:b/>
          <w:bCs/>
          <w:sz w:val="32"/>
          <w:szCs w:val="32"/>
        </w:rPr>
        <w:t>一般建设区</w:t>
      </w:r>
    </w:p>
    <w:p w14:paraId="2FC53A62">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一般建设区是指除禁止、限制、重点建设区以外的城市建设区域，在满足配套要求的基础上，鼓励地下空间的开发利用。</w:t>
      </w:r>
    </w:p>
    <w:p w14:paraId="3C5D92F9">
      <w:pPr>
        <w:pStyle w:val="6"/>
        <w:spacing w:line="360" w:lineRule="auto"/>
        <w:ind w:firstLine="48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3.</w:t>
      </w:r>
      <w:r>
        <w:rPr>
          <w:rFonts w:hint="eastAsia" w:ascii="方正仿宋_GBK" w:hAnsi="方正仿宋_GBK" w:eastAsia="方正仿宋_GBK" w:cs="方正仿宋_GBK"/>
          <w:b/>
          <w:bCs/>
          <w:sz w:val="32"/>
          <w:szCs w:val="32"/>
        </w:rPr>
        <w:t>限制建设区</w:t>
      </w:r>
    </w:p>
    <w:p w14:paraId="2F7A6C5C">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限制建设区是指在限制条件下进行地下空间开发利用的区域，原则上禁止大规模地下空间开发利用。具体包括生态空间管控区；水源涵养区等重点生态功能缓冲区；历史文化街区、历史风貌区等区域。中心城区建设用地范围内限制建设区面积约为29.02平方公里，占总用地面积10.17%。</w:t>
      </w:r>
    </w:p>
    <w:p w14:paraId="585047F3">
      <w:pPr>
        <w:pStyle w:val="6"/>
        <w:spacing w:line="360" w:lineRule="auto"/>
        <w:ind w:firstLine="48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4.</w:t>
      </w:r>
      <w:r>
        <w:rPr>
          <w:rFonts w:hint="eastAsia" w:ascii="方正仿宋_GBK" w:hAnsi="方正仿宋_GBK" w:eastAsia="方正仿宋_GBK" w:cs="方正仿宋_GBK"/>
          <w:b/>
          <w:bCs/>
          <w:sz w:val="32"/>
          <w:szCs w:val="32"/>
        </w:rPr>
        <w:t>禁止建设区</w:t>
      </w:r>
    </w:p>
    <w:p w14:paraId="1AE525E6">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禁止建设区是指除地下轨道交通、地下道路等大型线型基础设施</w:t>
      </w:r>
      <w:r>
        <w:rPr>
          <w:rFonts w:hint="eastAsia" w:ascii="Times New Roman" w:hAnsi="Times New Roman" w:eastAsia="方正仿宋_GBK" w:cs="Times New Roman"/>
          <w:sz w:val="32"/>
          <w:szCs w:val="32"/>
          <w:lang w:eastAsia="zh-CN"/>
        </w:rPr>
        <w:t>，以</w:t>
      </w:r>
      <w:r>
        <w:rPr>
          <w:rFonts w:hint="eastAsia" w:ascii="Times New Roman" w:hAnsi="Times New Roman" w:eastAsia="方正仿宋_GBK" w:cs="Times New Roman"/>
          <w:sz w:val="32"/>
          <w:szCs w:val="32"/>
        </w:rPr>
        <w:t>及特殊工程可以建设外，原则上禁止地下空间开发利用。具体包括生态保护红线区域；实测及推测主要断层带、软土层区；长江干流行洪区和洪泛区，河道、湖泊、水库防洪堤管理范围；各类文物古迹及其保护范围等。中心城区建设用地范围内禁止建设区面积约为15.48平方公里，占总用地面积5.43%。</w:t>
      </w:r>
    </w:p>
    <w:p w14:paraId="63EB9C41">
      <w:pPr>
        <w:pStyle w:val="6"/>
        <w:numPr>
          <w:ilvl w:val="0"/>
          <w:numId w:val="0"/>
        </w:numPr>
        <w:spacing w:line="360" w:lineRule="auto"/>
        <w:ind w:leftChars="0"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lang w:eastAsia="zh-CN"/>
        </w:rPr>
        <w:t>（</w:t>
      </w:r>
      <w:r>
        <w:rPr>
          <w:rFonts w:hint="eastAsia" w:ascii="楷体" w:hAnsi="楷体" w:eastAsia="楷体" w:cs="楷体"/>
          <w:b w:val="0"/>
          <w:bCs/>
          <w:sz w:val="32"/>
          <w:szCs w:val="32"/>
          <w:lang w:val="en-US" w:eastAsia="zh-CN"/>
        </w:rPr>
        <w:t>三</w:t>
      </w:r>
      <w:r>
        <w:rPr>
          <w:rFonts w:hint="eastAsia" w:ascii="楷体" w:hAnsi="楷体" w:eastAsia="楷体" w:cs="楷体"/>
          <w:b w:val="0"/>
          <w:bCs/>
          <w:sz w:val="32"/>
          <w:szCs w:val="32"/>
          <w:lang w:eastAsia="zh-CN"/>
        </w:rPr>
        <w:t>）</w:t>
      </w:r>
      <w:r>
        <w:rPr>
          <w:rFonts w:hint="eastAsia" w:ascii="楷体" w:hAnsi="楷体" w:eastAsia="楷体" w:cs="楷体"/>
          <w:b w:val="0"/>
          <w:bCs/>
          <w:sz w:val="32"/>
          <w:szCs w:val="32"/>
        </w:rPr>
        <w:t>地下空间竖向分层布局</w:t>
      </w:r>
    </w:p>
    <w:p w14:paraId="60D65030">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规划期内，泰州城市地下空间开发利用以浅层为主，一般为0~-15米区域，主要满足地下市政工程管线、地下商业、地下停车和人防工程等功能用途。远景根据轨道建设等城市发展需求择机开发次浅层，以适度开发为主；次深层和深层地下空间在没有特殊发展需求情况下，宜作为限制开发资源加以保护控制。</w:t>
      </w:r>
    </w:p>
    <w:p w14:paraId="18CF34D4">
      <w:pPr>
        <w:pStyle w:val="6"/>
        <w:numPr>
          <w:ilvl w:val="0"/>
          <w:numId w:val="0"/>
        </w:numPr>
        <w:spacing w:line="360" w:lineRule="auto"/>
        <w:ind w:leftChars="0"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lang w:eastAsia="zh-CN"/>
        </w:rPr>
        <w:t>（</w:t>
      </w:r>
      <w:r>
        <w:rPr>
          <w:rFonts w:hint="eastAsia" w:ascii="楷体" w:hAnsi="楷体" w:eastAsia="楷体" w:cs="楷体"/>
          <w:b w:val="0"/>
          <w:bCs/>
          <w:sz w:val="32"/>
          <w:szCs w:val="32"/>
          <w:lang w:val="en-US" w:eastAsia="zh-CN"/>
        </w:rPr>
        <w:t>四</w:t>
      </w:r>
      <w:r>
        <w:rPr>
          <w:rFonts w:hint="eastAsia" w:ascii="楷体" w:hAnsi="楷体" w:eastAsia="楷体" w:cs="楷体"/>
          <w:b w:val="0"/>
          <w:bCs/>
          <w:sz w:val="32"/>
          <w:szCs w:val="32"/>
          <w:lang w:eastAsia="zh-CN"/>
        </w:rPr>
        <w:t>）</w:t>
      </w:r>
      <w:r>
        <w:rPr>
          <w:rFonts w:hint="eastAsia" w:ascii="楷体" w:hAnsi="楷体" w:eastAsia="楷体" w:cs="楷体"/>
          <w:b w:val="0"/>
          <w:bCs/>
          <w:sz w:val="32"/>
          <w:szCs w:val="32"/>
        </w:rPr>
        <w:t>地下空间专项设施规划</w:t>
      </w:r>
    </w:p>
    <w:p w14:paraId="602A785D">
      <w:pPr>
        <w:spacing w:line="360" w:lineRule="auto"/>
        <w:ind w:firstLine="643" w:firstLineChars="20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1.</w:t>
      </w:r>
      <w:r>
        <w:rPr>
          <w:rFonts w:hint="eastAsia" w:ascii="方正仿宋_GBK" w:hAnsi="方正仿宋_GBK" w:eastAsia="方正仿宋_GBK" w:cs="方正仿宋_GBK"/>
          <w:b/>
          <w:bCs/>
          <w:sz w:val="32"/>
          <w:szCs w:val="32"/>
        </w:rPr>
        <w:t>地下交通设施</w:t>
      </w:r>
    </w:p>
    <w:p w14:paraId="58586F56">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构建地上地下交通一体化、互联互通的地下交通系统，重点地区实现人车适度分离，结合泰州市发展状况和城市建设发展的需求，规划期内重点考虑的地下交通设施包括：地下人行通道、地下道路、地下停车及轨道交通。</w:t>
      </w:r>
    </w:p>
    <w:p w14:paraId="53B41121">
      <w:pPr>
        <w:pStyle w:val="6"/>
        <w:spacing w:line="360" w:lineRule="auto"/>
        <w:ind w:firstLine="48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2.</w:t>
      </w:r>
      <w:r>
        <w:rPr>
          <w:rFonts w:hint="eastAsia" w:ascii="方正仿宋_GBK" w:hAnsi="方正仿宋_GBK" w:eastAsia="方正仿宋_GBK" w:cs="方正仿宋_GBK"/>
          <w:b/>
          <w:bCs/>
          <w:sz w:val="32"/>
          <w:szCs w:val="32"/>
        </w:rPr>
        <w:t>地下市政公用设施</w:t>
      </w:r>
    </w:p>
    <w:p w14:paraId="3E02057E">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分片区、分阶段实施市政基础设施地下化战略，以城市建设、更新改造以及市政基础设施扩容改造为契机，按需推进综合管廊和地下市政场站设施建设，逐步形成稳固互补的地上地下市政基础设施系统。增加地下空间与区域生命线工程、重大基础设施等战略规划的衔接。</w:t>
      </w:r>
    </w:p>
    <w:p w14:paraId="6E9978D4">
      <w:pPr>
        <w:pStyle w:val="6"/>
        <w:spacing w:line="360" w:lineRule="auto"/>
        <w:ind w:firstLine="48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3.</w:t>
      </w:r>
      <w:r>
        <w:rPr>
          <w:rFonts w:hint="eastAsia" w:ascii="方正仿宋_GBK" w:hAnsi="方正仿宋_GBK" w:eastAsia="方正仿宋_GBK" w:cs="方正仿宋_GBK"/>
          <w:b/>
          <w:bCs/>
          <w:sz w:val="32"/>
          <w:szCs w:val="32"/>
        </w:rPr>
        <w:t>地下防灾减灾设施</w:t>
      </w:r>
    </w:p>
    <w:p w14:paraId="10BD56DA">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地下空间是综合防灾体系的重要组成部分，包括抗震、地下消防、地下防洪、地下避难、地下空间兼顾人民防空等设施。从促进泰州经济社会可持续发展和维护城市空间安全的角度出发，统筹考虑城市空间安全的要求，构建地上地下融合发展、构成完善的城市防灾体系，确保城市防灾安全。</w:t>
      </w:r>
    </w:p>
    <w:p w14:paraId="4AB9AA28">
      <w:pPr>
        <w:pStyle w:val="6"/>
        <w:spacing w:line="360" w:lineRule="auto"/>
        <w:ind w:firstLine="48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val="en-US" w:eastAsia="zh-CN"/>
        </w:rPr>
        <w:t>4.</w:t>
      </w:r>
      <w:r>
        <w:rPr>
          <w:rFonts w:hint="eastAsia" w:ascii="方正仿宋_GBK" w:hAnsi="方正仿宋_GBK" w:eastAsia="方正仿宋_GBK" w:cs="方正仿宋_GBK"/>
          <w:b/>
          <w:bCs/>
          <w:sz w:val="32"/>
          <w:szCs w:val="32"/>
        </w:rPr>
        <w:t>地下公共服务设施</w:t>
      </w:r>
    </w:p>
    <w:p w14:paraId="4FC1ACE0">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地下公共服务设施主要包括地下商业服务业设施和地下公共管理与公共服务设施。其中地下商业服务业设施包括地下综合体和地下商业（街）等设施。</w:t>
      </w:r>
      <w:bookmarkStart w:id="0" w:name="_Hlk190115802"/>
      <w:r>
        <w:rPr>
          <w:rFonts w:hint="eastAsia" w:ascii="Times New Roman" w:hAnsi="Times New Roman" w:eastAsia="方正仿宋_GBK" w:cs="Times New Roman"/>
          <w:sz w:val="32"/>
          <w:szCs w:val="32"/>
        </w:rPr>
        <w:t>地下公共服务设施主要结合城市中心体系进行布局。</w:t>
      </w:r>
      <w:bookmarkEnd w:id="0"/>
    </w:p>
    <w:p w14:paraId="5412003D">
      <w:pPr>
        <w:pStyle w:val="6"/>
        <w:numPr>
          <w:ilvl w:val="0"/>
          <w:numId w:val="0"/>
        </w:numPr>
        <w:spacing w:line="360" w:lineRule="auto"/>
        <w:ind w:leftChars="0" w:firstLine="640" w:firstLineChars="200"/>
        <w:rPr>
          <w:rFonts w:hint="eastAsia" w:ascii="楷体" w:hAnsi="楷体" w:eastAsia="楷体" w:cs="楷体"/>
          <w:b w:val="0"/>
          <w:bCs/>
          <w:sz w:val="32"/>
          <w:szCs w:val="32"/>
        </w:rPr>
      </w:pPr>
      <w:r>
        <w:rPr>
          <w:rFonts w:hint="eastAsia" w:ascii="楷体" w:hAnsi="楷体" w:eastAsia="楷体" w:cs="楷体"/>
          <w:b w:val="0"/>
          <w:bCs/>
          <w:sz w:val="32"/>
          <w:szCs w:val="32"/>
          <w:lang w:eastAsia="zh-CN"/>
        </w:rPr>
        <w:t>（</w:t>
      </w:r>
      <w:r>
        <w:rPr>
          <w:rFonts w:hint="eastAsia" w:ascii="楷体" w:hAnsi="楷体" w:eastAsia="楷体" w:cs="楷体"/>
          <w:b w:val="0"/>
          <w:bCs/>
          <w:sz w:val="32"/>
          <w:szCs w:val="32"/>
          <w:lang w:val="en-US" w:eastAsia="zh-CN"/>
        </w:rPr>
        <w:t>五</w:t>
      </w:r>
      <w:r>
        <w:rPr>
          <w:rFonts w:hint="eastAsia" w:ascii="楷体" w:hAnsi="楷体" w:eastAsia="楷体" w:cs="楷体"/>
          <w:b w:val="0"/>
          <w:bCs/>
          <w:sz w:val="32"/>
          <w:szCs w:val="32"/>
          <w:lang w:eastAsia="zh-CN"/>
        </w:rPr>
        <w:t>）</w:t>
      </w:r>
      <w:r>
        <w:rPr>
          <w:rFonts w:hint="eastAsia" w:ascii="楷体" w:hAnsi="楷体" w:eastAsia="楷体" w:cs="楷体"/>
          <w:b w:val="0"/>
          <w:bCs/>
          <w:sz w:val="32"/>
          <w:szCs w:val="32"/>
        </w:rPr>
        <w:t>近期建设规划</w:t>
      </w:r>
    </w:p>
    <w:p w14:paraId="51A00F75">
      <w:pPr>
        <w:pStyle w:val="6"/>
        <w:spacing w:line="360" w:lineRule="auto"/>
        <w:ind w:firstLine="48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从城市发展需求出发，在配建地下停车场缓解地面停车压力的同时，修建地下人行过街通道，提高城市交通安全性；</w:t>
      </w:r>
      <w:bookmarkStart w:id="1" w:name="_Hlk190115671"/>
      <w:r>
        <w:rPr>
          <w:rFonts w:hint="eastAsia" w:ascii="Times New Roman" w:hAnsi="Times New Roman" w:eastAsia="方正仿宋_GBK" w:cs="Times New Roman"/>
          <w:sz w:val="32"/>
          <w:szCs w:val="32"/>
        </w:rPr>
        <w:t>推进人防工程建设，保障地下生命线系统的安全可持续发展</w:t>
      </w:r>
      <w:bookmarkEnd w:id="1"/>
      <w:r>
        <w:rPr>
          <w:rFonts w:hint="eastAsia" w:ascii="Times New Roman" w:hAnsi="Times New Roman" w:eastAsia="方正仿宋_GBK" w:cs="Times New Roman"/>
          <w:sz w:val="32"/>
          <w:szCs w:val="32"/>
        </w:rPr>
        <w:t>；重点开发高铁枢纽极、城市新中心片区的地下空间。</w:t>
      </w:r>
    </w:p>
    <w:p w14:paraId="7ED1680E">
      <w:pPr>
        <w:pStyle w:val="6"/>
        <w:numPr>
          <w:ilvl w:val="0"/>
          <w:numId w:val="0"/>
        </w:numPr>
        <w:spacing w:line="360" w:lineRule="auto"/>
        <w:rPr>
          <w:rFonts w:hint="eastAsia"/>
          <w:b/>
          <w:sz w:val="24"/>
          <w:szCs w:val="24"/>
        </w:rPr>
      </w:pPr>
    </w:p>
    <w:p w14:paraId="3733502E">
      <w:pPr>
        <w:pStyle w:val="6"/>
        <w:spacing w:line="360" w:lineRule="auto"/>
        <w:ind w:firstLine="480"/>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val="en-US" w:eastAsia="zh-CN"/>
        </w:rPr>
        <w:t>图纸：</w:t>
      </w:r>
    </w:p>
    <w:p w14:paraId="6B0F5B65">
      <w:pPr>
        <w:pStyle w:val="6"/>
        <w:spacing w:line="360" w:lineRule="auto"/>
        <w:ind w:firstLine="480"/>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地下空间建设条件适宜性评价图</w:t>
      </w:r>
    </w:p>
    <w:p w14:paraId="473230D8">
      <w:pPr>
        <w:pStyle w:val="6"/>
        <w:spacing w:line="360" w:lineRule="auto"/>
        <w:ind w:firstLine="480"/>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hAnsi="方正仿宋_GBK" w:eastAsia="方正仿宋_GBK" w:cs="方正仿宋_GBK"/>
          <w:sz w:val="32"/>
          <w:szCs w:val="32"/>
        </w:rPr>
        <w:t>地下空间发展结构图</w:t>
      </w:r>
    </w:p>
    <w:p w14:paraId="6B88B1BF">
      <w:pPr>
        <w:pStyle w:val="6"/>
        <w:spacing w:line="360" w:lineRule="auto"/>
        <w:ind w:firstLine="480"/>
        <w:rPr>
          <w:rFonts w:hint="eastAsia" w:ascii="方正仿宋_GBK" w:hAnsi="方正仿宋_GBK" w:eastAsia="方正仿宋_GBK" w:cs="方正仿宋_GBK"/>
          <w:sz w:val="32"/>
          <w:szCs w:val="32"/>
        </w:rPr>
      </w:pPr>
      <w:bookmarkStart w:id="2" w:name="_GoBack"/>
      <w:r>
        <w:rPr>
          <w:rFonts w:hint="default" w:ascii="Times New Roman" w:hAnsi="Times New Roman" w:eastAsia="方正仿宋_GBK" w:cs="Times New Roman"/>
          <w:sz w:val="32"/>
          <w:szCs w:val="32"/>
        </w:rPr>
        <w:t>3、</w:t>
      </w:r>
      <w:bookmarkEnd w:id="2"/>
      <w:r>
        <w:rPr>
          <w:rFonts w:hint="eastAsia" w:ascii="方正仿宋_GBK" w:hAnsi="方正仿宋_GBK" w:eastAsia="方正仿宋_GBK" w:cs="方正仿宋_GBK"/>
          <w:sz w:val="32"/>
          <w:szCs w:val="32"/>
        </w:rPr>
        <w:t>地下空间规划分区图</w:t>
      </w:r>
    </w:p>
    <w:p w14:paraId="7617E013">
      <w:pPr>
        <w:pStyle w:val="6"/>
        <w:spacing w:line="360" w:lineRule="auto"/>
        <w:ind w:left="426"/>
      </w:pPr>
    </w:p>
    <w:p w14:paraId="0CFC2421">
      <w:pPr>
        <w:widowControl/>
        <w:jc w:val="left"/>
      </w:pPr>
      <w:r>
        <w:br w:type="page"/>
      </w:r>
    </w:p>
    <w:p w14:paraId="4002B6C4">
      <w:pPr>
        <w:spacing w:line="360" w:lineRule="auto"/>
      </w:pPr>
      <w:r>
        <w:drawing>
          <wp:inline distT="0" distB="0" distL="0" distR="0">
            <wp:extent cx="5274310" cy="7465060"/>
            <wp:effectExtent l="0" t="0" r="2540" b="2540"/>
            <wp:docPr id="1" name="图片 1" descr="C:\Users\summer\Desktop\微信图片_2025021018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ummer\Desktop\微信图片_202502101812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7465596"/>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5274310" cy="7465060"/>
            <wp:effectExtent l="0" t="0" r="2540" b="2540"/>
            <wp:docPr id="3" name="图片 3" descr="E:\2020\泰州地下空间\规划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2020\泰州地下空间\规划图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7465596"/>
                    </a:xfrm>
                    <a:prstGeom prst="rect">
                      <a:avLst/>
                    </a:prstGeom>
                    <a:noFill/>
                    <a:ln>
                      <a:noFill/>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5274310" cy="7465060"/>
            <wp:effectExtent l="0" t="0" r="2540" b="2540"/>
            <wp:docPr id="4" name="图片 4" descr="E:\2020\泰州地下空间\地下空间分区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0\泰州地下空间\地下空间分区图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7465596"/>
                    </a:xfrm>
                    <a:prstGeom prst="rect">
                      <a:avLst/>
                    </a:prstGeom>
                    <a:noFill/>
                    <a:ln>
                      <a:noFill/>
                    </a:ln>
                  </pic:spPr>
                </pic:pic>
              </a:graphicData>
            </a:graphic>
          </wp:inline>
        </w:drawing>
      </w:r>
    </w:p>
    <w:sectPr>
      <w:footerReference r:id="rId3" w:type="default"/>
      <w:pgSz w:w="11906" w:h="16838"/>
      <w:pgMar w:top="1701" w:right="1531" w:bottom="1701"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黑体_GBK">
    <w:panose1 w:val="02000000000000000000"/>
    <w:charset w:val="86"/>
    <w:family w:val="auto"/>
    <w:pitch w:val="default"/>
    <w:sig w:usb0="A00002BF" w:usb1="38CF7CFA" w:usb2="00082016" w:usb3="00000000" w:csb0="0004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0425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B8781">
                          <w:pPr>
                            <w:pStyle w:val="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3BB8781">
                    <w:pPr>
                      <w:pStyle w:val="2"/>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565"/>
    <w:rsid w:val="00006095"/>
    <w:rsid w:val="000A6DCA"/>
    <w:rsid w:val="0011741B"/>
    <w:rsid w:val="00124456"/>
    <w:rsid w:val="00147CAE"/>
    <w:rsid w:val="002E145B"/>
    <w:rsid w:val="002F75E5"/>
    <w:rsid w:val="003E4A14"/>
    <w:rsid w:val="004930A8"/>
    <w:rsid w:val="004E1A6C"/>
    <w:rsid w:val="005E5C83"/>
    <w:rsid w:val="006663F8"/>
    <w:rsid w:val="006F2C99"/>
    <w:rsid w:val="007A4831"/>
    <w:rsid w:val="008E0DD0"/>
    <w:rsid w:val="00A04198"/>
    <w:rsid w:val="00B3150C"/>
    <w:rsid w:val="00B33083"/>
    <w:rsid w:val="00B60005"/>
    <w:rsid w:val="00C20565"/>
    <w:rsid w:val="00C21111"/>
    <w:rsid w:val="00C327E9"/>
    <w:rsid w:val="00C36DEF"/>
    <w:rsid w:val="00C41E5E"/>
    <w:rsid w:val="00C5537C"/>
    <w:rsid w:val="00C65F64"/>
    <w:rsid w:val="00DF5634"/>
    <w:rsid w:val="00FA07B9"/>
    <w:rsid w:val="05AF3006"/>
    <w:rsid w:val="1612540D"/>
    <w:rsid w:val="2F1F7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style>
  <w:style w:type="character" w:customStyle="1" w:styleId="7">
    <w:name w:val="页眉 字符"/>
    <w:basedOn w:val="5"/>
    <w:link w:val="3"/>
    <w:qFormat/>
    <w:uiPriority w:val="99"/>
    <w:rPr>
      <w:sz w:val="18"/>
      <w:szCs w:val="18"/>
    </w:rPr>
  </w:style>
  <w:style w:type="character" w:customStyle="1" w:styleId="8">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9</Pages>
  <Words>2535</Words>
  <Characters>2621</Characters>
  <Lines>18</Lines>
  <Paragraphs>5</Paragraphs>
  <TotalTime>17</TotalTime>
  <ScaleCrop>false</ScaleCrop>
  <LinksUpToDate>false</LinksUpToDate>
  <CharactersWithSpaces>2623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2025-02-10T13:45:00Z</dcterms:created>
  <dc:creator>summer</dc:creator>
  <cp:lastModifiedBy>石莹</cp:lastModifiedBy>
  <cp:lastPrinted>2025-02-11T06:12:39Z</cp:lastPrinted>
  <dcterms:modified xsi:type="dcterms:W3CDTF">2025-02-11T06:48:33Z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eyJoZGlkIjoiZTk0OTkwYmI2MzkwYjBlM2JkYTkyM2MxMTdiMDhiNDYiLCJ1c2VySWQiOiIzMTkyMjIxMTIifQ==</vt:lpwstr>
  </property>
  <property fmtid="{D5CDD505-2E9C-101B-9397-08002B2CF9AE}" pid="3" name="KSOProductBuildVer">
    <vt:lpwstr>2052-12.1.0.19770</vt:lpwstr>
  </property>
  <property fmtid="{D5CDD505-2E9C-101B-9397-08002B2CF9AE}" pid="4" name="ICV">
    <vt:lpwstr>8C4F9CAC82144B98BCE76B7652DD8DED_12</vt:lpwstr>
  </property>
</Properties>
</file>