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9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4F2CA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《泰州市城市综合交通规划（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-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2035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年）》</w:t>
      </w:r>
    </w:p>
    <w:p w14:paraId="3F682A9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</w:pPr>
    </w:p>
    <w:p w14:paraId="147EA9A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596" w:firstLineChars="200"/>
        <w:jc w:val="center"/>
        <w:textAlignment w:val="auto"/>
        <w:rPr>
          <w:rFonts w:hint="eastAsia" w:ascii="楷体" w:hAnsi="楷体" w:eastAsia="楷体" w:cs="楷体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-11"/>
          <w:kern w:val="2"/>
          <w:sz w:val="32"/>
          <w:szCs w:val="32"/>
          <w:lang w:val="en-US" w:eastAsia="zh-CN" w:bidi="ar-SA"/>
        </w:rPr>
        <w:t>（公开征求意见稿）</w:t>
      </w:r>
    </w:p>
    <w:p w14:paraId="21287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0C47FA47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Toc189925457"/>
      <w:r>
        <w:rPr>
          <w:rFonts w:hint="eastAsia" w:ascii="方正黑体_GBK" w:hAnsi="方正黑体_GBK" w:eastAsia="方正黑体_GBK" w:cs="方正黑体_GBK"/>
          <w:sz w:val="32"/>
          <w:szCs w:val="32"/>
        </w:rPr>
        <w:t>总则</w:t>
      </w:r>
      <w:bookmarkEnd w:id="0"/>
    </w:p>
    <w:p w14:paraId="3728E062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1" w:name="_Toc189925459"/>
      <w:bookmarkStart w:id="2" w:name="_Toc62206698"/>
      <w:r>
        <w:rPr>
          <w:rFonts w:hint="eastAsia" w:ascii="楷体" w:hAnsi="楷体" w:eastAsia="楷体" w:cs="楷体"/>
          <w:sz w:val="32"/>
          <w:szCs w:val="32"/>
        </w:rPr>
        <w:t>规划范围</w:t>
      </w:r>
      <w:bookmarkEnd w:id="1"/>
      <w:bookmarkEnd w:id="2"/>
    </w:p>
    <w:p w14:paraId="09E88E4A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规划分为市域、市辖区、中心城区三个空间层次。市域层次包括泰州市行政区域范围，总面积5787.99平方公里。市辖区层次包括海陵区、医药高新区（高港区）、姜堰区行政区域范围，总面积1567.75平方公里。中心城区层次包括海陵区、医药高新区（高港区）、姜堰区所属全部街道以及野徐镇、白马镇、苏陈镇、永安洲镇的行政区域范围，总面积700.92平方公里。</w:t>
      </w:r>
    </w:p>
    <w:p w14:paraId="36CA52EB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3" w:name="_Toc189925460"/>
      <w:bookmarkStart w:id="4" w:name="_Toc62206699"/>
      <w:r>
        <w:rPr>
          <w:rFonts w:hint="eastAsia" w:ascii="楷体" w:hAnsi="楷体" w:eastAsia="楷体" w:cs="楷体"/>
          <w:sz w:val="32"/>
          <w:szCs w:val="32"/>
        </w:rPr>
        <w:t>规划年限</w:t>
      </w:r>
      <w:bookmarkEnd w:id="3"/>
      <w:bookmarkEnd w:id="4"/>
    </w:p>
    <w:p w14:paraId="265D77C5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cs="Times New Roman"/>
          <w:sz w:val="32"/>
          <w:szCs w:val="32"/>
        </w:rPr>
      </w:pPr>
      <w:bookmarkStart w:id="5" w:name="_Toc62206700"/>
      <w:r>
        <w:rPr>
          <w:rFonts w:hint="default" w:ascii="Times New Roman" w:hAnsi="Times New Roman" w:eastAsia="方正仿宋_GBK" w:cs="Times New Roman"/>
          <w:sz w:val="32"/>
          <w:szCs w:val="32"/>
        </w:rPr>
        <w:t>规划期限为2021年至2035年。规划基期年为2020年，近期目标年为2025年，规划目标年为2035年，远景展望至2050年。</w:t>
      </w:r>
      <w:bookmarkEnd w:id="5"/>
      <w:bookmarkStart w:id="6" w:name="_Toc189925464"/>
    </w:p>
    <w:bookmarkEnd w:id="6"/>
    <w:p w14:paraId="19605763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7" w:name="_Toc507436480"/>
      <w:bookmarkStart w:id="8" w:name="_Toc189925470"/>
      <w:bookmarkStart w:id="9" w:name="_Hlk167373138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区域和市域综合交通规划</w:t>
      </w:r>
      <w:bookmarkEnd w:id="7"/>
      <w:bookmarkEnd w:id="8"/>
    </w:p>
    <w:bookmarkEnd w:id="9"/>
    <w:p w14:paraId="0B0B1E83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10" w:name="_Toc62206715"/>
      <w:bookmarkStart w:id="11" w:name="_Toc189925473"/>
      <w:r>
        <w:rPr>
          <w:rFonts w:hint="eastAsia" w:ascii="楷体" w:hAnsi="楷体" w:eastAsia="楷体" w:cs="楷体"/>
          <w:sz w:val="32"/>
          <w:szCs w:val="32"/>
        </w:rPr>
        <w:t>铁路设施规划</w:t>
      </w:r>
      <w:bookmarkEnd w:id="10"/>
      <w:bookmarkEnd w:id="11"/>
    </w:p>
    <w:p w14:paraId="7F1DBB5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围绕“面向长三角、接轨沪宁杭”的长三角区域性交通枢纽城市建设目标，优先推进上海至南京至合肥高速铁路（泰州段）、</w:t>
      </w:r>
      <w:bookmarkStart w:id="12" w:name="_Hlk180336474"/>
      <w:r>
        <w:rPr>
          <w:rFonts w:hint="default" w:ascii="Times New Roman" w:hAnsi="Times New Roman" w:eastAsia="方正仿宋_GBK" w:cs="Times New Roman"/>
          <w:sz w:val="32"/>
          <w:szCs w:val="32"/>
        </w:rPr>
        <w:t>盐城经泰州无锡常州至宜兴铁路</w:t>
      </w:r>
      <w:bookmarkEnd w:id="12"/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bookmarkStart w:id="13" w:name="OLE_LINK6"/>
      <w:bookmarkStart w:id="14" w:name="OLE_LINK5"/>
      <w:r>
        <w:rPr>
          <w:rFonts w:hint="default" w:ascii="Times New Roman" w:hAnsi="Times New Roman" w:eastAsia="方正仿宋_GBK" w:cs="Times New Roman"/>
          <w:sz w:val="32"/>
          <w:szCs w:val="32"/>
        </w:rPr>
        <w:t>常州至泰州铁路</w:t>
      </w:r>
      <w:bookmarkEnd w:id="13"/>
      <w:r>
        <w:rPr>
          <w:rFonts w:hint="default" w:ascii="Times New Roman" w:hAnsi="Times New Roman" w:eastAsia="方正仿宋_GBK" w:cs="Times New Roman"/>
          <w:sz w:val="32"/>
          <w:szCs w:val="32"/>
        </w:rPr>
        <w:t>建设</w:t>
      </w:r>
      <w:bookmarkEnd w:id="14"/>
      <w:r>
        <w:rPr>
          <w:rFonts w:hint="default" w:ascii="Times New Roman" w:hAnsi="Times New Roman" w:eastAsia="方正仿宋_GBK" w:cs="Times New Roman"/>
          <w:sz w:val="32"/>
          <w:szCs w:val="32"/>
        </w:rPr>
        <w:t>，有序推进扬州经扬泰机场至泰州城际铁路、</w:t>
      </w:r>
      <w:bookmarkStart w:id="15" w:name="_Hlk180336488"/>
      <w:r>
        <w:rPr>
          <w:rFonts w:hint="default" w:ascii="Times New Roman" w:hAnsi="Times New Roman" w:eastAsia="方正仿宋_GBK" w:cs="Times New Roman"/>
          <w:sz w:val="32"/>
          <w:szCs w:val="32"/>
        </w:rPr>
        <w:t>宁镇（扬中）泰城际铁路</w:t>
      </w:r>
      <w:bookmarkEnd w:id="15"/>
      <w:r>
        <w:rPr>
          <w:rFonts w:hint="default" w:ascii="Times New Roman" w:hAnsi="Times New Roman" w:eastAsia="方正仿宋_GBK" w:cs="Times New Roman"/>
          <w:sz w:val="32"/>
          <w:szCs w:val="32"/>
        </w:rPr>
        <w:t>等铁路规划建设，加快形成以高快铁路为骨干、城际铁路为补充的多层次铁路交通网。</w:t>
      </w:r>
    </w:p>
    <w:p w14:paraId="7C840EB3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1、加密高速铁路网络</w:t>
      </w:r>
    </w:p>
    <w:p w14:paraId="019E46AD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6" w:name="_Hlk151583843"/>
      <w:r>
        <w:rPr>
          <w:rFonts w:hint="default" w:ascii="Times New Roman" w:hAnsi="Times New Roman" w:eastAsia="方正仿宋_GBK" w:cs="Times New Roman"/>
          <w:sz w:val="32"/>
          <w:szCs w:val="32"/>
        </w:rPr>
        <w:t>规划</w:t>
      </w:r>
      <w:bookmarkStart w:id="17" w:name="_Hlk180336465"/>
      <w:r>
        <w:rPr>
          <w:rFonts w:hint="default" w:ascii="Times New Roman" w:hAnsi="Times New Roman" w:eastAsia="方正仿宋_GBK" w:cs="Times New Roman"/>
          <w:sz w:val="32"/>
          <w:szCs w:val="32"/>
        </w:rPr>
        <w:t>上海至南京至合肥高速铁路</w:t>
      </w:r>
      <w:bookmarkEnd w:id="17"/>
      <w:r>
        <w:rPr>
          <w:rFonts w:hint="default" w:ascii="Times New Roman" w:hAnsi="Times New Roman" w:eastAsia="方正仿宋_GBK" w:cs="Times New Roman"/>
          <w:sz w:val="32"/>
          <w:szCs w:val="32"/>
        </w:rPr>
        <w:t>（泰州段）、盐城经泰州无锡常州至宜兴铁路、</w:t>
      </w:r>
      <w:bookmarkStart w:id="18" w:name="_Hlk180336611"/>
      <w:r>
        <w:rPr>
          <w:rFonts w:hint="default" w:ascii="Times New Roman" w:hAnsi="Times New Roman" w:eastAsia="方正仿宋_GBK" w:cs="Times New Roman"/>
          <w:sz w:val="32"/>
          <w:szCs w:val="32"/>
        </w:rPr>
        <w:t>淮泰常铁路</w:t>
      </w:r>
      <w:bookmarkEnd w:id="18"/>
      <w:r>
        <w:rPr>
          <w:rFonts w:hint="default" w:ascii="Times New Roman" w:hAnsi="Times New Roman" w:eastAsia="方正仿宋_GBK" w:cs="Times New Roman"/>
          <w:sz w:val="32"/>
          <w:szCs w:val="32"/>
        </w:rPr>
        <w:t>、常州至泰州铁路，预留扬州经扬泰机场至泰州城际铁路、宁镇（扬中）泰城际铁路、</w:t>
      </w:r>
      <w:bookmarkStart w:id="19" w:name="_Hlk180336513"/>
      <w:r>
        <w:rPr>
          <w:rFonts w:hint="default" w:ascii="Times New Roman" w:hAnsi="Times New Roman" w:eastAsia="方正仿宋_GBK" w:cs="Times New Roman"/>
          <w:sz w:val="32"/>
          <w:szCs w:val="32"/>
        </w:rPr>
        <w:t>泰州经海安至如东城际铁路</w:t>
      </w:r>
      <w:bookmarkEnd w:id="19"/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bookmarkStart w:id="20" w:name="_Hlk153813307"/>
      <w:r>
        <w:rPr>
          <w:rFonts w:hint="default" w:ascii="Times New Roman" w:hAnsi="Times New Roman" w:eastAsia="方正仿宋_GBK" w:cs="Times New Roman"/>
          <w:sz w:val="32"/>
          <w:szCs w:val="32"/>
        </w:rPr>
        <w:t>靖江至南通城际铁路、</w:t>
      </w:r>
      <w:bookmarkEnd w:id="20"/>
      <w:r>
        <w:rPr>
          <w:rFonts w:hint="default" w:ascii="Times New Roman" w:hAnsi="Times New Roman" w:eastAsia="方正仿宋_GBK" w:cs="Times New Roman"/>
          <w:sz w:val="32"/>
          <w:szCs w:val="32"/>
        </w:rPr>
        <w:t>江阴至靖江线廊道空间，促进南北跨江联系、东西联动协同发展。</w:t>
      </w:r>
    </w:p>
    <w:bookmarkEnd w:id="16"/>
    <w:p w14:paraId="3F87E58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2、完善普铁基础支撑</w:t>
      </w:r>
      <w:bookmarkStart w:id="21" w:name="_Hlk151584200"/>
    </w:p>
    <w:p w14:paraId="64AD7AA3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推进宁启铁路泰州西货站改（扩）建，保障宁启铁路站后工程建设，远景预留宁启铁路开行市域（郊）铁路的可能性，支持新长铁路扩能改造，规划泰州港高港港区铁路支线、泰州港泰兴港区铁路支线、泰州靖江港区专用线、戴南不锈钢物流园专用线、沿江货运铁路等相关普速铁路。</w:t>
      </w:r>
      <w:bookmarkStart w:id="22" w:name="_Toc62206714"/>
      <w:bookmarkStart w:id="23" w:name="_Toc62206716"/>
    </w:p>
    <w:bookmarkEnd w:id="21"/>
    <w:p w14:paraId="68462BD4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24" w:name="_Toc189925474"/>
      <w:r>
        <w:rPr>
          <w:rFonts w:hint="eastAsia" w:ascii="楷体" w:hAnsi="楷体" w:eastAsia="楷体" w:cs="楷体"/>
          <w:sz w:val="32"/>
          <w:szCs w:val="32"/>
        </w:rPr>
        <w:t>公路设施规划</w:t>
      </w:r>
      <w:bookmarkEnd w:id="24"/>
    </w:p>
    <w:p w14:paraId="670C6424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25" w:name="_Hlk85661301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1、高速公路网布局规划</w:t>
      </w:r>
    </w:p>
    <w:p w14:paraId="58D5D05B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6" w:name="_Hlk85652630"/>
      <w:r>
        <w:rPr>
          <w:rFonts w:hint="default" w:ascii="Times New Roman" w:hAnsi="Times New Roman" w:eastAsia="方正仿宋_GBK" w:cs="Times New Roman"/>
          <w:sz w:val="32"/>
          <w:szCs w:val="32"/>
        </w:rPr>
        <w:t>至2035年规划形成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“两纵五横”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速公路网，两纵为阜阳至溧阳高速公路、盐城至靖江高速公路；五横为南京至盐城高速公路泰州段+东台至兴化高速公路泰州段、启扬高速公路、京沪高速公路+沪陕高速公路、如皋至常州高速公路、泰州至常州高速公路。</w:t>
      </w:r>
      <w:bookmarkStart w:id="27" w:name="_Hlk153813644"/>
      <w:r>
        <w:rPr>
          <w:rFonts w:hint="default" w:ascii="Times New Roman" w:hAnsi="Times New Roman" w:eastAsia="方正仿宋_GBK" w:cs="Times New Roman"/>
          <w:sz w:val="32"/>
          <w:szCs w:val="32"/>
        </w:rPr>
        <w:t>规划预留泰州沿江高速公路、泰州西部高速公路廊道</w:t>
      </w:r>
      <w:bookmarkEnd w:id="27"/>
      <w:r>
        <w:rPr>
          <w:rFonts w:hint="default" w:ascii="Times New Roman" w:hAnsi="Times New Roman" w:eastAsia="方正仿宋_GBK" w:cs="Times New Roman"/>
          <w:sz w:val="32"/>
          <w:szCs w:val="32"/>
        </w:rPr>
        <w:t>，进一步完善高速公路网络布局。</w:t>
      </w:r>
    </w:p>
    <w:bookmarkEnd w:id="26"/>
    <w:p w14:paraId="066EA80F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2、干线公路网布局规划</w:t>
      </w:r>
    </w:p>
    <w:p w14:paraId="392A46D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以“骨架提升、强化辐射、客货分离”为原则规划构建“三纵十四横八联”国省干道网。</w:t>
      </w:r>
    </w:p>
    <w:p w14:paraId="4B63FE4B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3、过江通道布局规划</w:t>
      </w:r>
    </w:p>
    <w:p w14:paraId="20051C5A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加快过江通道建设，共计规划9条过江通道，其中包括现状2处、在建3处、规划建设2处、预留2处，平均间距约10公里。具体而言，在现有泰州大桥、江阴长江大桥、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江大桥（在建）、江阴靖江长江隧道（在建）、张靖皋长江大桥（在建）等5条过江通道基础上，规划江阴第三过江通道、靖澄过江通道，预留张靖过江通道、润泰过江通道，促进泰州与苏锡常都市圈跨江融合发展。</w:t>
      </w:r>
    </w:p>
    <w:p w14:paraId="73B5D1A6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4、公路枢纽布局规划</w:t>
      </w:r>
    </w:p>
    <w:p w14:paraId="54AFF677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公路枢纽方面，加快医药高新（高港）区汽车客运北站建设，泰州汽车客运站改（扩）建，完善公路客运枢纽布局。</w:t>
      </w:r>
    </w:p>
    <w:bookmarkEnd w:id="25"/>
    <w:p w14:paraId="4A2183AD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28" w:name="_Toc189925475"/>
      <w:r>
        <w:rPr>
          <w:rFonts w:hint="eastAsia" w:ascii="楷体" w:hAnsi="楷体" w:eastAsia="楷体" w:cs="楷体"/>
          <w:sz w:val="32"/>
          <w:szCs w:val="32"/>
        </w:rPr>
        <w:t>航空设施规划</w:t>
      </w:r>
      <w:bookmarkEnd w:id="22"/>
      <w:bookmarkEnd w:id="28"/>
    </w:p>
    <w:p w14:paraId="68A2FB5B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29" w:name="_Hlk85653091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1、扬泰机场枢纽</w:t>
      </w:r>
    </w:p>
    <w:p w14:paraId="1FD22692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协作推进扬州泰州国际机场二期扩建工程，远期规划将空港等级从4C级提升为4E级，打造国际级旅游航空枢纽和集散中心，构建多模式集疏运系统，实现与市区半小时通达、市域1小时覆盖。注重利用上海至南京至合肥高速铁路及宁镇（扬中）泰城际铁路-宁马城际实现泰州中心城区与上海第三机场、南京禄口机场的1小时快速联系。</w:t>
      </w:r>
    </w:p>
    <w:p w14:paraId="2CE6C22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2、通用机场</w:t>
      </w:r>
    </w:p>
    <w:p w14:paraId="2BB3675A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68" w:name="_GoBack"/>
      <w:bookmarkEnd w:id="68"/>
      <w:r>
        <w:rPr>
          <w:rFonts w:hint="default" w:ascii="Times New Roman" w:hAnsi="Times New Roman" w:eastAsia="方正仿宋_GBK" w:cs="Times New Roman"/>
          <w:sz w:val="32"/>
          <w:szCs w:val="32"/>
        </w:rPr>
        <w:t>规划形成2个A型通用机场和4个B型通用航空机场格局，其中A型通用机场包括兴化及泰兴通用机场，B型通用机场包括靖江、姜堰、海陵及医药高新区（高港区）通用机场，实现全域覆盖，支持通用机场发展观光旅游、应急救援、商务飞行和业务培训。</w:t>
      </w:r>
    </w:p>
    <w:bookmarkEnd w:id="23"/>
    <w:bookmarkEnd w:id="29"/>
    <w:p w14:paraId="53DC0BFD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30" w:name="_Toc189925476"/>
      <w:r>
        <w:rPr>
          <w:rFonts w:hint="eastAsia" w:ascii="楷体" w:hAnsi="楷体" w:eastAsia="楷体" w:cs="楷体"/>
          <w:sz w:val="32"/>
          <w:szCs w:val="32"/>
        </w:rPr>
        <w:t>水运设施规划</w:t>
      </w:r>
      <w:bookmarkEnd w:id="30"/>
    </w:p>
    <w:p w14:paraId="1396C05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1、沿江港口</w:t>
      </w:r>
    </w:p>
    <w:p w14:paraId="6F1FFB2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充分发挥12.5米深水航道作用，推进沿江港口码头建设。推进泰州港高港港区码头工程杨湾作业区一期、泰州港高港港区码头工程高港作业区扩容、泰州港高港港区码头工程永安作业区四期、泰州港高港港区码头工程作业区五期码头工程、泰州港高港港区码头工程北夹江码头工程、泰州港泰兴港区过船作业区码头扩容工程、泰州港泰兴港区七圩作业区码头扩容工程、夹港作业区码头项目、泰州港靖江港区八圩作业区码头扩容工程、泰州港靖江港区新港作业区码头扩容工程，规划新建古马干河作业区码头项目、泰州港泰兴港区LNG码头工程。支持整合提升效益低下的港口岸线，新建或改（扩）建万吨级以上码头，提高靠泊能力、提升装卸效率。</w:t>
      </w:r>
    </w:p>
    <w:p w14:paraId="603E9B4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2、内河港口</w:t>
      </w:r>
    </w:p>
    <w:p w14:paraId="1033A99A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新建城南作业区码头工程、渭水河米业码头工程、金桥焊材码头工程、泰州港泰兴港区船舶洗舱站码头工程等项目，根据城市物流发展需求，支撑保障内河港口布局进一步优化。</w:t>
      </w:r>
    </w:p>
    <w:p w14:paraId="425DAF7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3、内河航道</w:t>
      </w:r>
    </w:p>
    <w:p w14:paraId="4F308A1D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在泰东线、盐邵线、通扬线等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三级航道基础上，按照三级航道标准实施兴东线航道整治工程、盐邵线航道整治工程、泰东线戴南连接线，以及支线航道建设，促进形成由三级省干线、五级及以上货运支线组成的“三纵五横”航道体系，支持加快建设干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通江达海的便捷水运网。其中，“纵一”为盐邵线、下官河，“纵二”为泰东线（含引江河）-南官河-泰东线戴南连接线，“纵三”为高东线-兴姜线-姜十线-焦港河；“横一”为通扬线-新通扬运河，“横二”为兴东线，“横三”为古马干河，“横四”为如泰运河，“横五”为兴白线。</w:t>
      </w:r>
    </w:p>
    <w:p w14:paraId="4CEDC414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ascii="Times New Roman" w:hAnsi="Times New Roman" w:cs="Times New Roman"/>
          <w:sz w:val="32"/>
          <w:szCs w:val="32"/>
        </w:rPr>
      </w:pPr>
    </w:p>
    <w:p w14:paraId="2BC9136E"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31" w:name="_Toc507436481"/>
      <w:bookmarkStart w:id="32" w:name="_Toc189925477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城市道路网规划</w:t>
      </w:r>
      <w:bookmarkEnd w:id="31"/>
      <w:bookmarkEnd w:id="32"/>
    </w:p>
    <w:p w14:paraId="0A4719B6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0" w:hanging="34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33" w:name="_Toc189925480"/>
      <w:r>
        <w:rPr>
          <w:rFonts w:hint="eastAsia" w:ascii="楷体" w:hAnsi="楷体" w:eastAsia="楷体" w:cs="楷体"/>
          <w:sz w:val="32"/>
          <w:szCs w:val="32"/>
        </w:rPr>
        <w:t>城市道路网体系分级</w:t>
      </w:r>
      <w:bookmarkEnd w:id="33"/>
    </w:p>
    <w:p w14:paraId="1C926C55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泰州市中心城区道路网络分为快速路、主干路、次干路和支路四个层级，其中主干路包括交通性主干路和生活性主干路。</w:t>
      </w:r>
    </w:p>
    <w:p w14:paraId="52429E5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34" w:name="_Hlk85722080"/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）快速路：构筑与泰州市“一轴一核三极三城”城市空间格局相协同，承担对外畅达、各片区快联、中心保护、路网减负、枢纽集散功能的快速联通路网体系。</w:t>
      </w:r>
    </w:p>
    <w:p w14:paraId="5280FA4A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）主干路：包括交通性主干路和生活性主干路。其中交通性主干路主要承担城市组团间的较长距离交通需求，并兼顾高快速路交通流量的集散功能；生活性主干路主要承担组团内部各功能片区之间的交通需求。</w:t>
      </w:r>
    </w:p>
    <w:p w14:paraId="003A4A2D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）次干路：以服务组团内部为主，强化道路的贯通性，分担主干路交通流量，与主干路共同构建互联互通的干路网体系。</w:t>
      </w:r>
    </w:p>
    <w:p w14:paraId="573C407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）支路：组团内部集散道路，以服务沿线用地出入为主，结合用地性质进行路网密度的“差别化控制”。</w:t>
      </w:r>
    </w:p>
    <w:bookmarkEnd w:id="34"/>
    <w:p w14:paraId="2F8BC1DF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0" w:hanging="34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35" w:name="_Toc189925481"/>
      <w:r>
        <w:rPr>
          <w:rFonts w:hint="eastAsia" w:ascii="楷体" w:hAnsi="楷体" w:eastAsia="楷体" w:cs="楷体"/>
          <w:sz w:val="32"/>
          <w:szCs w:val="32"/>
        </w:rPr>
        <w:t>快速路系统规划</w:t>
      </w:r>
      <w:bookmarkEnd w:id="35"/>
    </w:p>
    <w:p w14:paraId="2128FEF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构建与城市空间相匹配、与交通网络系统相协同、高快衔接、枢纽快联、中心保护、跨区快达的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“六横五纵、井字放射”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快速路网体系，规划总长度228公里，路网密度0.45km/km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CCA3BD9">
      <w:pPr>
        <w:pStyle w:val="8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六横：站前路、永定路、姜高路、创新大道、通港路、沿江高等级公路（高港大道）；</w:t>
      </w:r>
    </w:p>
    <w:p w14:paraId="3566BFCF">
      <w:pPr>
        <w:pStyle w:val="8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五纵：祥泰路-泰镇路、东风路、兴泰公路、溱湖大道、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S229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 w14:paraId="370CC03C">
      <w:pPr>
        <w:pStyle w:val="8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井字放射路网：形成服务海陵、高铁枢纽片区、医药高新区(高港区)、姜堰区的快速路环放路网。</w:t>
      </w:r>
    </w:p>
    <w:p w14:paraId="20DCE0F7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0" w:hanging="34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36" w:name="_Toc189925482"/>
      <w:r>
        <w:rPr>
          <w:rFonts w:hint="eastAsia" w:ascii="楷体" w:hAnsi="楷体" w:eastAsia="楷体" w:cs="楷体"/>
          <w:sz w:val="32"/>
          <w:szCs w:val="32"/>
        </w:rPr>
        <w:t>主干路、次干路和支路布局规划</w:t>
      </w:r>
      <w:bookmarkEnd w:id="36"/>
    </w:p>
    <w:p w14:paraId="1DEE24C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主干路方面，在六横五纵快速网基础上，重点打造海姜一体化横向贯通主干路及港城一体化纵向贯通主干路，构建</w:t>
      </w:r>
      <w:bookmarkStart w:id="37" w:name="_Hlk167375344"/>
      <w:r>
        <w:rPr>
          <w:rFonts w:hint="eastAsia" w:ascii="方正仿宋_GBK" w:hAnsi="方正仿宋_GBK" w:eastAsia="方正仿宋_GBK" w:cs="方正仿宋_GBK"/>
          <w:sz w:val="32"/>
          <w:szCs w:val="32"/>
        </w:rPr>
        <w:t>“十九横十六纵”主干路网</w:t>
      </w:r>
      <w:bookmarkEnd w:id="37"/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总长约488km，密度1.69km/km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B54152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次干路方面，结合用地开发，优化、加密次干路网络布局，提升片区道路网络通达性，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总长407km，密度1.41km/km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F26A4F1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支路方面，依据组团和片区的用地性质、功能分区和用地条件，支路网密度“差别化控制”，至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2035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年，道路网总密度达到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以上。</w:t>
      </w:r>
    </w:p>
    <w:p w14:paraId="52332A0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Times New Roman" w:hAnsi="Times New Roman" w:eastAsia="华文新魏" w:cs="Times New Roman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道路与高铁协调规划方面，协调道路与上海至南京至合肥高速铁路（泰州段）、盐城经泰州无锡常州至宜兴铁路线位位置关系，统筹铁路桥墩与道路断面，合理预留道路空间，减弱铁路对道路网的阻隔效用。</w:t>
      </w:r>
      <w:bookmarkStart w:id="38" w:name="_Toc189925492"/>
      <w:bookmarkStart w:id="39" w:name="_Toc507436485"/>
      <w:bookmarkStart w:id="40" w:name="_Toc499293033"/>
      <w:bookmarkStart w:id="41" w:name="_Toc507436484"/>
    </w:p>
    <w:p w14:paraId="7E5C5D5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第四章  步行和自行车交通规划</w:t>
      </w:r>
      <w:bookmarkEnd w:id="38"/>
      <w:bookmarkEnd w:id="39"/>
      <w:bookmarkEnd w:id="40"/>
    </w:p>
    <w:p w14:paraId="6A05FD27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42" w:name="_Toc189925495"/>
      <w:bookmarkStart w:id="43" w:name="_Toc276810512"/>
      <w:bookmarkStart w:id="44" w:name="_Toc276810585"/>
      <w:r>
        <w:rPr>
          <w:rFonts w:hint="eastAsia" w:ascii="楷体" w:hAnsi="楷体" w:eastAsia="楷体" w:cs="楷体"/>
          <w:sz w:val="32"/>
          <w:szCs w:val="32"/>
        </w:rPr>
        <w:t>丰富慢行生活圈规划</w:t>
      </w:r>
      <w:bookmarkEnd w:id="42"/>
    </w:p>
    <w:p w14:paraId="6D66BC11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倡导慢行与公共交通无缝衔接，推进道路网、绿道网、社区公共通道三网融合，构建公共交通+高连通度、高可达性、高渗透性的慢行网络，打造慢行主导的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分钟生活圈，提升街道活力，将绿行底色渗入社区、深入人心。</w:t>
      </w:r>
    </w:p>
    <w:p w14:paraId="2B7052F4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45" w:name="_Toc189925496"/>
      <w:r>
        <w:rPr>
          <w:rFonts w:hint="eastAsia" w:ascii="楷体" w:hAnsi="楷体" w:eastAsia="楷体" w:cs="楷体"/>
          <w:sz w:val="32"/>
          <w:szCs w:val="32"/>
        </w:rPr>
        <w:t>步行单元分区</w:t>
      </w:r>
      <w:bookmarkEnd w:id="45"/>
    </w:p>
    <w:p w14:paraId="0F2B370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根据泰州实际情况及不同地块内主导的土地利用性质、步行人流的主要性质，面向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分钟生活圈划分商业办公单元、居住区单元、公园景点单元、科教文化单元、交通枢纽单元、工业仓储单元六个类型的步行单元，构建步行单元慢行生活圈，减少长距离的机动化出行。</w:t>
      </w:r>
    </w:p>
    <w:p w14:paraId="3456AE6C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46" w:name="_Toc189925497"/>
      <w:r>
        <w:rPr>
          <w:rFonts w:hint="eastAsia" w:ascii="楷体" w:hAnsi="楷体" w:eastAsia="楷体" w:cs="楷体"/>
          <w:sz w:val="32"/>
          <w:szCs w:val="32"/>
        </w:rPr>
        <w:t>日常性慢行交通网规划</w:t>
      </w:r>
      <w:bookmarkEnd w:id="46"/>
    </w:p>
    <w:p w14:paraId="7C6E2538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1、步行交通网络</w:t>
      </w:r>
    </w:p>
    <w:p w14:paraId="3347CB95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47" w:name="_Toc62206742"/>
      <w:r>
        <w:rPr>
          <w:rFonts w:hint="eastAsia" w:ascii="方正仿宋_GBK" w:hAnsi="方正仿宋_GBK" w:eastAsia="方正仿宋_GBK" w:cs="方正仿宋_GBK"/>
          <w:sz w:val="32"/>
          <w:szCs w:val="32"/>
        </w:rPr>
        <w:t>日常性步行道网主要是服务于通勤通学等出行需求，由依托城市道路的人行道系统、街巷、地块开放的公共路径组成。要求人行道连续、完整，确保足够的有效宽度以保障行人通行权。同时应根据分区要求，提升步行网络密度。</w:t>
      </w:r>
    </w:p>
    <w:p w14:paraId="5CE0FCA4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自行车交通网络</w:t>
      </w:r>
    </w:p>
    <w:p w14:paraId="4AFA79C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（1）自行车重要主通道网络规划</w:t>
      </w:r>
    </w:p>
    <w:p w14:paraId="061DCDD7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基于泰州中心城区自行车出行分布，规划泰州城区“八横六纵”重要主通道，姜堰区“三横四纵”重要主通道，主城区通道总长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度234.2km，密度0.85km/km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06E6AB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（2）自行车一般主通道网络规划</w:t>
      </w:r>
    </w:p>
    <w:p w14:paraId="67012F32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一般主通道是自行车网络骨架的主要构成，泰州城区共规划一般主通道总长度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为323.9km，密度1.15km/km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bookmarkEnd w:id="47"/>
    <w:p w14:paraId="73906C0B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3、老城区慢行交通网规划</w:t>
      </w:r>
    </w:p>
    <w:p w14:paraId="068DD46A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发挥水绿生态优势，挖掘历史文化脉络，老城区更新提升慢行交通品质，构筑四级高品质慢行网络，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包括20.0km交通性街道、26.5km生活性街道、6.0km休闲性街道、8.3km特色性街道，全长60.8km，密度达10.2km/km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2630DAD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48" w:name="_Toc189925498"/>
      <w:r>
        <w:rPr>
          <w:rFonts w:hint="eastAsia" w:ascii="楷体" w:hAnsi="楷体" w:eastAsia="楷体" w:cs="楷体"/>
          <w:sz w:val="32"/>
          <w:szCs w:val="32"/>
        </w:rPr>
        <w:t>休闲性慢行网络规划</w:t>
      </w:r>
      <w:bookmarkEnd w:id="48"/>
    </w:p>
    <w:p w14:paraId="7FEC9AC5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泰州中心城区层面，依托江淮交汇、双水绕城的独特生态格局，规划构建</w:t>
      </w:r>
      <w:bookmarkStart w:id="49" w:name="_Hlk167376143"/>
      <w:r>
        <w:rPr>
          <w:rFonts w:hint="eastAsia" w:ascii="方正仿宋_GBK" w:hAnsi="方正仿宋_GBK" w:eastAsia="方正仿宋_GBK" w:cs="方正仿宋_GBK"/>
          <w:sz w:val="32"/>
          <w:szCs w:val="32"/>
        </w:rPr>
        <w:t>“三环、五点、七廊、多联”的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320km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绿道网，形成串联各公园、景点、历史街区的文化脉络。</w:t>
      </w:r>
      <w:bookmarkEnd w:id="49"/>
      <w:r>
        <w:rPr>
          <w:rFonts w:hint="eastAsia" w:ascii="方正仿宋_GBK" w:hAnsi="方正仿宋_GBK" w:eastAsia="方正仿宋_GBK" w:cs="方正仿宋_GBK"/>
          <w:sz w:val="32"/>
          <w:szCs w:val="32"/>
        </w:rPr>
        <w:t>一轴一核三极层面，以绿为基、以蓝为脉、以文为媒、以人为本，深入生活区打造绿道微循环体系，提升绿道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分钟步行覆盖。结合天德湖公园、金融广场、人民广场、老街、梅园、凤城河等城市地标及人文景观打造泰州特色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Citywalk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（城市漫步）线路。</w:t>
      </w:r>
    </w:p>
    <w:p w14:paraId="53974B95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50" w:name="_Toc189925499"/>
      <w:r>
        <w:rPr>
          <w:rFonts w:hint="eastAsia" w:ascii="楷体" w:hAnsi="楷体" w:eastAsia="楷体" w:cs="楷体"/>
          <w:sz w:val="32"/>
          <w:szCs w:val="32"/>
        </w:rPr>
        <w:t>立体过街节点规划</w:t>
      </w:r>
      <w:bookmarkEnd w:id="50"/>
    </w:p>
    <w:p w14:paraId="1E0F390F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结合城市地下空间开发、轨道交通及快速路等重大工程建设，同步推动立体过街设施建设，提升慢行交通的安全性。</w:t>
      </w:r>
    </w:p>
    <w:p w14:paraId="1D928B36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51" w:name="_Toc189925500"/>
      <w:r>
        <w:rPr>
          <w:rFonts w:hint="eastAsia" w:ascii="楷体" w:hAnsi="楷体" w:eastAsia="楷体" w:cs="楷体"/>
          <w:sz w:val="32"/>
          <w:szCs w:val="32"/>
        </w:rPr>
        <w:t>特色示范</w:t>
      </w:r>
      <w:bookmarkEnd w:id="51"/>
    </w:p>
    <w:p w14:paraId="37A9A9BE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“一轴一核三极”范围内，通过完善风雨步道、设置乐龄通道、设计儿童出行路径、推行无障碍设施，营造“一轴一核三极”全龄友好慢行示范区。</w:t>
      </w:r>
    </w:p>
    <w:bookmarkEnd w:id="43"/>
    <w:bookmarkEnd w:id="44"/>
    <w:p w14:paraId="20736C50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80" w:lineRule="exact"/>
        <w:ind w:leftChars="0"/>
        <w:jc w:val="center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bookmarkStart w:id="52" w:name="_Toc189925501"/>
      <w:bookmarkStart w:id="53" w:name="_Hlk85639231"/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第五章  停车规划</w:t>
      </w:r>
      <w:bookmarkEnd w:id="41"/>
      <w:bookmarkEnd w:id="52"/>
    </w:p>
    <w:bookmarkEnd w:id="53"/>
    <w:p w14:paraId="3BC2233F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54" w:name="_Toc189925504"/>
      <w:r>
        <w:rPr>
          <w:rFonts w:hint="eastAsia" w:ascii="楷体" w:hAnsi="楷体" w:eastAsia="楷体" w:cs="楷体"/>
          <w:sz w:val="32"/>
          <w:szCs w:val="32"/>
        </w:rPr>
        <w:t>公共停车设施布局规划</w:t>
      </w:r>
      <w:bookmarkEnd w:id="54"/>
    </w:p>
    <w:p w14:paraId="0666D23D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1、路外公共停车设施布局规划</w:t>
      </w:r>
    </w:p>
    <w:p w14:paraId="5563B2A7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遵循用地协调、节约用地、规模适宜的布局原则，泰州中心城区规划建设公共停车场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处，提供小汽车泊位约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万个。</w:t>
      </w:r>
    </w:p>
    <w:p w14:paraId="175181A3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2、路内公共停车场规划</w:t>
      </w:r>
    </w:p>
    <w:p w14:paraId="3FE283B1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建议结合道路宽度、道路功能、交通运行状况等因素合理布设路内停车泊位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DAF5C7B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80" w:lineRule="exact"/>
        <w:ind w:left="0" w:firstLine="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bookmarkStart w:id="55" w:name="_Toc189925505"/>
      <w:r>
        <w:rPr>
          <w:rFonts w:hint="eastAsia" w:ascii="楷体" w:hAnsi="楷体" w:eastAsia="楷体" w:cs="楷体"/>
          <w:sz w:val="32"/>
          <w:szCs w:val="32"/>
        </w:rPr>
        <w:t>充电设施布局规划指引</w:t>
      </w:r>
      <w:bookmarkEnd w:id="55"/>
    </w:p>
    <w:p w14:paraId="7FD09EA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充电设施布局要以用户居住地停车位、单位停车场、公交及出租车场站等配建的专用充电设施为主体，以公共建筑物停车场、社会公共停车场、临时停车位等配建的公共充电设施为辅助，以独立占地的城市快充站、换电站和高速公路服务区配建的城际快充站为补充，形成电动汽车充电基础设施体系。原则上，新建住宅配建停车位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建设充电设施或预留建设安装条件，大型公共建筑物配建停车场、社会</w:t>
      </w:r>
      <w:r>
        <w:rPr>
          <w:rFonts w:ascii="Times New Roman" w:hAnsi="Times New Roman" w:cs="Times New Roman"/>
          <w:sz w:val="32"/>
          <w:szCs w:val="32"/>
        </w:rPr>
        <w:t>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共停车场建设充电设施或预留建设安装条件的车位比例不低于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辆电动汽车至少配套建设一座公共充电站。鼓励建设占地少、成本低、见效快的机械式与立体式停车充电一体化设施。</w:t>
      </w:r>
    </w:p>
    <w:p w14:paraId="7213EC4D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80" w:lineRule="exact"/>
        <w:ind w:leftChars="0"/>
        <w:jc w:val="center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bookmarkStart w:id="56" w:name="_Toc189925506"/>
      <w:bookmarkStart w:id="57" w:name="_Toc86081965"/>
      <w:bookmarkStart w:id="58" w:name="_Toc62206730"/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第六章  物流货运规划</w:t>
      </w:r>
      <w:bookmarkEnd w:id="56"/>
    </w:p>
    <w:bookmarkEnd w:id="57"/>
    <w:bookmarkEnd w:id="58"/>
    <w:p w14:paraId="7C020867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0" w:hanging="34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59" w:name="_Toc86081983"/>
      <w:bookmarkStart w:id="60" w:name="_Toc62206736"/>
      <w:bookmarkStart w:id="61" w:name="_Toc189925509"/>
      <w:bookmarkStart w:id="62" w:name="_Toc59636195"/>
      <w:r>
        <w:rPr>
          <w:rFonts w:hint="eastAsia" w:ascii="楷体" w:hAnsi="楷体" w:eastAsia="楷体" w:cs="楷体"/>
          <w:sz w:val="32"/>
          <w:szCs w:val="32"/>
        </w:rPr>
        <w:t>物流节点布局</w:t>
      </w:r>
      <w:bookmarkEnd w:id="59"/>
      <w:bookmarkEnd w:id="60"/>
      <w:bookmarkEnd w:id="61"/>
      <w:bookmarkEnd w:id="62"/>
    </w:p>
    <w:p w14:paraId="316BAE94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结合</w:t>
      </w:r>
      <w:bookmarkStart w:id="63" w:name="_Hlk167376414"/>
      <w:r>
        <w:rPr>
          <w:rFonts w:hint="eastAsia" w:ascii="方正仿宋_GBK" w:hAnsi="方正仿宋_GBK" w:eastAsia="方正仿宋_GBK" w:cs="方正仿宋_GBK"/>
          <w:sz w:val="32"/>
          <w:szCs w:val="32"/>
        </w:rPr>
        <w:t>泰州市特色产业布局</w:t>
      </w:r>
      <w:bookmarkEnd w:id="63"/>
      <w:r>
        <w:rPr>
          <w:rFonts w:hint="eastAsia" w:ascii="方正仿宋_GBK" w:hAnsi="方正仿宋_GBK" w:eastAsia="方正仿宋_GBK" w:cs="方正仿宋_GBK"/>
          <w:sz w:val="32"/>
          <w:szCs w:val="32"/>
        </w:rPr>
        <w:t>，泰州构建七大重点物流园及四大特色物流集聚区的物流枢纽体系，以建设长江经济带粮食供应链组织枢纽、长三角煤炭保供和铁矿石中转基地、江苏中轴现代流通重要支点为总体发展目标，支撑打造现代流通战略支点城市。其中七大重点物流园包括靖江粮食产业园、江苏三江现代物流园、泰兴虹桥物流园、高港综合物流园、泰州市城北物流园、姜堰三水物流港和江苏（戴南）不锈钢综合物流园；四大特色物流集聚区包括泰兴市苏中沿江物流园、兴化粮食物流产业园、泰州医药物流集聚区和泰州保税物流集聚区。</w:t>
      </w:r>
    </w:p>
    <w:p w14:paraId="48A32D50">
      <w:pPr>
        <w:pStyle w:val="3"/>
        <w:pageBreakBefore w:val="0"/>
        <w:numPr>
          <w:ilvl w:val="0"/>
          <w:numId w:val="2"/>
        </w:numPr>
        <w:tabs>
          <w:tab w:val="left" w:pos="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0" w:hanging="34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64" w:name="_Toc62206737"/>
      <w:bookmarkStart w:id="65" w:name="_Toc59636196"/>
      <w:bookmarkStart w:id="66" w:name="_Toc86081984"/>
      <w:bookmarkStart w:id="67" w:name="_Toc189925510"/>
      <w:r>
        <w:rPr>
          <w:rFonts w:hint="eastAsia" w:ascii="楷体" w:hAnsi="楷体" w:eastAsia="楷体" w:cs="楷体"/>
          <w:sz w:val="32"/>
          <w:szCs w:val="32"/>
        </w:rPr>
        <w:t>货运通道布局</w:t>
      </w:r>
      <w:bookmarkEnd w:id="64"/>
      <w:bookmarkEnd w:id="65"/>
      <w:bookmarkEnd w:id="66"/>
      <w:bookmarkEnd w:id="67"/>
    </w:p>
    <w:p w14:paraId="0E3D2029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）过境货运通道：在高速公路网络的基础上，东西向货运主要依托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S353、G328改线、G345等货运通道，南北向货运主要依托S506、S232等货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运通道。</w:t>
      </w:r>
    </w:p>
    <w:p w14:paraId="50AC8204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）城区货运通道：结合城市产业布局，规划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S354、S411、S356、S506、S231、S232、S229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等三横四纵城市集散货运通道，重点服务泰州城区产业集散。</w:t>
      </w:r>
    </w:p>
    <w:p w14:paraId="3F504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3733502E">
      <w:pPr>
        <w:pStyle w:val="8"/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图纸：</w:t>
      </w:r>
    </w:p>
    <w:p w14:paraId="76C43A0A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1.市域综合交通规划图</w:t>
      </w:r>
    </w:p>
    <w:p w14:paraId="2E70CF6E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2.中心城区道路网规划图</w:t>
      </w:r>
    </w:p>
    <w:p w14:paraId="14E948C4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DD7B871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C72587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CB0838F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E948DDC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6F5668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9D977A5">
      <w:pPr>
        <w:pStyle w:val="8"/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0CB4AC0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A291CCC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09E7884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82D7F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90A43B3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0B504AF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107E0E9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BA365D4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613400" cy="7938770"/>
            <wp:effectExtent l="0" t="0" r="6350" b="5080"/>
            <wp:docPr id="2" name="图片 2" descr="9448b4687600e8e2913bcf3e29f1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48b4687600e8e2913bcf3e29f19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04005">
      <w:pPr>
        <w:pStyle w:val="8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C980FAA">
      <w:pPr>
        <w:pStyle w:val="8"/>
        <w:spacing w:line="360" w:lineRule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613400" cy="7938770"/>
            <wp:effectExtent l="0" t="0" r="6350" b="5080"/>
            <wp:docPr id="1" name="图片 1" descr="7c85380d7d748947c52a96315796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85380d7d748947c52a96315796c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B64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52C53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52C53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80151"/>
    <w:multiLevelType w:val="multilevel"/>
    <w:tmpl w:val="23180151"/>
    <w:lvl w:ilvl="0" w:tentative="0">
      <w:start w:val="1"/>
      <w:numFmt w:val="bullet"/>
      <w:lvlText w:val="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">
    <w:nsid w:val="2DE2630B"/>
    <w:multiLevelType w:val="multilevel"/>
    <w:tmpl w:val="2DE2630B"/>
    <w:lvl w:ilvl="0" w:tentative="0">
      <w:start w:val="1"/>
      <w:numFmt w:val="chineseCountingThousand"/>
      <w:suff w:val="space"/>
      <w:lvlText w:val="第%1章"/>
      <w:lvlJc w:val="left"/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Restart w:val="1"/>
      <w:isLgl/>
      <w:suff w:val="space"/>
      <w:lvlText w:val="图%1-%5"/>
      <w:lvlJc w:val="left"/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lang w:val="en-US"/>
      </w:rPr>
    </w:lvl>
    <w:lvl w:ilvl="5" w:tentative="0">
      <w:start w:val="1"/>
      <w:numFmt w:val="decimal"/>
      <w:lvlRestart w:val="1"/>
      <w:isLgl/>
      <w:suff w:val="space"/>
      <w:lvlText w:val="表%1-%6"/>
      <w:lvlJc w:val="left"/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vertAlign w:val="baseline"/>
      </w:rPr>
    </w:lvl>
    <w:lvl w:ilvl="6" w:tentative="0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46457A92"/>
    <w:multiLevelType w:val="multilevel"/>
    <w:tmpl w:val="46457A92"/>
    <w:lvl w:ilvl="0" w:tentative="0">
      <w:start w:val="1"/>
      <w:numFmt w:val="decimalZero"/>
      <w:suff w:val="space"/>
      <w:lvlText w:val="【第%1条】"/>
      <w:lvlJc w:val="left"/>
      <w:pPr>
        <w:ind w:left="5524" w:hanging="420"/>
      </w:pPr>
      <w:rPr>
        <w:rFonts w:hint="default" w:ascii="楷体" w:hAnsi="楷体" w:eastAsia="楷体" w:cs="楷体"/>
        <w:b w:val="0"/>
        <w:bCs w:val="0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、"/>
      <w:lvlJc w:val="left"/>
      <w:pPr>
        <w:ind w:left="1215" w:hanging="375"/>
      </w:pPr>
      <w:rPr>
        <w:rFonts w:hint="default"/>
      </w:rPr>
    </w:lvl>
    <w:lvl w:ilvl="3" w:tentative="0">
      <w:start w:val="2"/>
      <w:numFmt w:val="decimal"/>
      <w:lvlText w:val="（%4）"/>
      <w:lvlJc w:val="left"/>
      <w:pPr>
        <w:ind w:left="1980" w:hanging="720"/>
      </w:pPr>
      <w:rPr>
        <w:rFonts w:hint="default"/>
        <w:b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0AFF"/>
    <w:rsid w:val="0EA66FBD"/>
    <w:rsid w:val="19E60AFF"/>
    <w:rsid w:val="3FA20921"/>
    <w:rsid w:val="607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1200" w:lineRule="exact"/>
      <w:jc w:val="center"/>
      <w:outlineLvl w:val="0"/>
    </w:pPr>
    <w:rPr>
      <w:rFonts w:eastAsia="华文新魏" w:cstheme="minorBidi"/>
      <w:bCs/>
      <w:kern w:val="44"/>
      <w:sz w:val="4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960" w:lineRule="exact"/>
      <w:outlineLvl w:val="1"/>
    </w:pPr>
    <w:rPr>
      <w:rFonts w:eastAsia="黑体" w:cstheme="majorBidi"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rPr>
      <w:rFonts w:asciiTheme="minorHAnsi" w:hAnsiTheme="minorHAnsi" w:eastAsiaTheme="minorEastAsia" w:cstheme="minorBidi"/>
      <w:szCs w:val="22"/>
    </w:rPr>
  </w:style>
  <w:style w:type="paragraph" w:customStyle="1" w:styleId="9">
    <w:name w:val="图样式"/>
    <w:basedOn w:val="1"/>
    <w:qFormat/>
    <w:uiPriority w:val="0"/>
    <w:pPr>
      <w:spacing w:after="50" w:afterLines="50"/>
      <w:jc w:val="center"/>
    </w:pPr>
    <w:rPr>
      <w:rFonts w:ascii="Arial" w:hAnsi="Arial" w:eastAsia="黑体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4561</Words>
  <Characters>4787</Characters>
  <Lines>0</Lines>
  <Paragraphs>0</Paragraphs>
  <TotalTime>161</TotalTime>
  <ScaleCrop>false</ScaleCrop>
  <LinksUpToDate>false</LinksUpToDate>
  <CharactersWithSpaces>4794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2025-02-11T02:02:00Z</dcterms:created>
  <dc:creator>石莹</dc:creator>
  <cp:lastModifiedBy>石莹</cp:lastModifiedBy>
  <cp:lastPrinted>2025-02-11T06:45:52Z</cp:lastPrinted>
  <dcterms:modified xsi:type="dcterms:W3CDTF">2025-02-11T06:48:38Z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B071D1AB892A441388155B46F69F1383_11</vt:lpwstr>
  </property>
  <property fmtid="{D5CDD505-2E9C-101B-9397-08002B2CF9AE}" pid="4" name="KSOTemplateDocerSaveRecord">
    <vt:lpwstr>eyJoZGlkIjoiZTk0OTkwYmI2MzkwYjBlM2JkYTkyM2MxMTdiMDhiNDYiLCJ1c2VySWQiOiIzMTkyMjIxMTIifQ==</vt:lpwstr>
  </property>
</Properties>
</file>