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471613">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黑体_GBK" w:cs="Times New Roman"/>
          <w:spacing w:val="0"/>
          <w:sz w:val="32"/>
          <w:szCs w:val="32"/>
          <w:lang w:val="en-US" w:eastAsia="zh-CN"/>
        </w:rPr>
      </w:pPr>
      <w:r>
        <w:rPr>
          <w:rFonts w:hint="default" w:ascii="Times New Roman" w:hAnsi="Times New Roman" w:eastAsia="方正黑体_GBK" w:cs="Times New Roman"/>
          <w:spacing w:val="0"/>
          <w:sz w:val="32"/>
          <w:szCs w:val="32"/>
          <w:lang w:val="en-US" w:eastAsia="zh-CN"/>
        </w:rPr>
        <w:t>附件1</w:t>
      </w:r>
    </w:p>
    <w:p w14:paraId="12C8924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黑体_GBK" w:cs="Times New Roman"/>
          <w:spacing w:val="-20"/>
          <w:sz w:val="32"/>
          <w:szCs w:val="32"/>
          <w:lang w:val="en-US" w:eastAsia="zh-CN"/>
        </w:rPr>
      </w:pPr>
    </w:p>
    <w:p w14:paraId="4C1AB1F8">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Times New Roman" w:hAnsi="Times New Roman" w:eastAsia="方正小标宋_GBK" w:cs="方正小标宋_GBK"/>
          <w:snapToGrid w:val="0"/>
          <w:color w:val="000000"/>
          <w:spacing w:val="-20"/>
          <w:w w:val="100"/>
          <w:kern w:val="0"/>
          <w:sz w:val="44"/>
          <w:szCs w:val="44"/>
          <w:highlight w:val="none"/>
          <w:lang w:val="en-US" w:eastAsia="zh-CN"/>
        </w:rPr>
      </w:pPr>
      <w:r>
        <w:rPr>
          <w:rFonts w:hint="default" w:ascii="Times New Roman" w:hAnsi="Times New Roman" w:eastAsia="方正小标宋_GBK" w:cs="方正小标宋_GBK"/>
          <w:snapToGrid w:val="0"/>
          <w:color w:val="000000"/>
          <w:spacing w:val="-20"/>
          <w:w w:val="100"/>
          <w:kern w:val="0"/>
          <w:sz w:val="44"/>
          <w:szCs w:val="44"/>
          <w:highlight w:val="none"/>
          <w:lang w:val="en-US" w:eastAsia="zh-CN"/>
        </w:rPr>
        <w:t>泰州市促进资本市场高质量发展</w:t>
      </w:r>
    </w:p>
    <w:p w14:paraId="22C185F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Times New Roman" w:hAnsi="Times New Roman" w:eastAsia="方正小标宋_GBK" w:cs="方正小标宋_GBK"/>
          <w:snapToGrid w:val="0"/>
          <w:color w:val="000000"/>
          <w:spacing w:val="-20"/>
          <w:w w:val="100"/>
          <w:kern w:val="0"/>
          <w:sz w:val="44"/>
          <w:szCs w:val="44"/>
          <w:highlight w:val="none"/>
          <w:lang w:val="en-US" w:eastAsia="zh-CN"/>
        </w:rPr>
      </w:pPr>
      <w:r>
        <w:rPr>
          <w:rFonts w:hint="default" w:ascii="Times New Roman" w:hAnsi="Times New Roman" w:eastAsia="方正小标宋_GBK" w:cs="方正小标宋_GBK"/>
          <w:snapToGrid w:val="0"/>
          <w:color w:val="000000"/>
          <w:spacing w:val="-20"/>
          <w:w w:val="100"/>
          <w:kern w:val="0"/>
          <w:sz w:val="44"/>
          <w:szCs w:val="44"/>
          <w:highlight w:val="none"/>
          <w:lang w:val="en-US" w:eastAsia="zh-CN"/>
        </w:rPr>
        <w:t>助力</w:t>
      </w:r>
      <w:r>
        <w:rPr>
          <w:rFonts w:hint="eastAsia" w:ascii="方正小标宋_GBK" w:hAnsi="方正小标宋_GBK" w:eastAsia="方正小标宋_GBK" w:cs="方正小标宋_GBK"/>
          <w:snapToGrid w:val="0"/>
          <w:color w:val="000000"/>
          <w:spacing w:val="-20"/>
          <w:w w:val="100"/>
          <w:kern w:val="0"/>
          <w:sz w:val="44"/>
          <w:szCs w:val="44"/>
          <w:highlight w:val="none"/>
          <w:lang w:val="en-US" w:eastAsia="zh-CN"/>
        </w:rPr>
        <w:t>“大海新晨”</w:t>
      </w:r>
      <w:r>
        <w:rPr>
          <w:rFonts w:hint="default" w:ascii="Times New Roman" w:hAnsi="Times New Roman" w:eastAsia="方正小标宋_GBK" w:cs="方正小标宋_GBK"/>
          <w:snapToGrid w:val="0"/>
          <w:color w:val="000000"/>
          <w:spacing w:val="-20"/>
          <w:w w:val="100"/>
          <w:kern w:val="0"/>
          <w:sz w:val="44"/>
          <w:szCs w:val="44"/>
          <w:highlight w:val="none"/>
          <w:lang w:val="en-US" w:eastAsia="zh-CN"/>
        </w:rPr>
        <w:t>产业体系建设若干政策措施</w:t>
      </w:r>
    </w:p>
    <w:p w14:paraId="432686FE">
      <w:pPr>
        <w:pStyle w:val="2"/>
        <w:keepNext w:val="0"/>
        <w:keepLines w:val="0"/>
        <w:pageBreakBefore w:val="0"/>
        <w:widowControl w:val="0"/>
        <w:kinsoku/>
        <w:wordWrap/>
        <w:overflowPunct/>
        <w:topLinePunct w:val="0"/>
        <w:autoSpaceDE/>
        <w:autoSpaceDN/>
        <w:bidi w:val="0"/>
        <w:spacing w:line="560" w:lineRule="exact"/>
        <w:ind w:left="0" w:firstLine="0" w:firstLineChars="0"/>
        <w:jc w:val="center"/>
        <w:rPr>
          <w:rFonts w:hint="eastAsia" w:ascii="Times New Roman" w:hAnsi="Times New Roman" w:eastAsia="方正楷体_GBK" w:cs="Times New Roman"/>
          <w:color w:val="000000"/>
          <w:sz w:val="32"/>
          <w:szCs w:val="32"/>
          <w:highlight w:val="none"/>
          <w:lang w:val="en-US" w:eastAsia="zh-CN"/>
        </w:rPr>
      </w:pPr>
      <w:r>
        <w:rPr>
          <w:rFonts w:hint="default" w:ascii="Times New Roman" w:hAnsi="Times New Roman" w:eastAsia="方正楷体_GBK" w:cs="Times New Roman"/>
          <w:snapToGrid w:val="0"/>
          <w:color w:val="000000"/>
          <w:w w:val="100"/>
          <w:kern w:val="0"/>
          <w:sz w:val="32"/>
          <w:szCs w:val="32"/>
          <w:highlight w:val="none"/>
          <w:lang w:val="en-US" w:eastAsia="zh-CN"/>
        </w:rPr>
        <w:t>（</w:t>
      </w:r>
      <w:r>
        <w:rPr>
          <w:rFonts w:hint="eastAsia" w:ascii="Times New Roman" w:hAnsi="Times New Roman" w:eastAsia="方正楷体_GBK" w:cs="Times New Roman"/>
          <w:snapToGrid w:val="0"/>
          <w:color w:val="000000"/>
          <w:w w:val="100"/>
          <w:kern w:val="0"/>
          <w:sz w:val="32"/>
          <w:szCs w:val="32"/>
          <w:highlight w:val="none"/>
          <w:lang w:val="en-US" w:eastAsia="zh-CN"/>
        </w:rPr>
        <w:t>公开</w:t>
      </w:r>
      <w:r>
        <w:rPr>
          <w:rFonts w:hint="default" w:ascii="Times New Roman" w:hAnsi="Times New Roman" w:eastAsia="方正楷体_GBK" w:cs="Times New Roman"/>
          <w:snapToGrid w:val="0"/>
          <w:color w:val="000000"/>
          <w:w w:val="100"/>
          <w:kern w:val="0"/>
          <w:sz w:val="32"/>
          <w:szCs w:val="32"/>
          <w:highlight w:val="none"/>
          <w:lang w:val="en-US" w:eastAsia="zh-CN"/>
        </w:rPr>
        <w:t>征求意见稿）</w:t>
      </w:r>
    </w:p>
    <w:p w14:paraId="5F25DF9E">
      <w:pPr>
        <w:pStyle w:val="2"/>
        <w:keepNext w:val="0"/>
        <w:keepLines w:val="0"/>
        <w:pageBreakBefore w:val="0"/>
        <w:widowControl w:val="0"/>
        <w:kinsoku/>
        <w:wordWrap/>
        <w:overflowPunct/>
        <w:topLinePunct w:val="0"/>
        <w:autoSpaceDE/>
        <w:autoSpaceDN/>
        <w:bidi w:val="0"/>
        <w:spacing w:line="560" w:lineRule="exact"/>
        <w:jc w:val="both"/>
        <w:rPr>
          <w:rFonts w:hint="eastAsia"/>
          <w:color w:val="000000"/>
          <w:highlight w:val="none"/>
          <w:lang w:eastAsia="zh-CN"/>
        </w:rPr>
      </w:pPr>
    </w:p>
    <w:p w14:paraId="13C4EEF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baseline"/>
        <w:rPr>
          <w:rFonts w:hint="default" w:ascii="Times New Roman" w:hAnsi="Times New Roman" w:eastAsia="方正仿宋_GBK" w:cs="Times New Roman"/>
          <w:color w:val="000000"/>
          <w:sz w:val="32"/>
          <w:szCs w:val="32"/>
          <w:highlight w:val="none"/>
          <w:lang w:eastAsia="zh-CN"/>
        </w:rPr>
      </w:pPr>
      <w:r>
        <w:rPr>
          <w:rFonts w:hint="default" w:ascii="Times New Roman" w:hAnsi="Times New Roman" w:eastAsia="方正仿宋_GBK" w:cs="Times New Roman"/>
          <w:color w:val="000000"/>
          <w:sz w:val="32"/>
          <w:szCs w:val="32"/>
          <w:highlight w:val="none"/>
        </w:rPr>
        <w:t>为深入贯彻党的二十大和二十届二中、三中</w:t>
      </w:r>
      <w:r>
        <w:rPr>
          <w:rFonts w:hint="eastAsia" w:ascii="Times New Roman" w:hAnsi="Times New Roman" w:eastAsia="方正仿宋_GBK" w:cs="Times New Roman"/>
          <w:color w:val="000000"/>
          <w:sz w:val="32"/>
          <w:szCs w:val="32"/>
          <w:highlight w:val="none"/>
          <w:lang w:eastAsia="zh-CN"/>
        </w:rPr>
        <w:t>、四中</w:t>
      </w:r>
      <w:r>
        <w:rPr>
          <w:rFonts w:hint="default" w:ascii="Times New Roman" w:hAnsi="Times New Roman" w:eastAsia="方正仿宋_GBK" w:cs="Times New Roman"/>
          <w:color w:val="000000"/>
          <w:sz w:val="32"/>
          <w:szCs w:val="32"/>
          <w:highlight w:val="none"/>
        </w:rPr>
        <w:t>全会精神，全面落实</w:t>
      </w:r>
      <w:r>
        <w:rPr>
          <w:rFonts w:hint="default" w:ascii="Times New Roman" w:hAnsi="Times New Roman" w:eastAsia="方正仿宋_GBK" w:cs="Times New Roman"/>
          <w:color w:val="000000"/>
          <w:sz w:val="32"/>
          <w:szCs w:val="32"/>
          <w:highlight w:val="none"/>
          <w:lang w:eastAsia="zh-CN"/>
        </w:rPr>
        <w:t>中央和省委金融工作会议部署</w:t>
      </w:r>
      <w:r>
        <w:rPr>
          <w:rFonts w:hint="eastAsia" w:ascii="Times New Roman" w:hAnsi="Times New Roman" w:eastAsia="方正仿宋_GBK" w:cs="Times New Roman"/>
          <w:color w:val="000000"/>
          <w:sz w:val="32"/>
          <w:szCs w:val="32"/>
          <w:highlight w:val="none"/>
          <w:lang w:eastAsia="zh-CN"/>
        </w:rPr>
        <w:t>，以及</w:t>
      </w:r>
      <w:r>
        <w:rPr>
          <w:rFonts w:hint="default" w:ascii="Times New Roman" w:hAnsi="Times New Roman" w:eastAsia="方正仿宋_GBK" w:cs="Times New Roman"/>
          <w:color w:val="000000"/>
          <w:sz w:val="32"/>
          <w:szCs w:val="32"/>
          <w:highlight w:val="none"/>
          <w:lang w:eastAsia="zh-CN"/>
        </w:rPr>
        <w:t>《国务院关于加强监管防范风险推动资本市场高质量发展的若干意见》（国发〔2024〕10号）</w:t>
      </w:r>
      <w:r>
        <w:rPr>
          <w:rFonts w:hint="eastAsia" w:ascii="Times New Roman" w:hAnsi="Times New Roman" w:eastAsia="方正仿宋_GBK" w:cs="Times New Roman"/>
          <w:color w:val="000000"/>
          <w:sz w:val="32"/>
          <w:szCs w:val="32"/>
          <w:highlight w:val="none"/>
          <w:lang w:eastAsia="zh-CN"/>
        </w:rPr>
        <w:t>、《江苏省促进私募股权投资高质量发展的若干措施》（苏政办发〔2025〕24号）、《关于促进江苏省区域性股权市场高质量发展的意见》（苏政办发〔2024〕42号）</w:t>
      </w:r>
      <w:r>
        <w:rPr>
          <w:rFonts w:hint="default" w:ascii="Times New Roman" w:hAnsi="Times New Roman" w:eastAsia="方正仿宋_GBK" w:cs="Times New Roman"/>
          <w:color w:val="000000"/>
          <w:sz w:val="32"/>
          <w:szCs w:val="32"/>
          <w:highlight w:val="none"/>
          <w:lang w:eastAsia="zh-CN"/>
        </w:rPr>
        <w:t>等文件要求，持续打造覆盖</w:t>
      </w:r>
      <w:r>
        <w:rPr>
          <w:rFonts w:hint="eastAsia" w:ascii="Times New Roman" w:hAnsi="Times New Roman" w:eastAsia="方正仿宋_GBK" w:cs="Times New Roman"/>
          <w:color w:val="000000"/>
          <w:sz w:val="32"/>
          <w:szCs w:val="32"/>
          <w:highlight w:val="none"/>
          <w:lang w:eastAsia="zh-CN"/>
        </w:rPr>
        <w:t>科技型</w:t>
      </w:r>
      <w:r>
        <w:rPr>
          <w:rFonts w:hint="default" w:ascii="Times New Roman" w:hAnsi="Times New Roman" w:eastAsia="方正仿宋_GBK" w:cs="Times New Roman"/>
          <w:color w:val="000000"/>
          <w:sz w:val="32"/>
          <w:szCs w:val="32"/>
          <w:highlight w:val="none"/>
          <w:lang w:eastAsia="zh-CN"/>
        </w:rPr>
        <w:t>企业全生命周期的资本市场服务体系，</w:t>
      </w:r>
      <w:r>
        <w:rPr>
          <w:rFonts w:hint="eastAsia" w:ascii="Times New Roman" w:hAnsi="Times New Roman" w:eastAsia="方正仿宋_GBK" w:cs="Times New Roman"/>
          <w:color w:val="000000"/>
          <w:sz w:val="32"/>
          <w:szCs w:val="32"/>
          <w:highlight w:val="none"/>
          <w:lang w:eastAsia="zh-CN"/>
        </w:rPr>
        <w:t>更好服务泰州</w:t>
      </w:r>
      <w:r>
        <w:rPr>
          <w:rFonts w:hint="eastAsia" w:ascii="方正仿宋_GBK" w:hAnsi="方正仿宋_GBK" w:eastAsia="方正仿宋_GBK" w:cs="方正仿宋_GBK"/>
          <w:color w:val="000000"/>
          <w:sz w:val="32"/>
          <w:szCs w:val="32"/>
          <w:highlight w:val="none"/>
          <w:lang w:eastAsia="zh-CN"/>
        </w:rPr>
        <w:t>“大海新晨”</w:t>
      </w:r>
      <w:r>
        <w:rPr>
          <w:rFonts w:hint="default" w:ascii="Times New Roman" w:hAnsi="Times New Roman" w:eastAsia="方正仿宋_GBK" w:cs="Times New Roman"/>
          <w:color w:val="000000"/>
          <w:sz w:val="32"/>
          <w:szCs w:val="32"/>
          <w:highlight w:val="none"/>
          <w:lang w:eastAsia="zh-CN"/>
        </w:rPr>
        <w:t>产业体系建设</w:t>
      </w:r>
      <w:r>
        <w:rPr>
          <w:rFonts w:hint="eastAsia" w:ascii="Times New Roman" w:hAnsi="Times New Roman" w:eastAsia="方正仿宋_GBK" w:cs="Times New Roman"/>
          <w:color w:val="000000"/>
          <w:sz w:val="32"/>
          <w:szCs w:val="32"/>
          <w:highlight w:val="none"/>
          <w:lang w:eastAsia="zh-CN"/>
        </w:rPr>
        <w:t>，</w:t>
      </w:r>
      <w:r>
        <w:rPr>
          <w:rFonts w:hint="default" w:ascii="Times New Roman" w:hAnsi="Times New Roman" w:eastAsia="方正仿宋_GBK" w:cs="Times New Roman"/>
          <w:color w:val="000000"/>
          <w:sz w:val="32"/>
          <w:szCs w:val="32"/>
          <w:highlight w:val="none"/>
          <w:lang w:eastAsia="zh-CN"/>
        </w:rPr>
        <w:t>结合本市实际，制定本政策措施。</w:t>
      </w:r>
    </w:p>
    <w:p w14:paraId="36478257">
      <w:pPr>
        <w:pStyle w:val="2"/>
        <w:keepNext w:val="0"/>
        <w:keepLines w:val="0"/>
        <w:pageBreakBefore w:val="0"/>
        <w:widowControl w:val="0"/>
        <w:kinsoku/>
        <w:overflowPunct/>
        <w:topLinePunct w:val="0"/>
        <w:bidi w:val="0"/>
        <w:spacing w:line="560" w:lineRule="exact"/>
        <w:ind w:left="0" w:leftChars="0" w:firstLine="0" w:firstLineChars="0"/>
        <w:jc w:val="both"/>
        <w:rPr>
          <w:rFonts w:hint="eastAsia" w:ascii="Times New Roman" w:hAnsi="Times New Roman" w:eastAsia="方正仿宋_GBK" w:cs="Times New Roman"/>
          <w:color w:val="000000"/>
          <w:sz w:val="32"/>
          <w:szCs w:val="32"/>
          <w:highlight w:val="none"/>
          <w:lang w:val="en-US" w:eastAsia="zh-CN"/>
        </w:rPr>
      </w:pPr>
      <w:r>
        <w:rPr>
          <w:rFonts w:hint="eastAsia" w:ascii="Times New Roman" w:hAnsi="Times New Roman" w:eastAsia="方正仿宋_GBK" w:cs="Times New Roman"/>
          <w:color w:val="000000"/>
          <w:sz w:val="32"/>
          <w:szCs w:val="32"/>
          <w:highlight w:val="none"/>
          <w:lang w:val="en-US" w:eastAsia="zh-CN"/>
        </w:rPr>
        <w:t xml:space="preserve">    </w:t>
      </w:r>
      <w:r>
        <w:rPr>
          <w:rFonts w:hint="eastAsia" w:ascii="方正黑体_GBK" w:hAnsi="方正黑体_GBK" w:eastAsia="方正黑体_GBK" w:cs="方正黑体_GBK"/>
          <w:color w:val="000000"/>
          <w:sz w:val="32"/>
          <w:szCs w:val="32"/>
          <w:highlight w:val="none"/>
          <w:lang w:val="en-US" w:eastAsia="zh-CN"/>
        </w:rPr>
        <w:t>一、夯实上市后备企业培育。</w:t>
      </w:r>
      <w:r>
        <w:rPr>
          <w:rFonts w:hint="eastAsia" w:ascii="Times New Roman" w:hAnsi="Times New Roman" w:eastAsia="方正仿宋_GBK" w:cs="Times New Roman"/>
          <w:color w:val="000000"/>
          <w:sz w:val="32"/>
          <w:szCs w:val="32"/>
          <w:highlight w:val="none"/>
          <w:lang w:val="en-US" w:eastAsia="zh-CN"/>
        </w:rPr>
        <w:t>建立健全市、县（市、区）两级企业上市培育机制，全面摸排筛选全市“8+13+X”产业链群中有潜力、有意愿、符合上市条件的企业信息，建立健全由国家级制造业单项冠军、专精特新“小巨人”企业、高新技术企业等构成的优质企业梯度上市培育体系。联合境内外证券交易所、江苏股权交易中心和中介机构，对入库企业分层分类做好跟踪培育，并做好动态更新；每年精选50家左右优质科技型企业实施重点培育，服务企业到境内外上市挂牌。</w:t>
      </w:r>
      <w:r>
        <w:rPr>
          <w:rFonts w:hint="eastAsia" w:ascii="方正楷体_GBK" w:hAnsi="方正楷体_GBK" w:eastAsia="方正楷体_GBK" w:cs="方正楷体_GBK"/>
          <w:color w:val="000000"/>
          <w:sz w:val="32"/>
          <w:szCs w:val="32"/>
          <w:highlight w:val="none"/>
          <w:lang w:val="en-US" w:eastAsia="zh-CN"/>
        </w:rPr>
        <w:t>（责任单位：市政府办公室、发展改革委、科技局、工业和信息化局，各市（区）人民政府、泰州医药高新区管委会按职责分工负责。以下均需各市（区）人民政府、泰州医药高新区管委会落实，不再列出）</w:t>
      </w:r>
    </w:p>
    <w:p w14:paraId="403EC095">
      <w:pPr>
        <w:pStyle w:val="2"/>
        <w:keepNext w:val="0"/>
        <w:keepLines w:val="0"/>
        <w:pageBreakBefore w:val="0"/>
        <w:widowControl w:val="0"/>
        <w:kinsoku/>
        <w:overflowPunct/>
        <w:topLinePunct w:val="0"/>
        <w:bidi w:val="0"/>
        <w:spacing w:line="560" w:lineRule="exact"/>
        <w:ind w:left="0" w:leftChars="0" w:firstLine="640" w:firstLineChars="0"/>
        <w:jc w:val="both"/>
        <w:rPr>
          <w:rFonts w:hint="eastAsia" w:ascii="Times New Roman" w:hAnsi="Times New Roman" w:eastAsia="方正仿宋_GBK" w:cs="Times New Roman"/>
          <w:color w:val="000000"/>
          <w:sz w:val="32"/>
          <w:szCs w:val="32"/>
          <w:highlight w:val="none"/>
          <w:lang w:val="en-US" w:eastAsia="zh-CN"/>
        </w:rPr>
      </w:pPr>
      <w:r>
        <w:rPr>
          <w:rFonts w:hint="eastAsia" w:ascii="方正黑体_GBK" w:hAnsi="方正黑体_GBK" w:eastAsia="方正黑体_GBK" w:cs="方正黑体_GBK"/>
          <w:color w:val="000000"/>
          <w:sz w:val="32"/>
          <w:szCs w:val="32"/>
          <w:highlight w:val="none"/>
          <w:lang w:val="en-US" w:eastAsia="zh-CN"/>
        </w:rPr>
        <w:t>二、改进优化上市政务服务。</w:t>
      </w:r>
      <w:r>
        <w:rPr>
          <w:rFonts w:hint="eastAsia" w:ascii="Times New Roman" w:hAnsi="Times New Roman" w:eastAsia="方正仿宋_GBK" w:cs="Times New Roman"/>
          <w:color w:val="000000"/>
          <w:sz w:val="32"/>
          <w:szCs w:val="32"/>
          <w:highlight w:val="none"/>
          <w:lang w:val="en-US" w:eastAsia="zh-CN"/>
        </w:rPr>
        <w:t>认真贯彻《关于推行专项信用报告替代有无违法违规记录证明的实施方案》和《江苏省高效办成企业上市合法合规信息核查“一件事”实施方案》部署要求，落实“专项信用报告替代有无违法记录证明”，高效满足企业上市需求。对上市后备企业实施包容审慎管理，采取柔性管理办法，对上市后备企业非重大违法经营行为及时指导、纠正并帮助整改。积极响应企业诉求，认真做好企业上市过程中合法合规情况认定，对企业申请确认其所受行政处罚涉及的违法行为是否属于重大违法行为，有权机关应在5个工作日内依法确认并出具证明。</w:t>
      </w:r>
      <w:r>
        <w:rPr>
          <w:rFonts w:hint="eastAsia" w:ascii="方正楷体_GBK" w:hAnsi="方正楷体_GBK" w:eastAsia="方正楷体_GBK" w:cs="方正楷体_GBK"/>
          <w:color w:val="000000"/>
          <w:sz w:val="32"/>
          <w:szCs w:val="32"/>
          <w:highlight w:val="none"/>
          <w:lang w:val="en-US" w:eastAsia="zh-CN"/>
        </w:rPr>
        <w:t>（责任单位：市政府办公室、发展改革委、人力资源社会保障局、生态环境局、应急管理局、数据局、市场监管局、税务局等涉企服务部门按职责分工负责）</w:t>
      </w:r>
    </w:p>
    <w:p w14:paraId="49198205">
      <w:pPr>
        <w:pStyle w:val="2"/>
        <w:keepNext w:val="0"/>
        <w:keepLines w:val="0"/>
        <w:pageBreakBefore w:val="0"/>
        <w:widowControl w:val="0"/>
        <w:kinsoku/>
        <w:overflowPunct/>
        <w:topLinePunct w:val="0"/>
        <w:bidi w:val="0"/>
        <w:spacing w:line="560" w:lineRule="exact"/>
        <w:ind w:left="0" w:leftChars="0" w:firstLine="640" w:firstLineChars="0"/>
        <w:jc w:val="both"/>
        <w:rPr>
          <w:rFonts w:hint="eastAsia" w:ascii="Times New Roman" w:hAnsi="Times New Roman" w:eastAsia="方正仿宋_GBK" w:cs="Times New Roman"/>
          <w:color w:val="000000"/>
          <w:sz w:val="32"/>
          <w:szCs w:val="32"/>
          <w:highlight w:val="none"/>
          <w:lang w:val="en-US" w:eastAsia="zh-CN"/>
        </w:rPr>
      </w:pPr>
      <w:r>
        <w:rPr>
          <w:rFonts w:hint="eastAsia" w:ascii="方正黑体_GBK" w:hAnsi="方正黑体_GBK" w:eastAsia="方正黑体_GBK" w:cs="方正黑体_GBK"/>
          <w:color w:val="000000"/>
          <w:sz w:val="32"/>
          <w:szCs w:val="32"/>
          <w:highlight w:val="none"/>
          <w:lang w:val="en-US" w:eastAsia="zh-CN"/>
        </w:rPr>
        <w:t>三、做优做强上市企业。</w:t>
      </w:r>
      <w:r>
        <w:rPr>
          <w:rFonts w:hint="eastAsia" w:ascii="Times New Roman" w:hAnsi="Times New Roman" w:eastAsia="方正仿宋_GBK" w:cs="Times New Roman"/>
          <w:color w:val="000000"/>
          <w:sz w:val="32"/>
          <w:szCs w:val="32"/>
          <w:highlight w:val="none"/>
          <w:lang w:val="en-US" w:eastAsia="zh-CN"/>
        </w:rPr>
        <w:t>引导上市公司专注主业、创新发展，提升核心竞争力，支持其通过技术创新、产业升级实现可持续发展，通过配股、增发、可转债等形式进行再融资。组织上市公司与境外基金和投资机构对接，鼓励外资对上市公司战略投资。采取以奖促投，推动上市公司利用首发和再融资（包括配股、增发、可转债等）加快本市募投项目建设。当年按投入的实际融资额的0.2%，给予一次性奖励，最高不超过100万元。鼓励引导头部上市公司立足主业，加大对产业链上下游公司的整合，助力产业转型升级。对上市公司通过增发或发行定向可转债实现并购重组的，按并购重组金额的0.2%，给予一次性奖励，最高不超过100万元。</w:t>
      </w:r>
      <w:r>
        <w:rPr>
          <w:rFonts w:hint="eastAsia" w:ascii="方正楷体_GBK" w:hAnsi="方正楷体_GBK" w:eastAsia="方正楷体_GBK" w:cs="方正楷体_GBK"/>
          <w:color w:val="000000"/>
          <w:sz w:val="32"/>
          <w:szCs w:val="32"/>
          <w:highlight w:val="none"/>
          <w:lang w:val="en-US" w:eastAsia="zh-CN"/>
        </w:rPr>
        <w:t>（责任单位：市政府办公室、财政局、商务局按职责分工负责）</w:t>
      </w:r>
    </w:p>
    <w:p w14:paraId="095A220A">
      <w:pPr>
        <w:pStyle w:val="2"/>
        <w:keepNext w:val="0"/>
        <w:keepLines w:val="0"/>
        <w:pageBreakBefore w:val="0"/>
        <w:widowControl w:val="0"/>
        <w:kinsoku/>
        <w:overflowPunct/>
        <w:topLinePunct w:val="0"/>
        <w:bidi w:val="0"/>
        <w:spacing w:line="560" w:lineRule="exact"/>
        <w:ind w:left="0" w:leftChars="0" w:firstLine="640" w:firstLineChars="200"/>
        <w:jc w:val="both"/>
        <w:rPr>
          <w:rFonts w:hint="eastAsia" w:ascii="Times New Roman" w:hAnsi="Times New Roman" w:eastAsia="方正仿宋_GBK" w:cs="Times New Roman"/>
          <w:color w:val="000000"/>
          <w:sz w:val="32"/>
          <w:szCs w:val="32"/>
          <w:highlight w:val="none"/>
          <w:lang w:val="en-US" w:eastAsia="zh-CN"/>
        </w:rPr>
      </w:pPr>
      <w:r>
        <w:rPr>
          <w:rFonts w:hint="eastAsia" w:ascii="方正黑体_GBK" w:hAnsi="方正黑体_GBK" w:eastAsia="方正黑体_GBK" w:cs="方正黑体_GBK"/>
          <w:color w:val="000000"/>
          <w:sz w:val="32"/>
          <w:szCs w:val="32"/>
          <w:highlight w:val="none"/>
          <w:lang w:val="en-US" w:eastAsia="zh-CN"/>
        </w:rPr>
        <w:t>四、强化困难上市公司帮扶。</w:t>
      </w:r>
      <w:r>
        <w:rPr>
          <w:rFonts w:hint="eastAsia" w:ascii="Times New Roman" w:hAnsi="Times New Roman" w:eastAsia="方正仿宋_GBK" w:cs="Times New Roman"/>
          <w:color w:val="000000"/>
          <w:sz w:val="32"/>
          <w:szCs w:val="32"/>
          <w:highlight w:val="none"/>
          <w:lang w:val="en-US" w:eastAsia="zh-CN"/>
        </w:rPr>
        <w:t>强化上市公司高质量发展跟踪服务，及时分析研判上市公司发展情况和有关困难，“一企一策”协调解决有关问题。支持国有企业在依法合规、风险可控的前提下，通过债务重组、兼并收购等手段，投资入股上市公司，推动国有资本高效运营、循环增值。</w:t>
      </w:r>
      <w:r>
        <w:rPr>
          <w:rFonts w:hint="eastAsia" w:ascii="方正楷体_GBK" w:hAnsi="方正楷体_GBK" w:eastAsia="方正楷体_GBK" w:cs="方正楷体_GBK"/>
          <w:color w:val="000000"/>
          <w:sz w:val="32"/>
          <w:szCs w:val="32"/>
          <w:highlight w:val="none"/>
          <w:lang w:val="en-US" w:eastAsia="zh-CN"/>
        </w:rPr>
        <w:t>（责任单位：市政府办公室、财政局、商务局、国资委按职责分工负责）</w:t>
      </w:r>
    </w:p>
    <w:p w14:paraId="0B45ADCA">
      <w:pPr>
        <w:pStyle w:val="2"/>
        <w:keepNext w:val="0"/>
        <w:keepLines w:val="0"/>
        <w:pageBreakBefore w:val="0"/>
        <w:widowControl w:val="0"/>
        <w:kinsoku/>
        <w:overflowPunct/>
        <w:topLinePunct w:val="0"/>
        <w:bidi w:val="0"/>
        <w:spacing w:line="560" w:lineRule="exact"/>
        <w:ind w:left="0" w:leftChars="0" w:firstLine="640" w:firstLineChars="0"/>
        <w:jc w:val="both"/>
        <w:rPr>
          <w:rFonts w:hint="eastAsia" w:ascii="Times New Roman" w:hAnsi="Times New Roman" w:eastAsia="方正仿宋_GBK" w:cs="Times New Roman"/>
          <w:color w:val="000000"/>
          <w:sz w:val="32"/>
          <w:szCs w:val="32"/>
          <w:highlight w:val="none"/>
          <w:lang w:val="en-US" w:eastAsia="zh-CN"/>
        </w:rPr>
      </w:pPr>
      <w:r>
        <w:rPr>
          <w:rFonts w:hint="eastAsia" w:ascii="方正黑体_GBK" w:hAnsi="方正黑体_GBK" w:eastAsia="方正黑体_GBK" w:cs="方正黑体_GBK"/>
          <w:color w:val="000000"/>
          <w:sz w:val="32"/>
          <w:szCs w:val="32"/>
          <w:highlight w:val="none"/>
          <w:lang w:val="en-US" w:eastAsia="zh-CN"/>
        </w:rPr>
        <w:t>五、集聚发展优质股权投资机构。</w:t>
      </w:r>
      <w:r>
        <w:rPr>
          <w:rFonts w:hint="eastAsia" w:ascii="Times New Roman" w:hAnsi="Times New Roman" w:eastAsia="方正仿宋_GBK" w:cs="Times New Roman"/>
          <w:color w:val="000000"/>
          <w:sz w:val="32"/>
          <w:szCs w:val="32"/>
          <w:highlight w:val="none"/>
          <w:lang w:val="en-US" w:eastAsia="zh-CN"/>
        </w:rPr>
        <w:t>鼓励各地建设产业基金集聚区，通过遴选优质机构负责基金集聚区运营，提供一站式服务，吸引天使投资、风险投资、创业投资等各类基金在我市集聚发展。对在本市新设立的私募股权、创业投资基金（需要在中国证券投资基金业协会备案，其中：私募创业投资基金同时需要在江苏省发展改革委备案，QFLP 基金无需备案，下同），按照当年实际募集到位的社会资本资金规模（扣除本市各级财政和国有企业出资额）分别给予相关基金管理人一次性奖励。当年实际募集到位的社会资本资金规模在500万元—1000万元（不含1000万元）的，给予10万元一次性奖励；1000万元—5000万元（不含5000万元）的，给予20万元一次性奖励；规模在5000万元—1亿元（不含1亿元）的，给予30万元一次性奖励；规模在1亿元—2亿元（不含2亿元）的，给予50万元一次性奖励；规模在2亿元—5亿元（不含5亿元）的，给予60万元一次性奖励；规模在5亿元—10亿元（不含10亿元）的，给予80万元一次性奖励；规模在10亿元以上的，给予100万元一次性奖励。</w:t>
      </w:r>
      <w:r>
        <w:rPr>
          <w:rFonts w:hint="eastAsia" w:ascii="方正楷体_GBK" w:hAnsi="方正楷体_GBK" w:eastAsia="方正楷体_GBK" w:cs="方正楷体_GBK"/>
          <w:color w:val="000000"/>
          <w:sz w:val="32"/>
          <w:szCs w:val="32"/>
          <w:highlight w:val="none"/>
          <w:lang w:val="en-US" w:eastAsia="zh-CN"/>
        </w:rPr>
        <w:t>（责任单位：市政府办公室、发展改革委、财政局、商务局、国资委、金控集团按职责分工负责）</w:t>
      </w:r>
    </w:p>
    <w:p w14:paraId="1EDB6120">
      <w:pPr>
        <w:pStyle w:val="2"/>
        <w:keepNext w:val="0"/>
        <w:keepLines w:val="0"/>
        <w:pageBreakBefore w:val="0"/>
        <w:widowControl w:val="0"/>
        <w:kinsoku/>
        <w:overflowPunct/>
        <w:topLinePunct w:val="0"/>
        <w:bidi w:val="0"/>
        <w:spacing w:line="560" w:lineRule="exact"/>
        <w:ind w:left="0" w:leftChars="0" w:firstLine="640" w:firstLineChars="0"/>
        <w:jc w:val="both"/>
        <w:rPr>
          <w:rFonts w:hint="default" w:ascii="Times New Roman" w:hAnsi="Times New Roman" w:eastAsia="方正仿宋_GBK" w:cs="Times New Roman"/>
          <w:color w:val="000000"/>
          <w:sz w:val="32"/>
          <w:szCs w:val="32"/>
          <w:highlight w:val="none"/>
          <w:lang w:val="en-US" w:eastAsia="zh-CN"/>
        </w:rPr>
      </w:pPr>
      <w:r>
        <w:rPr>
          <w:rFonts w:hint="eastAsia" w:ascii="方正黑体_GBK" w:hAnsi="方正黑体_GBK" w:eastAsia="方正黑体_GBK" w:cs="方正黑体_GBK"/>
          <w:color w:val="000000"/>
          <w:sz w:val="32"/>
          <w:szCs w:val="32"/>
          <w:highlight w:val="none"/>
          <w:lang w:val="en-US" w:eastAsia="zh-CN"/>
        </w:rPr>
        <w:t>六、强化基金赋能科创企业成长。</w:t>
      </w:r>
      <w:r>
        <w:rPr>
          <w:rFonts w:hint="default" w:ascii="Times New Roman" w:hAnsi="Times New Roman" w:eastAsia="方正仿宋_GBK" w:cs="Times New Roman"/>
          <w:color w:val="000000"/>
          <w:sz w:val="32"/>
          <w:szCs w:val="32"/>
          <w:highlight w:val="none"/>
          <w:lang w:val="en-US" w:eastAsia="zh-CN"/>
        </w:rPr>
        <w:t>引导股权投资机构投资本市非上市企业，鼓励投早投小投</w:t>
      </w:r>
      <w:r>
        <w:rPr>
          <w:rFonts w:hint="eastAsia" w:ascii="Times New Roman" w:hAnsi="Times New Roman" w:eastAsia="方正仿宋_GBK" w:cs="Times New Roman"/>
          <w:color w:val="000000"/>
          <w:sz w:val="32"/>
          <w:szCs w:val="32"/>
          <w:highlight w:val="none"/>
          <w:lang w:val="en-US" w:eastAsia="zh-CN"/>
        </w:rPr>
        <w:t>长期投硬</w:t>
      </w:r>
      <w:r>
        <w:rPr>
          <w:rFonts w:hint="default" w:ascii="Times New Roman" w:hAnsi="Times New Roman" w:eastAsia="方正仿宋_GBK" w:cs="Times New Roman"/>
          <w:color w:val="000000"/>
          <w:sz w:val="32"/>
          <w:szCs w:val="32"/>
          <w:highlight w:val="none"/>
          <w:lang w:val="en-US" w:eastAsia="zh-CN"/>
        </w:rPr>
        <w:t>科技。对私募股权、创业投资基金投资本市创新型企业的，按照实际</w:t>
      </w:r>
      <w:r>
        <w:rPr>
          <w:rFonts w:hint="eastAsia" w:ascii="Times New Roman" w:hAnsi="Times New Roman" w:eastAsia="方正仿宋_GBK" w:cs="Times New Roman"/>
          <w:color w:val="000000"/>
          <w:sz w:val="32"/>
          <w:szCs w:val="32"/>
          <w:highlight w:val="none"/>
          <w:lang w:val="en-US" w:eastAsia="zh-CN"/>
        </w:rPr>
        <w:t>新增股权</w:t>
      </w:r>
      <w:r>
        <w:rPr>
          <w:rFonts w:hint="default" w:ascii="Times New Roman" w:hAnsi="Times New Roman" w:eastAsia="方正仿宋_GBK" w:cs="Times New Roman"/>
          <w:color w:val="000000"/>
          <w:sz w:val="32"/>
          <w:szCs w:val="32"/>
          <w:highlight w:val="none"/>
          <w:lang w:val="en-US" w:eastAsia="zh-CN"/>
        </w:rPr>
        <w:t>投资额（仅限于货币出资）的1%的标准，给予相关基金管理人奖励。被投企业存在关联关系的，仅认定为一次投资。每个投资的企业或者项目最高奖励</w:t>
      </w:r>
      <w:r>
        <w:rPr>
          <w:rFonts w:hint="eastAsia" w:ascii="Times New Roman" w:hAnsi="Times New Roman" w:eastAsia="方正仿宋_GBK" w:cs="Times New Roman"/>
          <w:color w:val="000000"/>
          <w:sz w:val="32"/>
          <w:szCs w:val="32"/>
          <w:highlight w:val="none"/>
          <w:lang w:val="en-US" w:eastAsia="zh-CN"/>
        </w:rPr>
        <w:t>2</w:t>
      </w:r>
      <w:r>
        <w:rPr>
          <w:rFonts w:hint="default" w:ascii="Times New Roman" w:hAnsi="Times New Roman" w:eastAsia="方正仿宋_GBK" w:cs="Times New Roman"/>
          <w:color w:val="000000"/>
          <w:sz w:val="32"/>
          <w:szCs w:val="32"/>
          <w:highlight w:val="none"/>
          <w:lang w:val="en-US" w:eastAsia="zh-CN"/>
        </w:rPr>
        <w:t>0万元，每家</w:t>
      </w:r>
      <w:r>
        <w:rPr>
          <w:rFonts w:hint="eastAsia" w:ascii="Times New Roman" w:hAnsi="Times New Roman" w:eastAsia="方正仿宋_GBK" w:cs="Times New Roman"/>
          <w:color w:val="000000"/>
          <w:sz w:val="32"/>
          <w:szCs w:val="32"/>
          <w:highlight w:val="none"/>
          <w:lang w:val="en-US" w:eastAsia="zh-CN"/>
        </w:rPr>
        <w:t>基金管理人</w:t>
      </w:r>
      <w:r>
        <w:rPr>
          <w:rFonts w:hint="default" w:ascii="Times New Roman" w:hAnsi="Times New Roman" w:eastAsia="方正仿宋_GBK" w:cs="Times New Roman"/>
          <w:color w:val="000000"/>
          <w:sz w:val="32"/>
          <w:szCs w:val="32"/>
          <w:highlight w:val="none"/>
          <w:lang w:val="en-US" w:eastAsia="zh-CN"/>
        </w:rPr>
        <w:t>每年累计最高奖励金额不超过</w:t>
      </w:r>
      <w:r>
        <w:rPr>
          <w:rFonts w:hint="eastAsia" w:ascii="Times New Roman" w:hAnsi="Times New Roman" w:eastAsia="方正仿宋_GBK" w:cs="Times New Roman"/>
          <w:color w:val="000000"/>
          <w:sz w:val="32"/>
          <w:szCs w:val="32"/>
          <w:highlight w:val="none"/>
          <w:lang w:val="en-US" w:eastAsia="zh-CN"/>
        </w:rPr>
        <w:t>1</w:t>
      </w:r>
      <w:r>
        <w:rPr>
          <w:rFonts w:hint="default" w:ascii="Times New Roman" w:hAnsi="Times New Roman" w:eastAsia="方正仿宋_GBK" w:cs="Times New Roman"/>
          <w:color w:val="000000"/>
          <w:sz w:val="32"/>
          <w:szCs w:val="32"/>
          <w:highlight w:val="none"/>
          <w:lang w:val="en-US" w:eastAsia="zh-CN"/>
        </w:rPr>
        <w:t>00万元。</w:t>
      </w:r>
      <w:r>
        <w:rPr>
          <w:rFonts w:hint="eastAsia" w:ascii="方正楷体_GBK" w:hAnsi="方正楷体_GBK" w:eastAsia="方正楷体_GBK" w:cs="方正楷体_GBK"/>
          <w:color w:val="000000"/>
          <w:sz w:val="32"/>
          <w:szCs w:val="32"/>
          <w:highlight w:val="none"/>
          <w:lang w:val="en-US" w:eastAsia="zh-CN"/>
        </w:rPr>
        <w:t>（责任单位：市政府办公室、科技局、工业和信息化局按职责分工负责）</w:t>
      </w:r>
    </w:p>
    <w:p w14:paraId="2B4AA089">
      <w:pPr>
        <w:pStyle w:val="2"/>
        <w:keepNext w:val="0"/>
        <w:keepLines w:val="0"/>
        <w:pageBreakBefore w:val="0"/>
        <w:widowControl w:val="0"/>
        <w:kinsoku/>
        <w:overflowPunct/>
        <w:topLinePunct w:val="0"/>
        <w:bidi w:val="0"/>
        <w:spacing w:line="560" w:lineRule="exact"/>
        <w:ind w:left="0" w:leftChars="0" w:firstLine="640" w:firstLineChars="0"/>
        <w:jc w:val="both"/>
        <w:rPr>
          <w:rFonts w:hint="eastAsia" w:ascii="方正楷体_GBK" w:hAnsi="方正楷体_GBK" w:eastAsia="方正楷体_GBK" w:cs="方正楷体_GBK"/>
          <w:color w:val="000000"/>
          <w:sz w:val="32"/>
          <w:szCs w:val="32"/>
          <w:highlight w:val="none"/>
          <w:lang w:val="en-US" w:eastAsia="zh-CN"/>
        </w:rPr>
      </w:pPr>
      <w:r>
        <w:rPr>
          <w:rFonts w:hint="eastAsia" w:ascii="方正黑体_GBK" w:hAnsi="方正黑体_GBK" w:eastAsia="方正黑体_GBK" w:cs="方正黑体_GBK"/>
          <w:color w:val="000000"/>
          <w:sz w:val="32"/>
          <w:szCs w:val="32"/>
          <w:highlight w:val="none"/>
          <w:lang w:val="en-US" w:eastAsia="zh-CN"/>
        </w:rPr>
        <w:t>七、提升股权投融资对接服务效能。</w:t>
      </w:r>
      <w:r>
        <w:rPr>
          <w:rFonts w:hint="default" w:ascii="Times New Roman" w:hAnsi="Times New Roman" w:eastAsia="方正仿宋_GBK" w:cs="Times New Roman"/>
          <w:color w:val="000000"/>
          <w:sz w:val="32"/>
          <w:szCs w:val="32"/>
          <w:highlight w:val="none"/>
          <w:lang w:val="en-US" w:eastAsia="zh-CN"/>
        </w:rPr>
        <w:t>持续开展</w:t>
      </w:r>
      <w:r>
        <w:rPr>
          <w:rFonts w:hint="eastAsia" w:ascii="方正仿宋_GBK" w:hAnsi="方正仿宋_GBK" w:eastAsia="方正仿宋_GBK" w:cs="方正仿宋_GBK"/>
          <w:color w:val="000000"/>
          <w:sz w:val="32"/>
          <w:szCs w:val="32"/>
          <w:highlight w:val="none"/>
          <w:lang w:val="en-US" w:eastAsia="zh-CN"/>
        </w:rPr>
        <w:t>“创投机构面对面”</w:t>
      </w:r>
      <w:r>
        <w:rPr>
          <w:rFonts w:hint="default" w:ascii="Times New Roman" w:hAnsi="Times New Roman" w:eastAsia="方正仿宋_GBK" w:cs="Times New Roman"/>
          <w:color w:val="000000"/>
          <w:sz w:val="32"/>
          <w:szCs w:val="32"/>
          <w:highlight w:val="none"/>
          <w:lang w:val="en-US" w:eastAsia="zh-CN"/>
        </w:rPr>
        <w:t>融资路演活动，鼓励各地建设具有自身特色优势的项目路演平台。建立地方政府、股权投资机构与企业的信息对接联通机制，定期梳理科创企业培育库，为股权投资机构提供动态更新的投资标的库。建立</w:t>
      </w:r>
      <w:r>
        <w:rPr>
          <w:rFonts w:hint="eastAsia" w:ascii="Times New Roman" w:hAnsi="Times New Roman" w:eastAsia="方正仿宋_GBK" w:cs="Times New Roman"/>
          <w:color w:val="000000"/>
          <w:sz w:val="32"/>
          <w:szCs w:val="32"/>
          <w:highlight w:val="none"/>
          <w:lang w:val="en-US" w:eastAsia="zh-CN"/>
        </w:rPr>
        <w:t>健全</w:t>
      </w:r>
      <w:r>
        <w:rPr>
          <w:rFonts w:hint="default" w:ascii="Times New Roman" w:hAnsi="Times New Roman" w:eastAsia="方正仿宋_GBK" w:cs="Times New Roman"/>
          <w:color w:val="000000"/>
          <w:sz w:val="32"/>
          <w:szCs w:val="32"/>
          <w:highlight w:val="none"/>
          <w:lang w:val="en-US" w:eastAsia="zh-CN"/>
        </w:rPr>
        <w:t>被投企业项目库，推动相关部门、金融机构重点跟踪和上门服务，为被投企业融资、市场拓展、股改上市等提供精准支持。</w:t>
      </w:r>
      <w:r>
        <w:rPr>
          <w:rFonts w:hint="eastAsia" w:ascii="方正楷体_GBK" w:hAnsi="方正楷体_GBK" w:eastAsia="方正楷体_GBK" w:cs="方正楷体_GBK"/>
          <w:color w:val="000000"/>
          <w:sz w:val="32"/>
          <w:szCs w:val="32"/>
          <w:highlight w:val="none"/>
          <w:lang w:val="en-US" w:eastAsia="zh-CN"/>
        </w:rPr>
        <w:t>（责任单位：市政府办公室、发展改革委、科技局、工业和信息化局、国资委、人民银行泰州市分行、泰州金融监管分局、市金控集团按职责分工负责）</w:t>
      </w:r>
    </w:p>
    <w:p w14:paraId="47C59E51">
      <w:pPr>
        <w:pStyle w:val="2"/>
        <w:keepNext w:val="0"/>
        <w:keepLines w:val="0"/>
        <w:pageBreakBefore w:val="0"/>
        <w:widowControl w:val="0"/>
        <w:kinsoku/>
        <w:overflowPunct/>
        <w:topLinePunct w:val="0"/>
        <w:bidi w:val="0"/>
        <w:spacing w:line="560" w:lineRule="exact"/>
        <w:ind w:left="0" w:leftChars="0" w:firstLine="640" w:firstLineChars="0"/>
        <w:jc w:val="both"/>
        <w:rPr>
          <w:rFonts w:hint="default" w:ascii="方正楷体_GBK" w:hAnsi="方正楷体_GBK" w:eastAsia="方正楷体_GBK" w:cs="方正楷体_GBK"/>
          <w:color w:val="000000"/>
          <w:sz w:val="32"/>
          <w:szCs w:val="32"/>
          <w:highlight w:val="none"/>
          <w:lang w:val="en-US" w:eastAsia="zh-CN"/>
        </w:rPr>
      </w:pPr>
      <w:r>
        <w:rPr>
          <w:rFonts w:hint="eastAsia" w:ascii="方正黑体_GBK" w:hAnsi="方正黑体_GBK" w:eastAsia="方正黑体_GBK" w:cs="方正黑体_GBK"/>
          <w:color w:val="000000"/>
          <w:sz w:val="32"/>
          <w:szCs w:val="32"/>
          <w:highlight w:val="none"/>
          <w:lang w:val="en-US" w:eastAsia="zh-CN"/>
        </w:rPr>
        <w:t>八、营造支持股权投资基金敢投愿投的良好氛围。</w:t>
      </w:r>
      <w:r>
        <w:rPr>
          <w:rFonts w:hint="default" w:ascii="Times New Roman" w:hAnsi="Times New Roman" w:eastAsia="方正仿宋_GBK" w:cs="Times New Roman"/>
          <w:color w:val="000000"/>
          <w:sz w:val="32"/>
          <w:szCs w:val="32"/>
          <w:highlight w:val="none"/>
          <w:lang w:val="en-US" w:eastAsia="zh-CN"/>
        </w:rPr>
        <w:t>统筹国资管理、审计监督等领域政策要求与国有企业市场化运行实际，优化风险容忍、交易定价、业绩考核、投资损失评估等制度设计。对本市各级财政及国有企业参与的投资基金，坚持保护创新、鼓励探索、宽容失误、纠正偏差的原则，建立尽职免责和容亏纠错机制，不将正常投资风险作为追责依据。对没有实现预期目标或者造成损失，</w:t>
      </w:r>
      <w:r>
        <w:rPr>
          <w:rFonts w:hint="eastAsia" w:ascii="Times New Roman" w:hAnsi="Times New Roman" w:eastAsia="方正仿宋_GBK" w:cs="Times New Roman"/>
          <w:color w:val="000000"/>
          <w:sz w:val="32"/>
          <w:szCs w:val="32"/>
          <w:highlight w:val="none"/>
          <w:lang w:val="en-US" w:eastAsia="zh-CN"/>
        </w:rPr>
        <w:t>但</w:t>
      </w:r>
      <w:r>
        <w:rPr>
          <w:rFonts w:hint="default" w:ascii="Times New Roman" w:hAnsi="Times New Roman" w:eastAsia="方正仿宋_GBK" w:cs="Times New Roman"/>
          <w:color w:val="000000"/>
          <w:sz w:val="32"/>
          <w:szCs w:val="32"/>
          <w:highlight w:val="none"/>
          <w:lang w:val="en-US" w:eastAsia="zh-CN"/>
        </w:rPr>
        <w:t>不存在违反有关制度和业务流程的情形，</w:t>
      </w:r>
      <w:r>
        <w:rPr>
          <w:rFonts w:hint="eastAsia" w:ascii="Times New Roman" w:hAnsi="Times New Roman" w:eastAsia="方正仿宋_GBK" w:cs="Times New Roman"/>
          <w:color w:val="000000"/>
          <w:sz w:val="32"/>
          <w:szCs w:val="32"/>
          <w:highlight w:val="none"/>
          <w:lang w:val="en-US" w:eastAsia="zh-CN"/>
        </w:rPr>
        <w:t>且</w:t>
      </w:r>
      <w:r>
        <w:rPr>
          <w:rFonts w:hint="default" w:ascii="Times New Roman" w:hAnsi="Times New Roman" w:eastAsia="方正仿宋_GBK" w:cs="Times New Roman"/>
          <w:color w:val="000000"/>
          <w:sz w:val="32"/>
          <w:szCs w:val="32"/>
          <w:highlight w:val="none"/>
          <w:lang w:val="en-US" w:eastAsia="zh-CN"/>
        </w:rPr>
        <w:t>未谋取私利</w:t>
      </w:r>
      <w:r>
        <w:rPr>
          <w:rFonts w:hint="eastAsia" w:ascii="Times New Roman" w:hAnsi="Times New Roman" w:eastAsia="方正仿宋_GBK" w:cs="Times New Roman"/>
          <w:color w:val="000000"/>
          <w:sz w:val="32"/>
          <w:szCs w:val="32"/>
          <w:highlight w:val="none"/>
          <w:lang w:val="en-US" w:eastAsia="zh-CN"/>
        </w:rPr>
        <w:t>及</w:t>
      </w:r>
      <w:r>
        <w:rPr>
          <w:rFonts w:hint="default" w:ascii="Times New Roman" w:hAnsi="Times New Roman" w:eastAsia="方正仿宋_GBK" w:cs="Times New Roman"/>
          <w:color w:val="000000"/>
          <w:sz w:val="32"/>
          <w:szCs w:val="32"/>
          <w:highlight w:val="none"/>
          <w:lang w:val="en-US" w:eastAsia="zh-CN"/>
        </w:rPr>
        <w:t>严格遵循投资决策、投后管理等程序</w:t>
      </w:r>
      <w:r>
        <w:rPr>
          <w:rFonts w:hint="eastAsia" w:ascii="Times New Roman" w:hAnsi="Times New Roman" w:eastAsia="方正仿宋_GBK" w:cs="Times New Roman"/>
          <w:color w:val="000000"/>
          <w:sz w:val="32"/>
          <w:szCs w:val="32"/>
          <w:highlight w:val="none"/>
          <w:lang w:val="en-US" w:eastAsia="zh-CN"/>
        </w:rPr>
        <w:t>的</w:t>
      </w:r>
      <w:r>
        <w:rPr>
          <w:rFonts w:hint="default" w:ascii="Times New Roman" w:hAnsi="Times New Roman" w:eastAsia="方正仿宋_GBK" w:cs="Times New Roman"/>
          <w:color w:val="000000"/>
          <w:sz w:val="32"/>
          <w:szCs w:val="32"/>
          <w:highlight w:val="none"/>
          <w:lang w:val="en-US" w:eastAsia="zh-CN"/>
        </w:rPr>
        <w:t>，对相关参与人员不作负面评价。</w:t>
      </w:r>
      <w:r>
        <w:rPr>
          <w:rFonts w:hint="default" w:ascii="方正楷体_GBK" w:hAnsi="方正楷体_GBK" w:eastAsia="方正楷体_GBK" w:cs="方正楷体_GBK"/>
          <w:color w:val="000000"/>
          <w:sz w:val="32"/>
          <w:szCs w:val="32"/>
          <w:highlight w:val="none"/>
          <w:lang w:val="en-US" w:eastAsia="zh-CN"/>
        </w:rPr>
        <w:t>（</w:t>
      </w:r>
      <w:r>
        <w:rPr>
          <w:rFonts w:hint="eastAsia" w:ascii="方正楷体_GBK" w:hAnsi="方正楷体_GBK" w:eastAsia="方正楷体_GBK" w:cs="方正楷体_GBK"/>
          <w:color w:val="000000"/>
          <w:sz w:val="32"/>
          <w:szCs w:val="32"/>
          <w:highlight w:val="none"/>
          <w:lang w:val="en-US" w:eastAsia="zh-CN"/>
        </w:rPr>
        <w:t>责任单位：市财政局、</w:t>
      </w:r>
      <w:r>
        <w:rPr>
          <w:rFonts w:hint="default" w:ascii="方正楷体_GBK" w:hAnsi="方正楷体_GBK" w:eastAsia="方正楷体_GBK" w:cs="方正楷体_GBK"/>
          <w:color w:val="000000"/>
          <w:sz w:val="32"/>
          <w:szCs w:val="32"/>
          <w:highlight w:val="none"/>
          <w:lang w:val="en-US" w:eastAsia="zh-CN"/>
        </w:rPr>
        <w:t>国资委按职责分工负责）</w:t>
      </w:r>
    </w:p>
    <w:p w14:paraId="028F29A8">
      <w:pPr>
        <w:pStyle w:val="2"/>
        <w:keepNext w:val="0"/>
        <w:keepLines w:val="0"/>
        <w:pageBreakBefore w:val="0"/>
        <w:widowControl w:val="0"/>
        <w:kinsoku/>
        <w:overflowPunct/>
        <w:topLinePunct w:val="0"/>
        <w:bidi w:val="0"/>
        <w:spacing w:line="560" w:lineRule="exact"/>
        <w:ind w:left="0" w:leftChars="0" w:firstLine="640" w:firstLineChars="0"/>
        <w:jc w:val="both"/>
        <w:rPr>
          <w:rFonts w:hint="eastAsia" w:ascii="Times New Roman" w:hAnsi="Times New Roman" w:eastAsia="方正仿宋_GBK" w:cs="Times New Roman"/>
          <w:color w:val="000000"/>
          <w:sz w:val="32"/>
          <w:szCs w:val="32"/>
          <w:highlight w:val="none"/>
          <w:lang w:val="en-US" w:eastAsia="zh-CN"/>
        </w:rPr>
      </w:pPr>
      <w:r>
        <w:rPr>
          <w:rFonts w:hint="eastAsia" w:ascii="方正黑体_GBK" w:hAnsi="方正黑体_GBK" w:eastAsia="方正黑体_GBK" w:cs="方正黑体_GBK"/>
          <w:color w:val="000000"/>
          <w:sz w:val="32"/>
          <w:szCs w:val="32"/>
          <w:highlight w:val="none"/>
          <w:lang w:val="en-US" w:eastAsia="zh-CN"/>
        </w:rPr>
        <w:t>九、夯实区域性股权市场资本市场塔基功能。</w:t>
      </w:r>
      <w:r>
        <w:rPr>
          <w:rFonts w:hint="eastAsia" w:ascii="Times New Roman" w:hAnsi="Times New Roman" w:eastAsia="方正仿宋_GBK" w:cs="Times New Roman"/>
          <w:color w:val="000000"/>
          <w:sz w:val="32"/>
          <w:szCs w:val="32"/>
          <w:highlight w:val="none"/>
          <w:lang w:val="en-US" w:eastAsia="zh-CN"/>
        </w:rPr>
        <w:t>加强与江苏股权交易中心的对接，用好“新三板”与区域性股权市场的创新对接机制和通道，通过绿色通道、公示审核机制为“新三板”输送优质资源。依托区域性股权市场私募股权和创业投资份额转让平台，鼓励各类私募基金份额通过平台进行转让退出。鼓励各地引导符合条件的企业进入区域性股权市场进行规范培育，办理股权登记托管，提升合规和规范治理意识。鼓励各地深化与区域性股权市场合作，通过政府购买服务等方式，共同推进企业股改和上市工作。对私募股权、创业投资基金投资在江苏股交中心挂牌或纯托管的泰州企业，按照实际新增股权投资额（仅限于货币出资）的0.1%的标准，给予被投企业一次性奖励，每个被投企业最高奖励20万元。</w:t>
      </w:r>
      <w:r>
        <w:rPr>
          <w:rFonts w:hint="eastAsia" w:ascii="方正楷体_GBK" w:hAnsi="方正楷体_GBK" w:eastAsia="方正楷体_GBK" w:cs="方正楷体_GBK"/>
          <w:color w:val="000000"/>
          <w:sz w:val="32"/>
          <w:szCs w:val="32"/>
          <w:highlight w:val="none"/>
          <w:lang w:val="en-US" w:eastAsia="zh-CN"/>
        </w:rPr>
        <w:t>（责任单位：市政府办公室、财政局、国资委、市场监管局按职责分工负责）</w:t>
      </w:r>
    </w:p>
    <w:p w14:paraId="560EA10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baseline"/>
        <w:rPr>
          <w:rFonts w:hint="eastAsia" w:ascii="Times New Roman" w:hAnsi="Times New Roman" w:eastAsia="方正仿宋_GBK" w:cs="Times New Roman"/>
          <w:color w:val="000000"/>
          <w:sz w:val="32"/>
          <w:szCs w:val="32"/>
          <w:highlight w:val="none"/>
          <w:lang w:val="en-US" w:eastAsia="zh-CN"/>
        </w:rPr>
      </w:pPr>
      <w:r>
        <w:rPr>
          <w:rFonts w:hint="eastAsia" w:ascii="方正黑体_GBK" w:hAnsi="方正黑体_GBK" w:eastAsia="方正黑体_GBK" w:cs="方正黑体_GBK"/>
          <w:color w:val="000000"/>
          <w:sz w:val="32"/>
          <w:szCs w:val="32"/>
          <w:highlight w:val="none"/>
          <w:lang w:val="en-US" w:eastAsia="zh-CN"/>
        </w:rPr>
        <w:t>十、完善协调保障机制。</w:t>
      </w:r>
      <w:r>
        <w:rPr>
          <w:rFonts w:hint="eastAsia" w:ascii="方正仿宋_GBK" w:hAnsi="方正仿宋_GBK" w:eastAsia="方正仿宋_GBK" w:cs="方正仿宋_GBK"/>
          <w:color w:val="000000"/>
          <w:sz w:val="32"/>
          <w:szCs w:val="32"/>
          <w:highlight w:val="none"/>
          <w:lang w:val="en-US" w:eastAsia="zh-CN"/>
        </w:rPr>
        <w:t>全面加强市委对资本市场工作的领导。</w:t>
      </w:r>
      <w:r>
        <w:rPr>
          <w:rFonts w:hint="eastAsia" w:ascii="方正仿宋_GBK" w:hAnsi="方正仿宋_GBK" w:eastAsia="方正仿宋_GBK" w:cs="方正仿宋_GBK"/>
          <w:i w:val="0"/>
          <w:iCs w:val="0"/>
          <w:caps w:val="0"/>
          <w:color w:val="000000"/>
          <w:spacing w:val="0"/>
          <w:sz w:val="32"/>
          <w:szCs w:val="32"/>
          <w:shd w:val="clear" w:color="auto" w:fill="FFFFFF"/>
          <w:lang w:val="en-US" w:eastAsia="zh-CN"/>
        </w:rPr>
        <w:t>市政府办会同相关部门建立泰州资本市场</w:t>
      </w:r>
      <w:r>
        <w:rPr>
          <w:rFonts w:hint="eastAsia" w:ascii="方正仿宋_GBK" w:hAnsi="方正仿宋_GBK" w:eastAsia="方正仿宋_GBK" w:cs="方正仿宋_GBK"/>
          <w:i w:val="0"/>
          <w:iCs w:val="0"/>
          <w:caps w:val="0"/>
          <w:color w:val="000000"/>
          <w:spacing w:val="0"/>
          <w:sz w:val="32"/>
          <w:szCs w:val="32"/>
          <w:shd w:val="clear" w:color="auto" w:fill="FFFFFF"/>
        </w:rPr>
        <w:t>工作</w:t>
      </w:r>
      <w:r>
        <w:rPr>
          <w:rFonts w:hint="eastAsia" w:ascii="方正仿宋_GBK" w:hAnsi="方正仿宋_GBK" w:eastAsia="方正仿宋_GBK" w:cs="方正仿宋_GBK"/>
          <w:i w:val="0"/>
          <w:iCs w:val="0"/>
          <w:caps w:val="0"/>
          <w:color w:val="000000"/>
          <w:spacing w:val="0"/>
          <w:sz w:val="32"/>
          <w:szCs w:val="32"/>
          <w:shd w:val="clear" w:color="auto" w:fill="FFFFFF"/>
          <w:lang w:val="en-US" w:eastAsia="zh-CN"/>
        </w:rPr>
        <w:t>协调</w:t>
      </w:r>
      <w:r>
        <w:rPr>
          <w:rFonts w:hint="eastAsia" w:ascii="方正仿宋_GBK" w:hAnsi="方正仿宋_GBK" w:eastAsia="方正仿宋_GBK" w:cs="方正仿宋_GBK"/>
          <w:i w:val="0"/>
          <w:iCs w:val="0"/>
          <w:caps w:val="0"/>
          <w:color w:val="000000"/>
          <w:spacing w:val="0"/>
          <w:sz w:val="32"/>
          <w:szCs w:val="32"/>
          <w:shd w:val="clear" w:color="auto" w:fill="FFFFFF"/>
        </w:rPr>
        <w:t>机制</w:t>
      </w:r>
      <w:r>
        <w:rPr>
          <w:rFonts w:hint="eastAsia" w:ascii="方正仿宋_GBK" w:hAnsi="方正仿宋_GBK" w:eastAsia="方正仿宋_GBK" w:cs="方正仿宋_GBK"/>
          <w:i w:val="0"/>
          <w:iCs w:val="0"/>
          <w:caps w:val="0"/>
          <w:color w:val="000000"/>
          <w:spacing w:val="0"/>
          <w:sz w:val="32"/>
          <w:szCs w:val="32"/>
          <w:shd w:val="clear" w:color="auto" w:fill="FFFFFF"/>
          <w:lang w:eastAsia="zh-CN"/>
        </w:rPr>
        <w:t>，</w:t>
      </w:r>
      <w:r>
        <w:rPr>
          <w:rFonts w:hint="eastAsia" w:ascii="方正仿宋_GBK" w:hAnsi="方正仿宋_GBK" w:eastAsia="方正仿宋_GBK" w:cs="方正仿宋_GBK"/>
          <w:i w:val="0"/>
          <w:iCs w:val="0"/>
          <w:caps w:val="0"/>
          <w:color w:val="000000"/>
          <w:spacing w:val="0"/>
          <w:sz w:val="32"/>
          <w:szCs w:val="32"/>
          <w:shd w:val="clear" w:color="auto" w:fill="FFFFFF"/>
        </w:rPr>
        <w:t>加大对</w:t>
      </w:r>
      <w:r>
        <w:rPr>
          <w:rFonts w:hint="eastAsia" w:ascii="方正仿宋_GBK" w:hAnsi="方正仿宋_GBK" w:eastAsia="方正仿宋_GBK" w:cs="方正仿宋_GBK"/>
          <w:i w:val="0"/>
          <w:iCs w:val="0"/>
          <w:caps w:val="0"/>
          <w:color w:val="000000"/>
          <w:spacing w:val="0"/>
          <w:sz w:val="32"/>
          <w:szCs w:val="32"/>
          <w:shd w:val="clear" w:color="auto" w:fill="FFFFFF"/>
          <w:lang w:val="en-US" w:eastAsia="zh-CN"/>
        </w:rPr>
        <w:t>资本市场</w:t>
      </w:r>
      <w:r>
        <w:rPr>
          <w:rFonts w:hint="eastAsia" w:ascii="方正仿宋_GBK" w:hAnsi="方正仿宋_GBK" w:eastAsia="方正仿宋_GBK" w:cs="方正仿宋_GBK"/>
          <w:i w:val="0"/>
          <w:iCs w:val="0"/>
          <w:caps w:val="0"/>
          <w:color w:val="000000"/>
          <w:spacing w:val="0"/>
          <w:sz w:val="32"/>
          <w:szCs w:val="32"/>
          <w:shd w:val="clear" w:color="auto" w:fill="FFFFFF"/>
        </w:rPr>
        <w:t>工作的统筹推进力度</w:t>
      </w:r>
      <w:r>
        <w:rPr>
          <w:rFonts w:hint="eastAsia" w:ascii="方正仿宋_GBK" w:hAnsi="方正仿宋_GBK" w:eastAsia="方正仿宋_GBK" w:cs="方正仿宋_GBK"/>
          <w:i w:val="0"/>
          <w:iCs w:val="0"/>
          <w:caps w:val="0"/>
          <w:color w:val="000000"/>
          <w:spacing w:val="0"/>
          <w:sz w:val="32"/>
          <w:szCs w:val="32"/>
          <w:shd w:val="clear" w:color="auto" w:fill="FFFFFF"/>
          <w:lang w:eastAsia="zh-CN"/>
        </w:rPr>
        <w:t>。</w:t>
      </w:r>
      <w:r>
        <w:rPr>
          <w:rFonts w:hint="eastAsia" w:ascii="方正仿宋_GBK" w:hAnsi="方正仿宋_GBK" w:eastAsia="方正仿宋_GBK" w:cs="方正仿宋_GBK"/>
          <w:i w:val="0"/>
          <w:iCs w:val="0"/>
          <w:caps w:val="0"/>
          <w:color w:val="000000"/>
          <w:spacing w:val="0"/>
          <w:sz w:val="32"/>
          <w:szCs w:val="32"/>
          <w:shd w:val="clear" w:color="auto" w:fill="FFFFFF"/>
        </w:rPr>
        <w:t>市相关部门加强协同配合，形成工作合力</w:t>
      </w:r>
      <w:r>
        <w:rPr>
          <w:rFonts w:hint="eastAsia" w:ascii="方正仿宋_GBK" w:hAnsi="方正仿宋_GBK" w:eastAsia="方正仿宋_GBK" w:cs="方正仿宋_GBK"/>
          <w:i w:val="0"/>
          <w:iCs w:val="0"/>
          <w:caps w:val="0"/>
          <w:color w:val="000000"/>
          <w:spacing w:val="0"/>
          <w:sz w:val="32"/>
          <w:szCs w:val="32"/>
          <w:shd w:val="clear" w:color="auto" w:fill="FFFFFF"/>
          <w:lang w:eastAsia="zh-CN"/>
        </w:rPr>
        <w:t>，</w:t>
      </w:r>
      <w:r>
        <w:rPr>
          <w:rFonts w:hint="eastAsia" w:ascii="方正仿宋_GBK" w:hAnsi="方正仿宋_GBK" w:eastAsia="方正仿宋_GBK" w:cs="方正仿宋_GBK"/>
          <w:color w:val="000000"/>
          <w:sz w:val="32"/>
          <w:szCs w:val="32"/>
          <w:highlight w:val="none"/>
          <w:lang w:val="en-US" w:eastAsia="zh-CN"/>
        </w:rPr>
        <w:t>及时解决需要市级层面协调的上市服务问题</w:t>
      </w:r>
      <w:r>
        <w:rPr>
          <w:rFonts w:hint="eastAsia" w:ascii="方正仿宋_GBK" w:hAnsi="方正仿宋_GBK" w:eastAsia="方正仿宋_GBK" w:cs="方正仿宋_GBK"/>
          <w:i w:val="0"/>
          <w:iCs w:val="0"/>
          <w:caps w:val="0"/>
          <w:color w:val="000000"/>
          <w:spacing w:val="0"/>
          <w:sz w:val="32"/>
          <w:szCs w:val="32"/>
          <w:shd w:val="clear" w:color="auto" w:fill="FFFFFF"/>
        </w:rPr>
        <w:t>。</w:t>
      </w:r>
      <w:r>
        <w:rPr>
          <w:rFonts w:hint="eastAsia" w:ascii="方正仿宋_GBK" w:hAnsi="方正仿宋_GBK" w:eastAsia="方正仿宋_GBK" w:cs="方正仿宋_GBK"/>
          <w:i w:val="0"/>
          <w:iCs w:val="0"/>
          <w:caps w:val="0"/>
          <w:color w:val="000000"/>
          <w:spacing w:val="0"/>
          <w:sz w:val="32"/>
          <w:szCs w:val="32"/>
          <w:shd w:val="clear" w:color="auto" w:fill="FFFFFF"/>
          <w:lang w:val="en-US" w:eastAsia="zh-CN"/>
        </w:rPr>
        <w:t>各地</w:t>
      </w:r>
      <w:r>
        <w:rPr>
          <w:rFonts w:hint="eastAsia" w:ascii="方正仿宋_GBK" w:hAnsi="方正仿宋_GBK" w:eastAsia="方正仿宋_GBK" w:cs="方正仿宋_GBK"/>
          <w:i w:val="0"/>
          <w:iCs w:val="0"/>
          <w:caps w:val="0"/>
          <w:color w:val="000000"/>
          <w:spacing w:val="0"/>
          <w:sz w:val="32"/>
          <w:szCs w:val="32"/>
          <w:shd w:val="clear" w:color="auto" w:fill="FFFFFF"/>
        </w:rPr>
        <w:t>要加强组织领导，做好服务保障</w:t>
      </w:r>
      <w:r>
        <w:rPr>
          <w:rFonts w:hint="eastAsia" w:ascii="方正仿宋_GBK" w:hAnsi="方正仿宋_GBK" w:eastAsia="方正仿宋_GBK" w:cs="方正仿宋_GBK"/>
          <w:color w:val="000000"/>
          <w:sz w:val="32"/>
          <w:szCs w:val="32"/>
          <w:highlight w:val="none"/>
          <w:lang w:val="en-US" w:eastAsia="zh-CN"/>
        </w:rPr>
        <w:t>，及时帮助解决拟上市和已上市企业遇到的矛盾问题。</w:t>
      </w:r>
      <w:r>
        <w:rPr>
          <w:rFonts w:hint="eastAsia" w:ascii="方正楷体_GBK" w:hAnsi="方正楷体_GBK" w:eastAsia="方正楷体_GBK" w:cs="方正楷体_GBK"/>
          <w:color w:val="000000"/>
          <w:sz w:val="32"/>
          <w:szCs w:val="32"/>
          <w:highlight w:val="none"/>
          <w:lang w:val="en-US" w:eastAsia="zh-CN"/>
        </w:rPr>
        <w:t>（责任单位：市政府办公室、市委网信办、市中级法院、检察院、公安局、司法局、自然资源规划局、生态环境局、住房城乡建设局、卫生健康委、泰州海关、消防救援支队按职责分工负责）</w:t>
      </w:r>
    </w:p>
    <w:p w14:paraId="1216956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baseline"/>
        <w:rPr>
          <w:rFonts w:hint="eastAsia" w:ascii="Times New Roman" w:hAnsi="Times New Roman" w:eastAsia="方正仿宋_GBK" w:cs="Times New Roman"/>
          <w:color w:val="000000"/>
          <w:sz w:val="32"/>
          <w:szCs w:val="32"/>
          <w:highlight w:val="none"/>
          <w:shd w:val="clear" w:color="auto" w:fill="auto"/>
          <w:lang w:val="en-US" w:eastAsia="zh-CN"/>
        </w:rPr>
      </w:pPr>
      <w:r>
        <w:rPr>
          <w:rFonts w:hint="eastAsia" w:ascii="Times New Roman" w:hAnsi="Times New Roman" w:eastAsia="方正仿宋_GBK" w:cs="Times New Roman"/>
          <w:color w:val="000000"/>
          <w:sz w:val="32"/>
          <w:szCs w:val="32"/>
          <w:highlight w:val="none"/>
          <w:shd w:val="clear" w:color="auto" w:fill="auto"/>
          <w:lang w:val="en-US" w:eastAsia="zh-CN"/>
        </w:rPr>
        <w:t>本政策涉及奖励资金按下列渠道列支：海陵区、姜堰区、泰 州医药高新区（高港区）由市财政承担，靖江市、泰兴市、兴化市结合当地实际参照执行。</w:t>
      </w:r>
    </w:p>
    <w:p w14:paraId="72E19B0D">
      <w:r>
        <w:rPr>
          <w:rFonts w:hint="eastAsia" w:ascii="Times New Roman" w:hAnsi="Times New Roman" w:eastAsia="方正仿宋_GBK" w:cs="Times New Roman"/>
          <w:color w:val="000000"/>
          <w:sz w:val="32"/>
          <w:szCs w:val="32"/>
          <w:highlight w:val="none"/>
          <w:shd w:val="clear" w:color="auto" w:fill="auto"/>
          <w:lang w:val="en-US" w:eastAsia="zh-CN"/>
        </w:rPr>
        <w:t>本政策措施自2026年1月1日起施行，有效期至2028年12月31日，《市政府关于印发泰州市支持企业上市的若干政策措施的通知》（泰政发〔2023〕110号）和《市政府办公室关于印发泰州市促进股权投资高质量发展若干政策措施的通知》（泰政办发〔2023〕15号）同时废止。</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C6CBF3D2-F8C6-4CE8-B8A7-465F9AA0FADB}"/>
  </w:font>
  <w:font w:name="汉鼎简大宋">
    <w:altName w:val="宋体"/>
    <w:panose1 w:val="00000000000000000000"/>
    <w:charset w:val="86"/>
    <w:family w:val="modern"/>
    <w:pitch w:val="default"/>
    <w:sig w:usb0="00000000" w:usb1="00000000" w:usb2="00000010" w:usb3="00000000" w:csb0="00040000" w:csb1="00000000"/>
  </w:font>
  <w:font w:name="方正黑体_GBK">
    <w:altName w:val="Arial Unicode MS"/>
    <w:panose1 w:val="03000509000000000000"/>
    <w:charset w:val="86"/>
    <w:family w:val="auto"/>
    <w:pitch w:val="default"/>
    <w:sig w:usb0="00000000" w:usb1="00000000" w:usb2="00000000" w:usb3="00000000" w:csb0="00040000" w:csb1="00000000"/>
    <w:embedRegular r:id="rId2" w:fontKey="{8A3ECC1C-596B-4DE1-BE57-A31E500CFF1D}"/>
  </w:font>
  <w:font w:name="方正小标宋_GBK">
    <w:altName w:val="Arial Unicode MS"/>
    <w:panose1 w:val="03000509000000000000"/>
    <w:charset w:val="86"/>
    <w:family w:val="auto"/>
    <w:pitch w:val="default"/>
    <w:sig w:usb0="00000000" w:usb1="00000000" w:usb2="00000000" w:usb3="00000000" w:csb0="00040000" w:csb1="00000000"/>
  </w:font>
  <w:font w:name="方正楷体_GBK">
    <w:altName w:val="Arial Unicode MS"/>
    <w:panose1 w:val="03000509000000000000"/>
    <w:charset w:val="86"/>
    <w:family w:val="script"/>
    <w:pitch w:val="default"/>
    <w:sig w:usb0="00000000" w:usb1="00000000" w:usb2="00000000" w:usb3="00000000" w:csb0="00040000" w:csb1="00000000"/>
    <w:embedRegular r:id="rId3" w:fontKey="{CF1DBA40-42A0-4E6B-8D26-BAECE8A0F03E}"/>
  </w:font>
  <w:font w:name="方正仿宋_GBK">
    <w:panose1 w:val="02000000000000000000"/>
    <w:charset w:val="86"/>
    <w:family w:val="auto"/>
    <w:pitch w:val="default"/>
    <w:sig w:usb0="A00002BF" w:usb1="38CF7CFA" w:usb2="00082016" w:usb3="00000000" w:csb0="00040001" w:csb1="00000000"/>
    <w:embedRegular r:id="rId4" w:fontKey="{DCA23ACE-DF19-4FB6-86F6-07D4536A8B79}"/>
  </w:font>
  <w:font w:name="Arial Unicode MS">
    <w:panose1 w:val="020B0604020202020204"/>
    <w:charset w:val="86"/>
    <w:family w:val="auto"/>
    <w:pitch w:val="default"/>
    <w:sig w:usb0="F7FFAEFF" w:usb1="F9DFFFFF" w:usb2="0000007F" w:usb3="00000000" w:csb0="203F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DE62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spacing w:after="0"/>
      <w:ind w:left="117" w:firstLine="420" w:firstLineChars="100"/>
    </w:pPr>
    <w:rPr>
      <w:rFonts w:ascii="宋体" w:hAnsi="宋体" w:eastAsia="宋体"/>
      <w:sz w:val="32"/>
      <w:szCs w:val="32"/>
    </w:rPr>
  </w:style>
  <w:style w:type="paragraph" w:styleId="3">
    <w:name w:val="Body Text"/>
    <w:basedOn w:val="1"/>
    <w:next w:val="2"/>
    <w:qFormat/>
    <w:uiPriority w:val="0"/>
    <w:pPr>
      <w:autoSpaceDE/>
      <w:autoSpaceDN/>
      <w:snapToGrid/>
      <w:spacing w:line="240" w:lineRule="auto"/>
      <w:ind w:firstLine="0"/>
      <w:jc w:val="center"/>
    </w:pPr>
    <w:rPr>
      <w:rFonts w:ascii="Times New Roman" w:eastAsia="汉鼎简大宋"/>
      <w:snapToGrid/>
      <w:kern w:val="2"/>
      <w:sz w:val="44"/>
      <w:szCs w:val="24"/>
    </w:r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2025-11-11T02:45:11Z</dcterms:created>
  <dc:creator>15080</dc:creator>
  <cp:lastModifiedBy>slience</cp:lastModifiedBy>
  <dcterms:modified xsi:type="dcterms:W3CDTF">2025-11-11T02:45:45Z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eyJoZGlkIjoiNjQ5YTM3MWY0ZWNjY2Y3OThkZDY1OWY4YjA0NmU0OWUiLCJ1c2VySWQiOiIxMTQwODMyNzU3In0=</vt:lpwstr>
  </property>
  <property fmtid="{D5CDD505-2E9C-101B-9397-08002B2CF9AE}" pid="4" name="ICV">
    <vt:lpwstr>9860C966C988430BB4FAC401227F108F_12</vt:lpwstr>
  </property>
</Properties>
</file>