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D7202">
      <w:pPr>
        <w:autoSpaceDE/>
        <w:autoSpaceDN/>
        <w:snapToGrid/>
        <w:spacing w:line="570" w:lineRule="exact"/>
        <w:ind w:firstLine="0"/>
        <w:rPr>
          <w:rFonts w:hint="eastAsia" w:ascii="黑体" w:hAnsi="黑体" w:eastAsia="黑体" w:cs="黑体"/>
          <w:szCs w:val="32"/>
          <w:lang w:val="en-US" w:eastAsia="zh-CN"/>
        </w:rPr>
      </w:pPr>
      <w:r>
        <w:rPr>
          <w:rFonts w:hint="eastAsia" w:ascii="黑体" w:hAnsi="黑体" w:eastAsia="黑体" w:cs="黑体"/>
          <w:szCs w:val="32"/>
        </w:rPr>
        <w:t>附件</w:t>
      </w:r>
      <w:r>
        <w:rPr>
          <w:rFonts w:hint="eastAsia" w:ascii="黑体" w:hAnsi="黑体" w:eastAsia="黑体" w:cs="黑体"/>
          <w:szCs w:val="32"/>
          <w:lang w:val="en-US" w:eastAsia="zh-CN"/>
        </w:rPr>
        <w:t>1</w:t>
      </w:r>
    </w:p>
    <w:p w14:paraId="6714FDF9">
      <w:pPr>
        <w:spacing w:line="560" w:lineRule="exact"/>
        <w:jc w:val="center"/>
        <w:rPr>
          <w:rFonts w:ascii="方正小标宋_GBK" w:hAnsi="华文中宋" w:eastAsia="方正小标宋_GBK" w:cs="华文中宋"/>
          <w:bCs/>
          <w:sz w:val="44"/>
          <w:szCs w:val="44"/>
        </w:rPr>
      </w:pPr>
    </w:p>
    <w:p w14:paraId="10E59A06">
      <w:pPr>
        <w:spacing w:line="560" w:lineRule="exact"/>
        <w:jc w:val="center"/>
        <w:rPr>
          <w:rFonts w:ascii="方正小标宋_GBK" w:hAnsi="华文中宋" w:eastAsia="方正小标宋_GBK" w:cs="华文中宋"/>
          <w:bCs/>
          <w:sz w:val="44"/>
          <w:szCs w:val="44"/>
        </w:rPr>
      </w:pPr>
      <w:r>
        <w:rPr>
          <w:rFonts w:hint="eastAsia" w:ascii="方正小标宋_GBK" w:hAnsi="华文中宋" w:eastAsia="方正小标宋_GBK" w:cs="华文中宋"/>
          <w:bCs/>
          <w:sz w:val="44"/>
          <w:szCs w:val="44"/>
        </w:rPr>
        <w:t>泰州市港口</w:t>
      </w:r>
      <w:bookmarkStart w:id="0" w:name="_GoBack"/>
      <w:bookmarkEnd w:id="0"/>
      <w:r>
        <w:rPr>
          <w:rFonts w:hint="eastAsia" w:ascii="方正小标宋_GBK" w:hAnsi="华文中宋" w:eastAsia="方正小标宋_GBK" w:cs="华文中宋"/>
          <w:bCs/>
          <w:sz w:val="44"/>
          <w:szCs w:val="44"/>
        </w:rPr>
        <w:t>外水路客运船舶停靠站点</w:t>
      </w:r>
    </w:p>
    <w:p w14:paraId="5B19596B">
      <w:pPr>
        <w:spacing w:line="560" w:lineRule="exact"/>
        <w:jc w:val="center"/>
        <w:rPr>
          <w:rFonts w:ascii="方正小标宋_GBK" w:hAnsi="华文中宋" w:eastAsia="方正小标宋_GBK" w:cs="华文中宋"/>
          <w:bCs/>
          <w:sz w:val="44"/>
          <w:szCs w:val="44"/>
        </w:rPr>
      </w:pPr>
      <w:r>
        <w:rPr>
          <w:rFonts w:hint="eastAsia" w:ascii="方正小标宋_GBK" w:hAnsi="华文中宋" w:eastAsia="方正小标宋_GBK" w:cs="华文中宋"/>
          <w:bCs/>
          <w:sz w:val="44"/>
          <w:szCs w:val="44"/>
        </w:rPr>
        <w:t>管理办法</w:t>
      </w:r>
    </w:p>
    <w:p w14:paraId="526A1536">
      <w:pPr>
        <w:spacing w:line="560" w:lineRule="exact"/>
        <w:jc w:val="center"/>
        <w:rPr>
          <w:rFonts w:ascii="方正楷体_GBK" w:hAnsi="华文中宋" w:eastAsia="方正楷体_GBK" w:cs="华文中宋"/>
          <w:bCs/>
          <w:szCs w:val="32"/>
        </w:rPr>
      </w:pPr>
    </w:p>
    <w:p w14:paraId="72FC4E06">
      <w:pPr>
        <w:spacing w:line="560" w:lineRule="exact"/>
        <w:jc w:val="center"/>
        <w:rPr>
          <w:rFonts w:ascii="方正楷体_GBK" w:hAnsi="华文中宋" w:eastAsia="方正楷体_GBK" w:cs="华文中宋"/>
          <w:bCs/>
          <w:szCs w:val="32"/>
        </w:rPr>
      </w:pPr>
      <w:r>
        <w:rPr>
          <w:rFonts w:hint="eastAsia" w:ascii="方正楷体_GBK" w:hAnsi="华文中宋" w:eastAsia="方正楷体_GBK" w:cs="华文中宋"/>
          <w:bCs/>
          <w:szCs w:val="32"/>
        </w:rPr>
        <w:t>（</w:t>
      </w:r>
      <w:r>
        <w:rPr>
          <w:rFonts w:hint="eastAsia" w:ascii="方正楷体_GBK" w:hAnsi="华文中宋" w:eastAsia="方正楷体_GBK" w:cs="华文中宋"/>
          <w:bCs/>
          <w:szCs w:val="32"/>
          <w:lang w:val="en-US" w:eastAsia="zh-CN"/>
        </w:rPr>
        <w:t>公开</w:t>
      </w:r>
      <w:r>
        <w:rPr>
          <w:rFonts w:hint="eastAsia" w:ascii="方正楷体_GBK" w:hAnsi="华文中宋" w:eastAsia="方正楷体_GBK" w:cs="华文中宋"/>
          <w:bCs/>
          <w:szCs w:val="32"/>
        </w:rPr>
        <w:t>征求意见稿）</w:t>
      </w:r>
    </w:p>
    <w:p w14:paraId="1BD80DD5">
      <w:pPr>
        <w:spacing w:line="560" w:lineRule="exact"/>
        <w:jc w:val="center"/>
        <w:rPr>
          <w:rFonts w:ascii="华文中宋" w:hAnsi="华文中宋" w:eastAsia="华文中宋" w:cs="华文中宋"/>
          <w:bCs/>
          <w:sz w:val="44"/>
          <w:szCs w:val="44"/>
        </w:rPr>
      </w:pPr>
    </w:p>
    <w:p w14:paraId="70324892">
      <w:pPr>
        <w:spacing w:line="540" w:lineRule="exact"/>
        <w:jc w:val="center"/>
        <w:rPr>
          <w:rFonts w:ascii="方正黑体_GBK" w:eastAsia="方正黑体_GBK"/>
          <w:bCs/>
          <w:szCs w:val="32"/>
        </w:rPr>
      </w:pPr>
      <w:r>
        <w:rPr>
          <w:rFonts w:hint="eastAsia" w:ascii="方正黑体_GBK" w:eastAsia="方正黑体_GBK"/>
          <w:bCs/>
          <w:szCs w:val="32"/>
        </w:rPr>
        <w:t>第一章 总 则</w:t>
      </w:r>
    </w:p>
    <w:p w14:paraId="7CF89D41">
      <w:pPr>
        <w:pStyle w:val="8"/>
        <w:spacing w:line="540" w:lineRule="exact"/>
        <w:ind w:left="1155" w:firstLine="0" w:firstLineChars="0"/>
        <w:rPr>
          <w:rFonts w:ascii="方正黑体_GBK" w:eastAsia="方正黑体_GBK"/>
          <w:bCs/>
          <w:szCs w:val="32"/>
        </w:rPr>
      </w:pPr>
    </w:p>
    <w:p w14:paraId="47696196">
      <w:pPr>
        <w:spacing w:line="540" w:lineRule="exact"/>
        <w:ind w:firstLine="640" w:firstLineChars="200"/>
        <w:rPr>
          <w:rFonts w:ascii="方正仿宋_GBK" w:hAnsi="仿宋" w:cs="仿宋"/>
          <w:szCs w:val="32"/>
        </w:rPr>
      </w:pPr>
      <w:r>
        <w:rPr>
          <w:rFonts w:hint="eastAsia" w:ascii="方正仿宋_GBK" w:hAnsi="仿宋" w:cs="仿宋"/>
          <w:szCs w:val="32"/>
        </w:rPr>
        <w:t>第一条 【目的依据】为规范港口外水路客运船舶停靠站点（以下简称“停靠站点”）管理，维护水路运输市场秩序，保障水路客运安全，根据《中华人民共和国安全生产法》《中华人民共和国内河交通安全管理条例》《国内水路运输管理条例》《江苏省内河水上游览经营活动安全管理办法》《交通运输部办公厅关于规范水路客运船舶船岸靠泊问题的通知》等法律、法规、规章和相关文件，结合泰州实际，制定本办法。</w:t>
      </w:r>
    </w:p>
    <w:p w14:paraId="4C48B99A">
      <w:pPr>
        <w:spacing w:line="540" w:lineRule="exact"/>
        <w:ind w:firstLine="640" w:firstLineChars="200"/>
        <w:rPr>
          <w:rFonts w:ascii="方正仿宋_GBK" w:hAnsi="仿宋" w:cs="仿宋"/>
          <w:szCs w:val="32"/>
        </w:rPr>
      </w:pPr>
      <w:r>
        <w:rPr>
          <w:rFonts w:hint="eastAsia" w:ascii="方正仿宋_GBK" w:hAnsi="仿宋" w:cs="仿宋"/>
          <w:szCs w:val="32"/>
        </w:rPr>
        <w:t>第二条 【适用范围】在本市行政区域内，港口规划以外，通航水域内，停靠站点的选址、建设、运营、管理及相关活动，适用本办法。</w:t>
      </w:r>
    </w:p>
    <w:p w14:paraId="133496AF">
      <w:pPr>
        <w:spacing w:line="540" w:lineRule="exact"/>
        <w:ind w:firstLine="640" w:firstLineChars="200"/>
        <w:rPr>
          <w:rFonts w:ascii="方正仿宋_GBK" w:hAnsi="仿宋" w:cs="仿宋"/>
          <w:szCs w:val="32"/>
        </w:rPr>
      </w:pPr>
      <w:r>
        <w:rPr>
          <w:rFonts w:hint="eastAsia" w:ascii="方正仿宋_GBK" w:hAnsi="仿宋" w:cs="仿宋"/>
          <w:szCs w:val="32"/>
        </w:rPr>
        <w:t>港口规划以内的码头建设、运营、管理以及相关活动按照《中华人民共和国港口法》《江苏省水路交通运输条例》等法律、法规、规章进行管理。</w:t>
      </w:r>
    </w:p>
    <w:p w14:paraId="1323F947">
      <w:pPr>
        <w:spacing w:line="540" w:lineRule="exact"/>
        <w:ind w:firstLine="640" w:firstLineChars="200"/>
        <w:rPr>
          <w:rFonts w:ascii="方正仿宋_GBK" w:hAnsi="仿宋" w:cs="仿宋"/>
          <w:szCs w:val="32"/>
        </w:rPr>
      </w:pPr>
      <w:r>
        <w:rPr>
          <w:rFonts w:hint="eastAsia" w:ascii="方正仿宋_GBK" w:hAnsi="仿宋" w:cs="仿宋"/>
          <w:szCs w:val="32"/>
        </w:rPr>
        <w:t>第三条 【客运船舶停靠站点定义】本办法所称客运船舶是指纳入水路运输管理、核发《船舶营业运输证》的客运船舶。</w:t>
      </w:r>
    </w:p>
    <w:p w14:paraId="3FB78461">
      <w:pPr>
        <w:spacing w:line="540" w:lineRule="exact"/>
        <w:ind w:firstLine="640" w:firstLineChars="200"/>
        <w:rPr>
          <w:rFonts w:ascii="方正仿宋_GBK" w:hAnsi="仿宋" w:cs="仿宋"/>
          <w:szCs w:val="32"/>
        </w:rPr>
      </w:pPr>
      <w:r>
        <w:rPr>
          <w:rFonts w:hint="eastAsia" w:ascii="方正仿宋_GBK" w:hAnsi="仿宋" w:cs="仿宋"/>
          <w:szCs w:val="32"/>
        </w:rPr>
        <w:t>本办法所称停靠站点是港口客运码头、渡口之外的客船停靠地点统称，指由一定的水域及相关陆域组成，具有相应的停靠泊位及配套设施，用于客运船舶靠泊和人员上下船的各类固定式或浮动式设施。</w:t>
      </w:r>
    </w:p>
    <w:p w14:paraId="1E52EF37">
      <w:pPr>
        <w:spacing w:line="540" w:lineRule="exact"/>
        <w:ind w:firstLine="640" w:firstLineChars="200"/>
        <w:rPr>
          <w:rFonts w:ascii="方正仿宋_GBK" w:hAnsi="仿宋" w:cs="仿宋"/>
          <w:szCs w:val="32"/>
        </w:rPr>
      </w:pPr>
      <w:r>
        <w:rPr>
          <w:rFonts w:hint="eastAsia" w:ascii="方正仿宋_GBK" w:hAnsi="仿宋" w:cs="仿宋"/>
          <w:szCs w:val="32"/>
        </w:rPr>
        <w:t>第四条 【适用原则】根据我市水上旅游产业发展，停靠站点建设实行动态调整，并坚持疏堵结合、发展求实的原则，杜绝产生不满足安全靠泊要求的“增量”，消除存在事故隐患的“存量”。</w:t>
      </w:r>
    </w:p>
    <w:p w14:paraId="4FFA48EB">
      <w:pPr>
        <w:spacing w:line="540" w:lineRule="exact"/>
        <w:ind w:firstLine="640" w:firstLineChars="200"/>
        <w:rPr>
          <w:rFonts w:ascii="方正仿宋_GBK" w:hAnsi="仿宋" w:cs="仿宋"/>
          <w:szCs w:val="32"/>
        </w:rPr>
      </w:pPr>
      <w:r>
        <w:rPr>
          <w:rFonts w:hint="eastAsia" w:ascii="方正仿宋_GBK" w:hAnsi="仿宋" w:cs="仿宋"/>
          <w:szCs w:val="32"/>
        </w:rPr>
        <w:t>第五条 【管理部门】停靠站点管理遵循属地管理原则，市级交通运输主管部门负责</w:t>
      </w:r>
      <w:r>
        <w:rPr>
          <w:rFonts w:hint="eastAsia" w:ascii="方正仿宋_GBK" w:hAnsi="仿宋" w:cs="仿宋"/>
          <w:color w:val="auto"/>
          <w:szCs w:val="32"/>
        </w:rPr>
        <w:t>主管</w:t>
      </w:r>
      <w:r>
        <w:rPr>
          <w:rFonts w:hint="eastAsia" w:ascii="方正仿宋_GBK" w:hAnsi="仿宋" w:cs="仿宋"/>
          <w:szCs w:val="32"/>
        </w:rPr>
        <w:t>全市停靠站点的管理工作。各市（区）交通运输主管部门或市（区）人民政府指定的部门负责本行政区域内停靠站点管理工作。</w:t>
      </w:r>
    </w:p>
    <w:p w14:paraId="646605BD">
      <w:pPr>
        <w:spacing w:line="540" w:lineRule="exact"/>
        <w:ind w:firstLine="640" w:firstLineChars="200"/>
        <w:rPr>
          <w:rFonts w:ascii="方正仿宋_GBK" w:hAnsi="仿宋" w:cs="仿宋"/>
          <w:szCs w:val="32"/>
        </w:rPr>
      </w:pPr>
      <w:r>
        <w:rPr>
          <w:rFonts w:hint="eastAsia" w:ascii="方正仿宋_GBK" w:hAnsi="仿宋" w:cs="仿宋"/>
          <w:szCs w:val="32"/>
        </w:rPr>
        <w:t>各级发展改革、自然资源规划、文广旅、水利、生态环境、农业农村、公安、应急管理、消防、市场监管、城市管理、数据管理、海事等部门和属地乡镇人民政府，应按照各自职责，做好停靠站点相关职能工作。</w:t>
      </w:r>
    </w:p>
    <w:p w14:paraId="3A98CE6D">
      <w:pPr>
        <w:spacing w:line="540" w:lineRule="exact"/>
        <w:ind w:firstLine="640" w:firstLineChars="200"/>
        <w:rPr>
          <w:rFonts w:ascii="仿宋" w:hAnsi="仿宋" w:eastAsia="仿宋" w:cs="仿宋"/>
          <w:szCs w:val="32"/>
        </w:rPr>
      </w:pPr>
    </w:p>
    <w:p w14:paraId="4B238FF6">
      <w:pPr>
        <w:spacing w:line="540" w:lineRule="exact"/>
        <w:ind w:firstLine="640" w:firstLineChars="200"/>
        <w:jc w:val="center"/>
        <w:rPr>
          <w:rFonts w:ascii="方正黑体_GBK" w:hAnsi="宋体" w:eastAsia="方正黑体_GBK" w:cs="宋体"/>
          <w:szCs w:val="32"/>
        </w:rPr>
      </w:pPr>
      <w:r>
        <w:rPr>
          <w:rFonts w:hint="eastAsia" w:ascii="方正黑体_GBK" w:hAnsi="宋体" w:eastAsia="方正黑体_GBK" w:cs="宋体"/>
          <w:szCs w:val="32"/>
        </w:rPr>
        <w:t>第二章 选址与建设</w:t>
      </w:r>
    </w:p>
    <w:p w14:paraId="2D870AD9">
      <w:pPr>
        <w:spacing w:line="540" w:lineRule="exact"/>
        <w:ind w:firstLine="640" w:firstLineChars="200"/>
        <w:jc w:val="center"/>
        <w:rPr>
          <w:rFonts w:ascii="方正黑体_GBK" w:hAnsi="宋体" w:eastAsia="方正黑体_GBK" w:cs="宋体"/>
          <w:color w:val="auto"/>
          <w:szCs w:val="32"/>
        </w:rPr>
      </w:pPr>
    </w:p>
    <w:p w14:paraId="180F58D1">
      <w:pPr>
        <w:spacing w:line="540" w:lineRule="exact"/>
        <w:ind w:firstLine="640" w:firstLineChars="200"/>
        <w:rPr>
          <w:rFonts w:hint="eastAsia" w:ascii="方正仿宋_GBK" w:hAnsi="仿宋" w:eastAsia="方正仿宋_GBK" w:cs="仿宋"/>
          <w:snapToGrid w:val="0"/>
          <w:color w:val="auto"/>
          <w:kern w:val="0"/>
          <w:sz w:val="32"/>
          <w:szCs w:val="32"/>
        </w:rPr>
      </w:pPr>
      <w:r>
        <w:rPr>
          <w:rFonts w:hint="eastAsia" w:ascii="方正仿宋_GBK" w:hAnsi="仿宋" w:cs="仿宋"/>
          <w:color w:val="auto"/>
          <w:szCs w:val="32"/>
        </w:rPr>
        <w:t>第六条 【选址要求】</w:t>
      </w:r>
      <w:r>
        <w:rPr>
          <w:rFonts w:hint="eastAsia" w:ascii="方正仿宋_GBK" w:hAnsi="仿宋" w:eastAsia="方正仿宋_GBK" w:cs="仿宋"/>
          <w:snapToGrid w:val="0"/>
          <w:color w:val="auto"/>
          <w:kern w:val="0"/>
          <w:sz w:val="32"/>
          <w:szCs w:val="32"/>
        </w:rPr>
        <w:t>停靠站点的选址应当符合</w:t>
      </w:r>
      <w:r>
        <w:rPr>
          <w:rFonts w:hint="eastAsia" w:ascii="方正仿宋_GBK" w:hAnsi="仿宋" w:eastAsia="方正仿宋_GBK" w:cs="仿宋"/>
          <w:snapToGrid w:val="0"/>
          <w:color w:val="auto"/>
          <w:kern w:val="0"/>
          <w:sz w:val="32"/>
          <w:szCs w:val="32"/>
          <w:lang w:val="en-US" w:eastAsia="zh-CN"/>
        </w:rPr>
        <w:t>总体规划、详细规划和相关专项规划等各类国土空间规划管控要求</w:t>
      </w:r>
      <w:r>
        <w:rPr>
          <w:rFonts w:hint="eastAsia" w:ascii="方正仿宋_GBK" w:hAnsi="仿宋" w:eastAsia="方正仿宋_GBK" w:cs="仿宋"/>
          <w:snapToGrid w:val="0"/>
          <w:color w:val="auto"/>
          <w:kern w:val="0"/>
          <w:sz w:val="32"/>
          <w:szCs w:val="32"/>
        </w:rPr>
        <w:t>。</w:t>
      </w:r>
    </w:p>
    <w:p w14:paraId="0FD0DE50">
      <w:pPr>
        <w:spacing w:line="540" w:lineRule="exact"/>
        <w:ind w:firstLine="640" w:firstLineChars="200"/>
        <w:rPr>
          <w:rFonts w:hint="default" w:ascii="方正仿宋_GBK" w:hAnsi="仿宋" w:eastAsia="方正仿宋_GBK" w:cs="仿宋"/>
          <w:snapToGrid w:val="0"/>
          <w:color w:val="auto"/>
          <w:kern w:val="0"/>
          <w:sz w:val="32"/>
          <w:szCs w:val="32"/>
          <w:lang w:val="en-US" w:eastAsia="zh-CN"/>
        </w:rPr>
      </w:pPr>
      <w:r>
        <w:rPr>
          <w:rFonts w:hint="eastAsia" w:ascii="方正仿宋_GBK" w:hAnsi="仿宋" w:eastAsia="方正仿宋_GBK" w:cs="仿宋"/>
          <w:snapToGrid w:val="0"/>
          <w:color w:val="auto"/>
          <w:kern w:val="0"/>
          <w:sz w:val="32"/>
          <w:szCs w:val="32"/>
        </w:rPr>
        <w:t>选址应当在水流平缓、水深足够、坡岸稳定、视野开阔、适宜船舶停靠的地点，结合岸线资源、旅游资源、水路交通状况等综合确定，科学选址，合理分布，统筹数量，并且与危险物品生产、堆放场所之间的距离符合危险品管理相关规定</w:t>
      </w:r>
      <w:r>
        <w:rPr>
          <w:rFonts w:hint="eastAsia" w:ascii="方正仿宋_GBK" w:hAnsi="仿宋" w:eastAsia="方正仿宋_GBK" w:cs="仿宋"/>
          <w:snapToGrid w:val="0"/>
          <w:color w:val="auto"/>
          <w:kern w:val="0"/>
          <w:sz w:val="32"/>
          <w:szCs w:val="32"/>
          <w:lang w:eastAsia="zh-CN"/>
        </w:rPr>
        <w:t>；</w:t>
      </w:r>
      <w:r>
        <w:rPr>
          <w:rFonts w:hint="eastAsia" w:ascii="方正仿宋_GBK" w:hAnsi="仿宋" w:eastAsia="方正仿宋_GBK" w:cs="仿宋"/>
          <w:snapToGrid w:val="0"/>
          <w:color w:val="auto"/>
          <w:kern w:val="0"/>
          <w:sz w:val="32"/>
          <w:szCs w:val="32"/>
          <w:lang w:val="en-US" w:eastAsia="zh-CN"/>
        </w:rPr>
        <w:t>不得位于集中式饮用水水源地一级保护区内，与地表水考核断面（地表水自动监测设施）的距离应大于1公里。</w:t>
      </w:r>
    </w:p>
    <w:p w14:paraId="78DF4D2E">
      <w:pPr>
        <w:spacing w:line="540" w:lineRule="exact"/>
        <w:ind w:left="0" w:leftChars="0" w:firstLine="640" w:firstLineChars="200"/>
        <w:rPr>
          <w:rFonts w:ascii="方正仿宋_GBK" w:hAnsi="仿宋" w:cs="仿宋"/>
          <w:color w:val="auto"/>
          <w:szCs w:val="32"/>
        </w:rPr>
      </w:pPr>
      <w:r>
        <w:rPr>
          <w:rFonts w:hint="eastAsia" w:ascii="方正仿宋_GBK" w:hAnsi="仿宋" w:cs="仿宋"/>
          <w:color w:val="auto"/>
          <w:szCs w:val="32"/>
        </w:rPr>
        <w:t>第七条 【选址程序】新建、改建、扩建停靠站点，建设单位应当就拟建停靠站点的选址向各市（区）自然资源和规划部门提出申请，并提供建设单位基本概况、拟选址位置、拟选址周边情况、拟建停靠站点的规模、结构型式、安全环保设施设备与措施、运营模式等书面材料。</w:t>
      </w:r>
    </w:p>
    <w:p w14:paraId="65FBBE04">
      <w:pPr>
        <w:spacing w:line="540" w:lineRule="exact"/>
        <w:ind w:firstLine="640" w:firstLineChars="200"/>
        <w:rPr>
          <w:rFonts w:ascii="方正仿宋_GBK" w:hAnsi="仿宋" w:cs="仿宋"/>
          <w:strike/>
          <w:color w:val="auto"/>
          <w:szCs w:val="32"/>
        </w:rPr>
      </w:pPr>
      <w:r>
        <w:rPr>
          <w:rFonts w:hint="eastAsia" w:ascii="方正仿宋_GBK" w:hAnsi="仿宋" w:cs="仿宋"/>
          <w:color w:val="auto"/>
          <w:szCs w:val="32"/>
        </w:rPr>
        <w:t>自然资源和规划部门收到书面材料后，应当根据拟建停靠站点选址实际情况征求发展改革、交通运输、文广旅、水利、生态环境、农业农村、公安、应急管理、消防、市场监管、城市管理、数据管理、海事等部门（单位）和属地乡镇人民政府意见，各市（区）人民政府综合各方意见后作出明确的选址意见。</w:t>
      </w:r>
    </w:p>
    <w:p w14:paraId="15FC7D20">
      <w:pPr>
        <w:spacing w:line="540" w:lineRule="exact"/>
        <w:ind w:firstLine="640" w:firstLineChars="200"/>
        <w:rPr>
          <w:rFonts w:ascii="方正仿宋_GBK" w:hAnsi="仿宋" w:cs="仿宋"/>
          <w:color w:val="auto"/>
          <w:szCs w:val="32"/>
        </w:rPr>
      </w:pPr>
      <w:r>
        <w:rPr>
          <w:rFonts w:hint="eastAsia" w:ascii="方正仿宋_GBK" w:hAnsi="仿宋" w:cs="仿宋"/>
          <w:color w:val="auto"/>
          <w:szCs w:val="32"/>
        </w:rPr>
        <w:t>第八条 【建设要求】停靠站点建设应当符合国家有关设计规范和技术标准，规模及工艺设计应根据航道条件、停靠站点客运量、客流特性、船型、航线、航班、水位变化情况等综合确定，充分满足客运船舶靠泊要求，具备相应靠泊能力、旅客集散能力。</w:t>
      </w:r>
    </w:p>
    <w:p w14:paraId="13E5E611">
      <w:pPr>
        <w:spacing w:line="540" w:lineRule="exact"/>
        <w:ind w:firstLine="640" w:firstLineChars="200"/>
        <w:rPr>
          <w:rFonts w:ascii="方正仿宋_GBK" w:hAnsi="仿宋" w:cs="仿宋"/>
          <w:color w:val="auto"/>
          <w:szCs w:val="32"/>
        </w:rPr>
      </w:pPr>
      <w:r>
        <w:rPr>
          <w:rFonts w:hint="eastAsia" w:ascii="方正仿宋_GBK" w:hAnsi="仿宋" w:cs="仿宋"/>
          <w:color w:val="auto"/>
          <w:szCs w:val="32"/>
        </w:rPr>
        <w:t>停靠站点应当按照国家有关规定配备有效的安全、防污染、水电、照明、网络通讯、监控等设施设备。需要夜航靠泊的，还需配备照明设施、航标灯、信号灯等助航设施。配套设备设施应当与主体工程同时设计、同时施工、同时投入使用。</w:t>
      </w:r>
    </w:p>
    <w:p w14:paraId="73CB2279">
      <w:pPr>
        <w:spacing w:line="540" w:lineRule="exact"/>
        <w:ind w:firstLine="640" w:firstLineChars="200"/>
        <w:rPr>
          <w:rFonts w:ascii="方正仿宋_GBK" w:hAnsi="仿宋" w:cs="仿宋"/>
          <w:color w:val="auto"/>
          <w:szCs w:val="32"/>
        </w:rPr>
      </w:pPr>
      <w:r>
        <w:rPr>
          <w:rFonts w:hint="eastAsia" w:ascii="方正仿宋_GBK" w:hAnsi="仿宋" w:cs="仿宋"/>
          <w:color w:val="auto"/>
          <w:szCs w:val="32"/>
        </w:rPr>
        <w:t>第九条 【建设程序】新建、改建、扩建停靠站点应当履行以下基本建设程序：</w:t>
      </w:r>
    </w:p>
    <w:p w14:paraId="05D2F408">
      <w:pPr>
        <w:spacing w:line="540" w:lineRule="exact"/>
        <w:ind w:firstLine="640" w:firstLineChars="200"/>
        <w:rPr>
          <w:rFonts w:hint="eastAsia" w:ascii="方正仿宋_GBK" w:hAnsi="仿宋" w:eastAsia="方正仿宋_GBK" w:cs="仿宋"/>
          <w:strike/>
          <w:dstrike w:val="0"/>
          <w:snapToGrid w:val="0"/>
          <w:color w:val="auto"/>
          <w:kern w:val="0"/>
          <w:sz w:val="32"/>
          <w:szCs w:val="32"/>
        </w:rPr>
      </w:pPr>
      <w:r>
        <w:rPr>
          <w:rFonts w:hint="eastAsia" w:ascii="方正仿宋_GBK" w:hAnsi="仿宋" w:eastAsia="方正仿宋_GBK" w:cs="仿宋"/>
          <w:strike w:val="0"/>
          <w:dstrike w:val="0"/>
          <w:snapToGrid w:val="0"/>
          <w:color w:val="auto"/>
          <w:kern w:val="0"/>
          <w:sz w:val="32"/>
          <w:szCs w:val="32"/>
        </w:rPr>
        <w:t>（一）建设单位依照各市（区）人民政府的</w:t>
      </w:r>
      <w:r>
        <w:rPr>
          <w:rFonts w:hint="eastAsia" w:ascii="方正仿宋_GBK" w:hAnsi="仿宋" w:eastAsia="方正仿宋_GBK" w:cs="仿宋"/>
          <w:strike w:val="0"/>
          <w:dstrike w:val="0"/>
          <w:snapToGrid w:val="0"/>
          <w:color w:val="auto"/>
          <w:kern w:val="0"/>
          <w:sz w:val="32"/>
          <w:szCs w:val="32"/>
          <w:lang w:val="en-US" w:eastAsia="zh-CN"/>
        </w:rPr>
        <w:t>决策</w:t>
      </w:r>
      <w:r>
        <w:rPr>
          <w:rFonts w:hint="eastAsia" w:ascii="方正仿宋_GBK" w:hAnsi="仿宋" w:eastAsia="方正仿宋_GBK" w:cs="仿宋"/>
          <w:strike w:val="0"/>
          <w:dstrike w:val="0"/>
          <w:snapToGrid w:val="0"/>
          <w:color w:val="auto"/>
          <w:kern w:val="0"/>
          <w:sz w:val="32"/>
          <w:szCs w:val="32"/>
        </w:rPr>
        <w:t>意见，依法</w:t>
      </w:r>
      <w:r>
        <w:rPr>
          <w:rFonts w:hint="eastAsia" w:ascii="方正仿宋_GBK" w:hAnsi="仿宋" w:eastAsia="方正仿宋_GBK" w:cs="仿宋"/>
          <w:strike w:val="0"/>
          <w:dstrike w:val="0"/>
          <w:snapToGrid w:val="0"/>
          <w:color w:val="auto"/>
          <w:kern w:val="0"/>
          <w:sz w:val="32"/>
          <w:szCs w:val="32"/>
          <w:lang w:val="en-US" w:eastAsia="zh-CN"/>
        </w:rPr>
        <w:t>向相应主管部门</w:t>
      </w:r>
      <w:r>
        <w:rPr>
          <w:rFonts w:hint="eastAsia" w:ascii="方正仿宋_GBK" w:hAnsi="仿宋" w:eastAsia="方正仿宋_GBK" w:cs="仿宋"/>
          <w:strike w:val="0"/>
          <w:dstrike w:val="0"/>
          <w:snapToGrid w:val="0"/>
          <w:color w:val="auto"/>
          <w:kern w:val="0"/>
          <w:sz w:val="32"/>
          <w:szCs w:val="32"/>
        </w:rPr>
        <w:t>申办用地预审、涉河建设许可、通航安全评估、防洪影响评价、环境影响评价等前置手续；</w:t>
      </w:r>
    </w:p>
    <w:p w14:paraId="4C92278F">
      <w:pPr>
        <w:spacing w:line="540" w:lineRule="exact"/>
        <w:ind w:firstLine="640" w:firstLineChars="200"/>
        <w:rPr>
          <w:rFonts w:ascii="方正仿宋_GBK" w:hAnsi="仿宋" w:cs="仿宋"/>
          <w:szCs w:val="32"/>
        </w:rPr>
      </w:pPr>
      <w:r>
        <w:rPr>
          <w:rFonts w:hint="eastAsia" w:ascii="方正仿宋_GBK" w:hAnsi="仿宋" w:cs="仿宋"/>
          <w:szCs w:val="32"/>
        </w:rPr>
        <w:t>（二）建设单位向投资主管部门办理项目审批、核准或备案相关手续；</w:t>
      </w:r>
    </w:p>
    <w:p w14:paraId="692BAFD3">
      <w:pPr>
        <w:spacing w:line="540" w:lineRule="exact"/>
        <w:ind w:firstLine="640" w:firstLineChars="200"/>
        <w:rPr>
          <w:rFonts w:ascii="方正仿宋_GBK" w:hAnsi="仿宋" w:cs="仿宋"/>
          <w:szCs w:val="32"/>
        </w:rPr>
      </w:pPr>
      <w:r>
        <w:rPr>
          <w:rFonts w:hint="eastAsia" w:ascii="方正仿宋_GBK" w:hAnsi="仿宋" w:cs="仿宋"/>
          <w:szCs w:val="32"/>
        </w:rPr>
        <w:t>（三）建设单位委托具有资质的设计单位开展停靠站点的施工图设计（与初步设计合并），审查合格后向所在地市（区）交通运输主管部门或市（区）人民政府指定的部门报备；</w:t>
      </w:r>
    </w:p>
    <w:p w14:paraId="4FEB9944">
      <w:pPr>
        <w:spacing w:line="540" w:lineRule="exact"/>
        <w:ind w:firstLine="640" w:firstLineChars="200"/>
        <w:rPr>
          <w:rFonts w:ascii="方正仿宋_GBK" w:hAnsi="仿宋" w:cs="仿宋"/>
          <w:szCs w:val="32"/>
        </w:rPr>
      </w:pPr>
      <w:r>
        <w:rPr>
          <w:rFonts w:hint="eastAsia" w:ascii="方正仿宋_GBK" w:hAnsi="仿宋" w:cs="仿宋"/>
          <w:szCs w:val="32"/>
        </w:rPr>
        <w:t>（四）建设单位根据经审查通过的施工图，开展项目监理、施工招标工作并履行质量安全监督手续。</w:t>
      </w:r>
    </w:p>
    <w:p w14:paraId="6BFBF60A">
      <w:pPr>
        <w:spacing w:line="540" w:lineRule="exact"/>
        <w:ind w:firstLine="640" w:firstLineChars="200"/>
        <w:rPr>
          <w:rFonts w:ascii="方正仿宋_GBK" w:hAnsi="仿宋" w:cs="仿宋"/>
          <w:szCs w:val="32"/>
        </w:rPr>
      </w:pPr>
      <w:r>
        <w:rPr>
          <w:rFonts w:hint="eastAsia" w:ascii="方正仿宋_GBK" w:hAnsi="仿宋" w:cs="仿宋"/>
          <w:szCs w:val="32"/>
        </w:rPr>
        <w:t>第十条 【竣工程序】停靠站点项目建设完成后，应当开展相关专项验收及竣工验收。</w:t>
      </w:r>
    </w:p>
    <w:p w14:paraId="0E117429">
      <w:pPr>
        <w:spacing w:line="540" w:lineRule="exact"/>
        <w:ind w:firstLine="640" w:firstLineChars="200"/>
        <w:rPr>
          <w:rFonts w:ascii="方正仿宋_GBK" w:hAnsi="仿宋" w:cs="仿宋"/>
          <w:szCs w:val="32"/>
        </w:rPr>
      </w:pPr>
      <w:r>
        <w:rPr>
          <w:rFonts w:hint="eastAsia" w:ascii="方正仿宋_GBK" w:hAnsi="仿宋" w:cs="仿宋"/>
          <w:szCs w:val="32"/>
        </w:rPr>
        <w:t>属于政府投资的，由项目单位向所在地市（区）交通运输主管部门或市（区）人民政府指定的部门申请竣工验收。属于企业投资的，由项目单位组织竣工验收，邀请设计、施工、监理以及质量安全监督单位和行业专家参加，出具验收报告，并向所在地市（区）交通运输主管部门或市（区）人民政府指定的部门报备。停靠站点经验收合格后，方可投入使用。</w:t>
      </w:r>
    </w:p>
    <w:p w14:paraId="77F1C9CB">
      <w:pPr>
        <w:spacing w:line="540" w:lineRule="exact"/>
        <w:ind w:firstLine="640" w:firstLineChars="200"/>
        <w:rPr>
          <w:rFonts w:ascii="方正仿宋_GBK" w:hAnsi="仿宋" w:cs="仿宋"/>
          <w:color w:val="FF0000"/>
          <w:szCs w:val="32"/>
        </w:rPr>
      </w:pPr>
      <w:r>
        <w:rPr>
          <w:rFonts w:hint="eastAsia" w:ascii="方正仿宋_GBK" w:hAnsi="仿宋" w:cs="仿宋"/>
          <w:szCs w:val="32"/>
        </w:rPr>
        <w:t>第十一条 【历史遗留问题处理】本办法实施前，已经建成运营的停靠站点，不符合本办法要求的，运营单位应当委托有相应资质条件的机构开展安全、环保、质量、防洪等方面的评估，综合评估合格的，向所在地市（区）交通运输主管部门或市（区）人民政府指定的部门提交书面报告。经评估发现停靠站点不满足使用要求的，停靠站点运营单位应当立即停运。</w:t>
      </w:r>
    </w:p>
    <w:p w14:paraId="67D97B66">
      <w:pPr>
        <w:spacing w:line="540" w:lineRule="exact"/>
        <w:ind w:firstLine="640" w:firstLineChars="200"/>
        <w:rPr>
          <w:rFonts w:ascii="方正仿宋_GBK" w:hAnsi="宋体" w:cs="宋体"/>
          <w:szCs w:val="32"/>
        </w:rPr>
      </w:pPr>
    </w:p>
    <w:p w14:paraId="45748E42">
      <w:pPr>
        <w:spacing w:line="540" w:lineRule="exact"/>
        <w:ind w:firstLine="640" w:firstLineChars="200"/>
        <w:jc w:val="center"/>
        <w:rPr>
          <w:rFonts w:ascii="方正黑体_GBK" w:hAnsi="宋体" w:eastAsia="方正黑体_GBK" w:cs="宋体"/>
          <w:szCs w:val="32"/>
        </w:rPr>
      </w:pPr>
      <w:r>
        <w:rPr>
          <w:rFonts w:hint="eastAsia" w:ascii="方正黑体_GBK" w:hAnsi="宋体" w:eastAsia="方正黑体_GBK" w:cs="宋体"/>
          <w:szCs w:val="32"/>
        </w:rPr>
        <w:t>第三章 运营和监督管理</w:t>
      </w:r>
    </w:p>
    <w:p w14:paraId="3C098789">
      <w:pPr>
        <w:spacing w:line="540" w:lineRule="exact"/>
        <w:ind w:firstLine="640" w:firstLineChars="200"/>
        <w:jc w:val="center"/>
        <w:rPr>
          <w:rFonts w:ascii="方正黑体_GBK" w:hAnsi="宋体" w:eastAsia="方正黑体_GBK" w:cs="宋体"/>
          <w:szCs w:val="32"/>
        </w:rPr>
      </w:pPr>
    </w:p>
    <w:p w14:paraId="36A25BFD">
      <w:pPr>
        <w:spacing w:line="540" w:lineRule="exact"/>
        <w:ind w:firstLine="640" w:firstLineChars="200"/>
        <w:rPr>
          <w:rFonts w:ascii="方正仿宋_GBK" w:hAnsi="仿宋" w:cs="仿宋"/>
          <w:szCs w:val="32"/>
        </w:rPr>
      </w:pPr>
      <w:r>
        <w:rPr>
          <w:rFonts w:hint="eastAsia" w:ascii="方正仿宋_GBK" w:hAnsi="仿宋" w:cs="仿宋"/>
          <w:szCs w:val="32"/>
        </w:rPr>
        <w:t>第十二条 【运营管理制度和人员管理要求】停靠站点运营单位应当建立健全安全生产责任制度、安全生产管理制度、操作规程、应急预案以及防污染制度等各项管理制度，配备专业技术人员和管理人员，保证客运船舶船靠泊和人员上下及候船的安全、秩序。</w:t>
      </w:r>
    </w:p>
    <w:p w14:paraId="4CE9D1F5">
      <w:pPr>
        <w:spacing w:line="540" w:lineRule="exact"/>
        <w:ind w:firstLine="640" w:firstLineChars="200"/>
        <w:rPr>
          <w:rFonts w:ascii="方正仿宋_GBK" w:hAnsi="仿宋" w:cs="仿宋"/>
          <w:szCs w:val="32"/>
        </w:rPr>
      </w:pPr>
      <w:r>
        <w:rPr>
          <w:rFonts w:hint="eastAsia" w:ascii="方正仿宋_GBK" w:hAnsi="仿宋" w:cs="仿宋"/>
          <w:szCs w:val="32"/>
        </w:rPr>
        <w:t>停靠站点工作人员上岗前应当经过岗前培训教育，掌握有关法律法规及规章的规定和本单位内部管理制度、操作规程和应急预案，以及必要的应急救护常识。</w:t>
      </w:r>
    </w:p>
    <w:p w14:paraId="38E86CAE">
      <w:pPr>
        <w:spacing w:line="540" w:lineRule="exact"/>
        <w:ind w:firstLine="640" w:firstLineChars="200"/>
        <w:rPr>
          <w:rFonts w:ascii="方正仿宋_GBK" w:hAnsi="仿宋" w:cs="仿宋"/>
          <w:szCs w:val="32"/>
        </w:rPr>
      </w:pPr>
      <w:r>
        <w:rPr>
          <w:rFonts w:hint="eastAsia" w:ascii="方正仿宋_GBK" w:hAnsi="仿宋" w:cs="仿宋"/>
          <w:szCs w:val="32"/>
        </w:rPr>
        <w:t>停靠站点运营单位应当定期开展人员落水、污染防治、人员疏散等应急演练，提高应急处置能力。</w:t>
      </w:r>
    </w:p>
    <w:p w14:paraId="12551D98">
      <w:pPr>
        <w:spacing w:line="540" w:lineRule="exact"/>
        <w:ind w:firstLine="640" w:firstLineChars="200"/>
        <w:rPr>
          <w:rFonts w:ascii="方正仿宋_GBK" w:hAnsi="仿宋" w:cs="仿宋"/>
          <w:szCs w:val="32"/>
        </w:rPr>
      </w:pPr>
      <w:r>
        <w:rPr>
          <w:rFonts w:hint="eastAsia" w:ascii="方正仿宋_GBK" w:hAnsi="仿宋" w:cs="仿宋"/>
          <w:szCs w:val="32"/>
        </w:rPr>
        <w:t>第十三条 【运营主体与相关方管理】停靠站点运营单位与客运船舶运营单位为不同主体的，运营单位应当与客运船舶运营单位签订客运船舶靠泊和人员上下管理协议，建立人员上、下船安全检查制度，明确双方职责和义务。</w:t>
      </w:r>
    </w:p>
    <w:p w14:paraId="7EB9B016">
      <w:pPr>
        <w:spacing w:line="540" w:lineRule="exact"/>
        <w:ind w:firstLine="640" w:firstLineChars="200"/>
        <w:rPr>
          <w:rFonts w:ascii="方正仿宋_GBK" w:hAnsi="仿宋" w:cs="仿宋"/>
          <w:szCs w:val="32"/>
        </w:rPr>
      </w:pPr>
      <w:r>
        <w:rPr>
          <w:rFonts w:hint="eastAsia" w:ascii="方正仿宋_GBK" w:hAnsi="仿宋" w:cs="仿宋"/>
          <w:szCs w:val="32"/>
        </w:rPr>
        <w:t>第十四条 【停靠站点运营要求】停靠站点运营单位应依法接受相关职能部门的监督管理。做好停靠站点设施设备的日常监测维护保养，使其保持正常状态，并做好汛期及恶劣天气条件下船舶靠泊管理。</w:t>
      </w:r>
    </w:p>
    <w:p w14:paraId="43A551FD">
      <w:pPr>
        <w:spacing w:line="540" w:lineRule="exact"/>
        <w:ind w:firstLine="640" w:firstLineChars="200"/>
        <w:rPr>
          <w:rFonts w:ascii="方正仿宋_GBK" w:hAnsi="仿宋" w:cs="仿宋"/>
          <w:szCs w:val="32"/>
        </w:rPr>
      </w:pPr>
      <w:r>
        <w:rPr>
          <w:rFonts w:hint="eastAsia" w:ascii="方正仿宋_GBK" w:hAnsi="仿宋" w:cs="仿宋"/>
          <w:szCs w:val="32"/>
        </w:rPr>
        <w:t>停靠站点运营单位应当按照设计的功能使用停靠站点及附属设施设备，并禁止下列活动：</w:t>
      </w:r>
    </w:p>
    <w:p w14:paraId="0401B7E1">
      <w:pPr>
        <w:spacing w:line="540" w:lineRule="exact"/>
        <w:ind w:firstLine="640" w:firstLineChars="200"/>
        <w:rPr>
          <w:rFonts w:ascii="方正仿宋_GBK" w:hAnsi="仿宋" w:cs="仿宋"/>
          <w:szCs w:val="32"/>
        </w:rPr>
      </w:pPr>
      <w:r>
        <w:rPr>
          <w:rFonts w:hint="eastAsia" w:ascii="方正仿宋_GBK" w:hAnsi="仿宋" w:cs="仿宋"/>
          <w:szCs w:val="32"/>
        </w:rPr>
        <w:t>（一）为不具备合法手续的船舶提供靠泊服务；</w:t>
      </w:r>
    </w:p>
    <w:p w14:paraId="4EFFF36F">
      <w:pPr>
        <w:spacing w:line="540" w:lineRule="exact"/>
        <w:ind w:firstLine="640" w:firstLineChars="200"/>
        <w:rPr>
          <w:rFonts w:ascii="方正仿宋_GBK" w:hAnsi="仿宋" w:cs="仿宋"/>
          <w:szCs w:val="32"/>
        </w:rPr>
      </w:pPr>
      <w:r>
        <w:rPr>
          <w:rFonts w:hint="eastAsia" w:ascii="方正仿宋_GBK" w:hAnsi="仿宋" w:cs="仿宋"/>
          <w:szCs w:val="32"/>
        </w:rPr>
        <w:t xml:space="preserve">（二）超出停靠站点设计功能或规模船舶靠泊； </w:t>
      </w:r>
    </w:p>
    <w:p w14:paraId="0E7E9186">
      <w:pPr>
        <w:spacing w:line="540" w:lineRule="exact"/>
        <w:ind w:firstLine="640" w:firstLineChars="200"/>
        <w:rPr>
          <w:rFonts w:ascii="方正仿宋_GBK" w:hAnsi="仿宋" w:cs="仿宋"/>
          <w:szCs w:val="32"/>
        </w:rPr>
      </w:pPr>
      <w:r>
        <w:rPr>
          <w:rFonts w:hint="eastAsia" w:ascii="方正仿宋_GBK" w:hAnsi="仿宋" w:cs="仿宋"/>
          <w:szCs w:val="32"/>
        </w:rPr>
        <w:t xml:space="preserve">（三）垂钓和捕捞； </w:t>
      </w:r>
    </w:p>
    <w:p w14:paraId="0984D6E8">
      <w:pPr>
        <w:spacing w:line="540" w:lineRule="exact"/>
        <w:ind w:firstLine="640" w:firstLineChars="200"/>
        <w:rPr>
          <w:rFonts w:ascii="方正仿宋_GBK" w:hAnsi="仿宋" w:cs="仿宋"/>
          <w:szCs w:val="32"/>
        </w:rPr>
      </w:pPr>
      <w:r>
        <w:rPr>
          <w:rFonts w:hint="eastAsia" w:ascii="方正仿宋_GBK" w:hAnsi="仿宋" w:cs="仿宋"/>
          <w:szCs w:val="32"/>
        </w:rPr>
        <w:t>（四）其他危及停靠站点运营和游客安全的行为。</w:t>
      </w:r>
    </w:p>
    <w:p w14:paraId="74AFDA9B">
      <w:pPr>
        <w:spacing w:line="540" w:lineRule="exact"/>
        <w:ind w:firstLine="640" w:firstLineChars="200"/>
        <w:rPr>
          <w:rFonts w:ascii="方正仿宋_GBK" w:hAnsi="仿宋" w:cs="仿宋"/>
          <w:szCs w:val="32"/>
        </w:rPr>
      </w:pPr>
      <w:r>
        <w:rPr>
          <w:rFonts w:hint="eastAsia" w:ascii="方正仿宋_GBK" w:hAnsi="仿宋" w:cs="仿宋"/>
          <w:szCs w:val="32"/>
        </w:rPr>
        <w:t>第十五条 【监督管理】各市（区）人民政府应当对符合规定的停靠站点进行公示，设立投诉举报电话和电子信箱，对投诉举报信息进行调查核实并依法处理。</w:t>
      </w:r>
    </w:p>
    <w:p w14:paraId="49F550D8">
      <w:pPr>
        <w:spacing w:line="540" w:lineRule="exact"/>
        <w:ind w:firstLine="640" w:firstLineChars="200"/>
        <w:rPr>
          <w:rFonts w:ascii="方正仿宋_GBK" w:hAnsi="仿宋" w:cs="仿宋"/>
          <w:szCs w:val="32"/>
        </w:rPr>
      </w:pPr>
      <w:r>
        <w:rPr>
          <w:rFonts w:hint="eastAsia" w:ascii="方正仿宋_GBK" w:hAnsi="仿宋" w:cs="仿宋"/>
          <w:szCs w:val="32"/>
        </w:rPr>
        <w:t>各市（区）人民政府应当组织开展联合检查；各级相关部门应当按照各自职责和分工，加强对本行政区域内的停靠站点日常监督检查。对监督检查中发现的问题，要求停靠站点运营单位立即整改。</w:t>
      </w:r>
    </w:p>
    <w:p w14:paraId="65EC5A5D">
      <w:pPr>
        <w:spacing w:line="540" w:lineRule="exact"/>
        <w:ind w:firstLine="640" w:firstLineChars="200"/>
        <w:jc w:val="center"/>
        <w:rPr>
          <w:rFonts w:ascii="方正黑体_GBK" w:hAnsi="宋体" w:eastAsia="方正黑体_GBK" w:cs="宋体"/>
          <w:szCs w:val="32"/>
        </w:rPr>
      </w:pPr>
      <w:r>
        <w:rPr>
          <w:rFonts w:hint="eastAsia" w:ascii="方正黑体_GBK" w:hAnsi="宋体" w:eastAsia="方正黑体_GBK" w:cs="宋体"/>
          <w:szCs w:val="32"/>
        </w:rPr>
        <w:t>第四章 附 则</w:t>
      </w:r>
    </w:p>
    <w:p w14:paraId="528C96DC">
      <w:pPr>
        <w:spacing w:line="540" w:lineRule="exact"/>
        <w:ind w:firstLine="640" w:firstLineChars="200"/>
        <w:jc w:val="center"/>
        <w:rPr>
          <w:rFonts w:ascii="方正黑体_GBK" w:hAnsi="宋体" w:eastAsia="方正黑体_GBK" w:cs="宋体"/>
          <w:szCs w:val="32"/>
        </w:rPr>
      </w:pPr>
    </w:p>
    <w:p w14:paraId="1BAFCFC4">
      <w:pPr>
        <w:spacing w:line="540" w:lineRule="exact"/>
        <w:ind w:firstLine="640" w:firstLineChars="200"/>
        <w:rPr>
          <w:szCs w:val="32"/>
        </w:rPr>
      </w:pPr>
      <w:r>
        <w:rPr>
          <w:szCs w:val="32"/>
        </w:rPr>
        <w:t>第十六条  【施行时间】本办法自2025年 月 日起施行，有效期至2030年 月 日。</w:t>
      </w:r>
    </w:p>
    <w:p w14:paraId="3AFF323A">
      <w:pPr>
        <w:spacing w:before="73" w:line="219" w:lineRule="auto"/>
        <w:ind w:firstLine="0"/>
        <w:rPr>
          <w:rFonts w:ascii="仿宋" w:hAnsi="仿宋" w:eastAsia="仿宋" w:cs="仿宋"/>
          <w:spacing w:val="-10"/>
          <w:szCs w:val="32"/>
        </w:rPr>
      </w:pPr>
    </w:p>
    <w:p w14:paraId="3249143F">
      <w:pPr>
        <w:spacing w:before="73" w:line="219" w:lineRule="auto"/>
        <w:ind w:firstLine="0"/>
        <w:rPr>
          <w:rFonts w:ascii="仿宋" w:hAnsi="仿宋" w:eastAsia="仿宋" w:cs="仿宋"/>
          <w:spacing w:val="-10"/>
          <w:szCs w:val="32"/>
        </w:rPr>
      </w:pPr>
    </w:p>
    <w:p w14:paraId="736F04A9">
      <w:pPr>
        <w:spacing w:before="73" w:line="219" w:lineRule="auto"/>
        <w:ind w:firstLine="0"/>
        <w:rPr>
          <w:rFonts w:ascii="仿宋" w:hAnsi="仿宋" w:eastAsia="仿宋" w:cs="仿宋"/>
          <w:spacing w:val="-10"/>
          <w:szCs w:val="32"/>
        </w:rPr>
      </w:pPr>
    </w:p>
    <w:p w14:paraId="61A22164">
      <w:pPr>
        <w:spacing w:before="73" w:line="219" w:lineRule="auto"/>
        <w:ind w:firstLine="0"/>
        <w:rPr>
          <w:rFonts w:ascii="仿宋" w:hAnsi="仿宋" w:eastAsia="仿宋" w:cs="仿宋"/>
          <w:spacing w:val="-10"/>
          <w:szCs w:val="32"/>
        </w:rPr>
      </w:pPr>
    </w:p>
    <w:p w14:paraId="024052E0">
      <w:pPr>
        <w:spacing w:before="73" w:line="219" w:lineRule="auto"/>
        <w:ind w:firstLine="0"/>
        <w:rPr>
          <w:rFonts w:ascii="仿宋" w:hAnsi="仿宋" w:eastAsia="仿宋" w:cs="仿宋"/>
          <w:spacing w:val="-10"/>
          <w:szCs w:val="32"/>
        </w:rPr>
      </w:pPr>
    </w:p>
    <w:p w14:paraId="5479C3D5">
      <w:pPr>
        <w:spacing w:before="73" w:line="219" w:lineRule="auto"/>
        <w:ind w:firstLine="0"/>
        <w:rPr>
          <w:rFonts w:ascii="仿宋" w:hAnsi="仿宋" w:eastAsia="仿宋" w:cs="仿宋"/>
          <w:spacing w:val="-10"/>
          <w:szCs w:val="32"/>
        </w:rPr>
      </w:pPr>
    </w:p>
    <w:p w14:paraId="6AD3B397">
      <w:pPr>
        <w:spacing w:before="73" w:line="219" w:lineRule="auto"/>
        <w:ind w:firstLine="0"/>
        <w:rPr>
          <w:rFonts w:ascii="仿宋" w:hAnsi="仿宋" w:eastAsia="仿宋" w:cs="仿宋"/>
          <w:spacing w:val="-10"/>
          <w:szCs w:val="32"/>
        </w:rPr>
      </w:pPr>
    </w:p>
    <w:p w14:paraId="288C00F9">
      <w:pPr>
        <w:spacing w:before="73" w:line="219" w:lineRule="auto"/>
        <w:ind w:firstLine="0"/>
        <w:rPr>
          <w:rFonts w:ascii="仿宋" w:hAnsi="仿宋" w:eastAsia="仿宋" w:cs="仿宋"/>
          <w:spacing w:val="-10"/>
          <w:szCs w:val="32"/>
        </w:rPr>
      </w:pPr>
    </w:p>
    <w:p w14:paraId="523136EF">
      <w:pPr>
        <w:spacing w:before="73" w:line="219" w:lineRule="auto"/>
        <w:ind w:firstLine="0"/>
        <w:rPr>
          <w:rFonts w:ascii="仿宋" w:hAnsi="仿宋" w:eastAsia="仿宋" w:cs="仿宋"/>
          <w:spacing w:val="-10"/>
          <w:szCs w:val="32"/>
        </w:rPr>
      </w:pPr>
    </w:p>
    <w:p w14:paraId="2408C336">
      <w:pPr>
        <w:spacing w:before="73" w:line="219" w:lineRule="auto"/>
        <w:ind w:firstLine="0"/>
        <w:rPr>
          <w:rFonts w:ascii="仿宋" w:hAnsi="仿宋" w:eastAsia="仿宋" w:cs="仿宋"/>
          <w:spacing w:val="-10"/>
          <w:szCs w:val="32"/>
        </w:rPr>
      </w:pPr>
    </w:p>
    <w:p w14:paraId="5A7482A2">
      <w:pPr>
        <w:ind w:left="0" w:leftChars="0" w:firstLine="0" w:firstLineChars="0"/>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5117631"/>
      <w:docPartObj>
        <w:docPartGallery w:val="autotext"/>
      </w:docPartObj>
    </w:sdtPr>
    <w:sdtContent>
      <w:p w14:paraId="2199E9F9">
        <w:pPr>
          <w:pStyle w:val="3"/>
          <w:jc w:val="center"/>
        </w:pPr>
        <w:r>
          <w:fldChar w:fldCharType="begin"/>
        </w:r>
        <w:r>
          <w:instrText xml:space="preserve">PAGE   \* MERGEFORMAT</w:instrText>
        </w:r>
        <w:r>
          <w:fldChar w:fldCharType="separate"/>
        </w:r>
        <w:r>
          <w:rPr>
            <w:lang w:val="zh-CN"/>
          </w:rPr>
          <w:t>9</w:t>
        </w:r>
        <w:r>
          <w:fldChar w:fldCharType="end"/>
        </w:r>
      </w:p>
    </w:sdtContent>
  </w:sdt>
  <w:p w14:paraId="3972D256">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9A"/>
    <w:rsid w:val="001A759A"/>
    <w:rsid w:val="0027763D"/>
    <w:rsid w:val="0030354D"/>
    <w:rsid w:val="0035342E"/>
    <w:rsid w:val="00545C99"/>
    <w:rsid w:val="00617C00"/>
    <w:rsid w:val="00711184"/>
    <w:rsid w:val="00772D24"/>
    <w:rsid w:val="008A3547"/>
    <w:rsid w:val="008C5BE1"/>
    <w:rsid w:val="00925753"/>
    <w:rsid w:val="009808AA"/>
    <w:rsid w:val="009965D6"/>
    <w:rsid w:val="00E7734B"/>
    <w:rsid w:val="00FB1451"/>
    <w:rsid w:val="13284F5A"/>
    <w:rsid w:val="1A1B135F"/>
    <w:rsid w:val="1EBA2EF4"/>
    <w:rsid w:val="218B6DCA"/>
    <w:rsid w:val="2FFD0E93"/>
    <w:rsid w:val="35142D24"/>
    <w:rsid w:val="36BB3856"/>
    <w:rsid w:val="377834F5"/>
    <w:rsid w:val="3C7F70D3"/>
    <w:rsid w:val="3E7A3FF6"/>
    <w:rsid w:val="40493C80"/>
    <w:rsid w:val="48BB1493"/>
    <w:rsid w:val="4972249A"/>
    <w:rsid w:val="4FDC066D"/>
    <w:rsid w:val="56273479"/>
    <w:rsid w:val="5DE96504"/>
    <w:rsid w:val="5DF8652A"/>
    <w:rsid w:val="67486CC5"/>
    <w:rsid w:val="6FB74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kern w:val="0"/>
      <w:sz w:val="32"/>
      <w:szCs w:val="20"/>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line="240" w:lineRule="auto"/>
    </w:pPr>
    <w:rPr>
      <w:sz w:val="18"/>
      <w:szCs w:val="18"/>
    </w:rPr>
  </w:style>
  <w:style w:type="paragraph" w:styleId="3">
    <w:name w:val="footer"/>
    <w:basedOn w:val="1"/>
    <w:link w:val="10"/>
    <w:unhideWhenUsed/>
    <w:qFormat/>
    <w:uiPriority w:val="99"/>
    <w:pPr>
      <w:tabs>
        <w:tab w:val="center" w:pos="4153"/>
        <w:tab w:val="right" w:pos="8306"/>
      </w:tabs>
      <w:spacing w:line="240" w:lineRule="atLeast"/>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pacing w:line="240" w:lineRule="atLeast"/>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99"/>
    <w:rPr>
      <w:rFonts w:ascii="Times New Roman" w:hAnsi="Times New Roman" w:eastAsia="方正仿宋_GBK" w:cs="Times New Roman"/>
      <w:snapToGrid w:val="0"/>
      <w:kern w:val="0"/>
      <w:sz w:val="18"/>
      <w:szCs w:val="18"/>
    </w:rPr>
  </w:style>
  <w:style w:type="character" w:customStyle="1" w:styleId="10">
    <w:name w:val="页脚 Char"/>
    <w:basedOn w:val="6"/>
    <w:link w:val="3"/>
    <w:qFormat/>
    <w:uiPriority w:val="99"/>
    <w:rPr>
      <w:rFonts w:ascii="Times New Roman" w:hAnsi="Times New Roman" w:eastAsia="方正仿宋_GBK" w:cs="Times New Roman"/>
      <w:snapToGrid w:val="0"/>
      <w:kern w:val="0"/>
      <w:sz w:val="18"/>
      <w:szCs w:val="18"/>
    </w:rPr>
  </w:style>
  <w:style w:type="character" w:customStyle="1" w:styleId="11">
    <w:name w:val="批注框文本 Char"/>
    <w:basedOn w:val="6"/>
    <w:link w:val="2"/>
    <w:semiHidden/>
    <w:qFormat/>
    <w:uiPriority w:val="99"/>
    <w:rPr>
      <w:rFonts w:ascii="Times New Roman" w:hAnsi="Times New Roman" w:eastAsia="方正仿宋_GBK" w:cs="Times New Roman"/>
      <w:snapToGrid w:val="0"/>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9D136-F0B2-46D5-964A-3B39DE9217A8}">
  <ds:schemaRefs/>
</ds:datastoreItem>
</file>

<file path=docProps/app.xml><?xml version="1.0" encoding="utf-8"?>
<Properties xmlns="http://schemas.openxmlformats.org/officeDocument/2006/extended-properties" xmlns:vt="http://schemas.openxmlformats.org/officeDocument/2006/docPropsVTypes">
  <Template>Normal</Template>
  <Pages>6</Pages>
  <Words>2776</Words>
  <Characters>2782</Characters>
  <Lines>25</Lines>
  <Paragraphs>7</Paragraphs>
  <TotalTime>6</TotalTime>
  <ScaleCrop>false</ScaleCrop>
  <LinksUpToDate>false</LinksUpToDate>
  <CharactersWithSpaces>2811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2025-05-20T07:15:00Z</dcterms:created>
  <dc:creator>LENOVO</dc:creator>
  <cp:lastModifiedBy>WPS_346310565</cp:lastModifiedBy>
  <cp:lastPrinted>2025-05-20T08:30:00Z</cp:lastPrinted>
  <dcterms:modified xsi:type="dcterms:W3CDTF">2025-06-20T07:56:06Z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eyJoZGlkIjoiMzU4MDE0MDFhYzU2ZDhjMTQ3OTBhNzg1ZWFmYmNjNDEiLCJ1c2VySWQiOiIzNDYzMTA1NjUifQ==</vt:lpwstr>
  </property>
  <property fmtid="{D5CDD505-2E9C-101B-9397-08002B2CF9AE}" pid="3" name="KSOProductBuildVer">
    <vt:lpwstr>2052-12.1.0.21541</vt:lpwstr>
  </property>
  <property fmtid="{D5CDD505-2E9C-101B-9397-08002B2CF9AE}" pid="4" name="ICV">
    <vt:lpwstr>A7F1DD2F8BA54A82A28562F3BF21FDF8_12</vt:lpwstr>
  </property>
</Properties>
</file>