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7AFCF">
      <w:pPr>
        <w:keepNext w:val="0"/>
        <w:keepLines w:val="0"/>
        <w:widowControl/>
        <w:suppressLineNumbers w:val="0"/>
        <w:jc w:val="center"/>
        <w:rPr>
          <w:rFonts w:hint="eastAsia" w:ascii="方正小标宋_GBK" w:hAnsi="方正小标宋_GBK" w:eastAsia="方正小标宋_GBK" w:cs="方正小标宋_GBK"/>
          <w:color w:val="000000"/>
          <w:kern w:val="0"/>
          <w:sz w:val="44"/>
          <w:szCs w:val="44"/>
          <w:u w:val="none"/>
          <w:lang w:val="en-US" w:eastAsia="zh-CN" w:bidi="ar"/>
        </w:rPr>
      </w:pPr>
    </w:p>
    <w:p w14:paraId="2DD313B7">
      <w:pPr>
        <w:keepNext w:val="0"/>
        <w:keepLines w:val="0"/>
        <w:widowControl/>
        <w:suppressLineNumbers w:val="0"/>
        <w:jc w:val="center"/>
        <w:rPr>
          <w:rFonts w:hint="eastAsia" w:ascii="方正小标宋_GBK" w:hAnsi="方正小标宋_GBK" w:eastAsia="方正小标宋_GBK" w:cs="方正小标宋_GBK"/>
          <w:color w:val="000000"/>
          <w:kern w:val="0"/>
          <w:sz w:val="44"/>
          <w:szCs w:val="44"/>
          <w:u w:val="none"/>
          <w:lang w:val="en-US" w:eastAsia="zh-CN" w:bidi="ar"/>
        </w:rPr>
      </w:pPr>
      <w:r>
        <w:rPr>
          <w:rFonts w:hint="eastAsia" w:ascii="方正小标宋_GBK" w:hAnsi="方正小标宋_GBK" w:eastAsia="方正小标宋_GBK" w:cs="方正小标宋_GBK"/>
          <w:color w:val="000000"/>
          <w:kern w:val="0"/>
          <w:sz w:val="44"/>
          <w:szCs w:val="44"/>
          <w:u w:val="none"/>
          <w:lang w:val="en-US" w:eastAsia="zh-CN" w:bidi="ar"/>
        </w:rPr>
        <w:t>泰州市区“烂尾楼”项目处置办法</w:t>
      </w:r>
    </w:p>
    <w:p w14:paraId="30617BC9">
      <w:pPr>
        <w:keepNext w:val="0"/>
        <w:keepLines w:val="0"/>
        <w:widowControl/>
        <w:suppressLineNumbers w:val="0"/>
        <w:jc w:val="center"/>
        <w:rPr>
          <w:rFonts w:hint="eastAsia" w:ascii="方正楷体_GBK" w:hAnsi="方正楷体_GBK" w:eastAsia="方正楷体_GBK" w:cs="方正楷体_GBK"/>
          <w:sz w:val="32"/>
          <w:szCs w:val="32"/>
          <w:u w:val="none"/>
        </w:rPr>
      </w:pPr>
      <w:r>
        <w:rPr>
          <w:rFonts w:hint="eastAsia" w:ascii="方正楷体_GBK" w:hAnsi="方正楷体_GBK" w:eastAsia="方正楷体_GBK" w:cs="方正楷体_GBK"/>
          <w:color w:val="000000"/>
          <w:kern w:val="0"/>
          <w:sz w:val="32"/>
          <w:szCs w:val="32"/>
          <w:u w:val="none"/>
          <w:lang w:val="en-US" w:eastAsia="zh-CN" w:bidi="ar"/>
        </w:rPr>
        <w:t>（公开征求意见稿）</w:t>
      </w:r>
    </w:p>
    <w:p w14:paraId="536AFF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color w:val="000000"/>
          <w:kern w:val="0"/>
          <w:sz w:val="32"/>
          <w:szCs w:val="32"/>
          <w:u w:val="none"/>
          <w:lang w:val="en-US" w:eastAsia="zh-CN" w:bidi="ar"/>
        </w:rPr>
      </w:pPr>
    </w:p>
    <w:p w14:paraId="231FC45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color w:val="000000"/>
          <w:kern w:val="0"/>
          <w:sz w:val="32"/>
          <w:szCs w:val="32"/>
          <w:u w:val="none"/>
          <w:lang w:val="en-US" w:eastAsia="zh-CN" w:bidi="ar"/>
        </w:rPr>
      </w:pPr>
      <w:r>
        <w:rPr>
          <w:rFonts w:hint="eastAsia" w:ascii="方正黑体_GBK" w:hAnsi="方正黑体_GBK" w:eastAsia="方正黑体_GBK" w:cs="方正黑体_GBK"/>
          <w:color w:val="000000"/>
          <w:kern w:val="0"/>
          <w:sz w:val="32"/>
          <w:szCs w:val="32"/>
          <w:u w:val="none"/>
          <w:lang w:val="en-US" w:eastAsia="zh-CN" w:bidi="ar"/>
        </w:rPr>
        <w:t>第一章  总 则</w:t>
      </w:r>
    </w:p>
    <w:p w14:paraId="76C46B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color w:val="000000"/>
          <w:kern w:val="0"/>
          <w:sz w:val="32"/>
          <w:szCs w:val="32"/>
          <w:u w:val="none"/>
          <w:lang w:val="en-US" w:eastAsia="zh-CN" w:bidi="ar"/>
        </w:rPr>
      </w:pPr>
    </w:p>
    <w:p w14:paraId="0C8796F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color w:val="000000"/>
          <w:kern w:val="0"/>
          <w:sz w:val="32"/>
          <w:szCs w:val="32"/>
          <w:u w:val="none"/>
          <w:lang w:val="en-US" w:eastAsia="zh-CN" w:bidi="ar"/>
        </w:rPr>
        <w:t>第一条  为加快推进“烂尾楼”项目处置工作，切实保障民生，改善城市形象，维护社会稳定，根据</w:t>
      </w:r>
      <w:r>
        <w:rPr>
          <w:rFonts w:hint="eastAsia" w:ascii="方正仿宋_GBK" w:hAnsi="方正仿宋_GBK" w:eastAsia="方正仿宋_GBK" w:cs="方正仿宋_GBK"/>
          <w:sz w:val="32"/>
          <w:szCs w:val="32"/>
          <w:u w:val="none"/>
          <w:vertAlign w:val="baseline"/>
          <w:lang w:val="en-US" w:eastAsia="zh-CN"/>
        </w:rPr>
        <w:t>《中华人民共和国城市房地产管理法》《中华人民共和国土地管理法》《中华人民共和国城乡规划法》《中华人民共和国企业破产法》等</w:t>
      </w:r>
      <w:r>
        <w:rPr>
          <w:rFonts w:hint="eastAsia" w:ascii="方正仿宋_GBK" w:hAnsi="方正仿宋_GBK" w:eastAsia="方正仿宋_GBK" w:cs="方正仿宋_GBK"/>
          <w:color w:val="000000"/>
          <w:kern w:val="0"/>
          <w:sz w:val="32"/>
          <w:szCs w:val="32"/>
          <w:u w:val="none"/>
          <w:lang w:val="en-US" w:eastAsia="zh-CN" w:bidi="ar"/>
        </w:rPr>
        <w:t xml:space="preserve">有关法律法规，结合本市实际，制定本办法。 </w:t>
      </w:r>
    </w:p>
    <w:p w14:paraId="03B6E59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kern w:val="0"/>
          <w:sz w:val="32"/>
          <w:szCs w:val="32"/>
          <w:u w:val="none"/>
          <w:lang w:val="en-US" w:eastAsia="zh-CN" w:bidi="ar"/>
        </w:rPr>
        <w:t>第二条  本办法所称“烂尾楼”项目，是指</w:t>
      </w:r>
      <w:r>
        <w:rPr>
          <w:rFonts w:hint="eastAsia" w:ascii="方正仿宋_GBK" w:hAnsi="方正仿宋_GBK" w:eastAsia="方正仿宋_GBK" w:cs="方正仿宋_GBK"/>
          <w:color w:val="auto"/>
          <w:kern w:val="0"/>
          <w:sz w:val="32"/>
          <w:szCs w:val="32"/>
          <w:lang w:val="en-US" w:eastAsia="zh-CN" w:bidi="ar"/>
        </w:rPr>
        <w:t>土地用途为商业、住宅、商住、办公或者酒店</w:t>
      </w:r>
      <w:r>
        <w:rPr>
          <w:rFonts w:hint="eastAsia" w:ascii="方正仿宋_GBK" w:hAnsi="方正仿宋_GBK" w:eastAsia="方正仿宋_GBK" w:cs="方正仿宋_GBK"/>
          <w:color w:val="auto"/>
          <w:kern w:val="0"/>
          <w:sz w:val="32"/>
          <w:szCs w:val="32"/>
          <w:u w:val="none"/>
          <w:lang w:val="en-US" w:eastAsia="zh-CN" w:bidi="ar"/>
        </w:rPr>
        <w:t>，已经取得《建筑工程施工许可证》并进行了部分地上建筑物建设，停工未续建达</w:t>
      </w:r>
      <w:r>
        <w:rPr>
          <w:rFonts w:hint="default" w:ascii="Times New Roman" w:hAnsi="Times New Roman" w:eastAsia="方正仿宋_GBK" w:cs="Times New Roman"/>
          <w:color w:val="auto"/>
          <w:kern w:val="0"/>
          <w:sz w:val="32"/>
          <w:szCs w:val="32"/>
          <w:u w:val="none"/>
          <w:lang w:val="en-US" w:eastAsia="zh-CN" w:bidi="ar"/>
        </w:rPr>
        <w:t>到 5</w:t>
      </w:r>
      <w:r>
        <w:rPr>
          <w:rFonts w:hint="eastAsia" w:ascii="方正仿宋_GBK" w:hAnsi="方正仿宋_GBK" w:eastAsia="方正仿宋_GBK" w:cs="方正仿宋_GBK"/>
          <w:color w:val="auto"/>
          <w:kern w:val="0"/>
          <w:sz w:val="32"/>
          <w:szCs w:val="32"/>
          <w:u w:val="none"/>
          <w:lang w:val="en-US" w:eastAsia="zh-CN" w:bidi="ar"/>
        </w:rPr>
        <w:t xml:space="preserve"> 年以上，且已经超过土地出让合同及补充协议约定竣工时间的经营性开发项目。 </w:t>
      </w:r>
    </w:p>
    <w:p w14:paraId="6F938AAF">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color w:val="000000"/>
          <w:kern w:val="0"/>
          <w:sz w:val="32"/>
          <w:szCs w:val="32"/>
          <w:u w:val="none"/>
          <w:lang w:val="en-US" w:eastAsia="zh-CN" w:bidi="ar"/>
        </w:rPr>
        <w:t xml:space="preserve">第三条  “烂尾楼”项目处置应当遵循以下原则: </w:t>
      </w:r>
    </w:p>
    <w:p w14:paraId="7DA7C5C6">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color w:val="000000"/>
          <w:kern w:val="0"/>
          <w:sz w:val="32"/>
          <w:szCs w:val="32"/>
          <w:u w:val="none"/>
          <w:lang w:val="en-US" w:eastAsia="zh-CN" w:bidi="ar"/>
        </w:rPr>
        <w:t xml:space="preserve">（一）尊重历史、实事求是。以盘活消化资产为主要目标，充分考虑“烂尾楼”项目的历史成因，客观分析问题症结，坚持问题导向，精准施策，妥善解决历史遗留问题； </w:t>
      </w:r>
    </w:p>
    <w:p w14:paraId="0B6C1ECA">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color w:val="000000"/>
          <w:kern w:val="0"/>
          <w:sz w:val="32"/>
          <w:szCs w:val="32"/>
          <w:u w:val="none"/>
          <w:lang w:val="en-US" w:eastAsia="zh-CN" w:bidi="ar"/>
        </w:rPr>
        <w:t xml:space="preserve">（二）依法处置、规划引导。依法依规推动处置工作，在维护城市规划严肃性和公共利益的前提下，给予合理的规划引导和政策支持； </w:t>
      </w:r>
    </w:p>
    <w:p w14:paraId="13A42EEF">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color w:val="000000"/>
          <w:kern w:val="0"/>
          <w:sz w:val="32"/>
          <w:szCs w:val="32"/>
          <w:u w:val="none"/>
          <w:lang w:val="en-US" w:eastAsia="zh-CN" w:bidi="ar"/>
        </w:rPr>
        <w:t xml:space="preserve">（三）属地推进、因地制宜。处置工作遵循属地管辖原则，由各区人民政府、泰州医药高新区管委会负责牵头推进，通过客观分析项目权利人或者相关利害关系人诉求，结合实际情况，有针对性地制定处置措施； </w:t>
      </w:r>
    </w:p>
    <w:p w14:paraId="4360901C">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kern w:val="0"/>
          <w:sz w:val="32"/>
          <w:szCs w:val="32"/>
          <w:u w:val="none"/>
          <w:lang w:val="en-US" w:eastAsia="zh-CN" w:bidi="ar"/>
        </w:rPr>
      </w:pPr>
      <w:r>
        <w:rPr>
          <w:rFonts w:hint="eastAsia" w:ascii="方正仿宋_GBK" w:hAnsi="方正仿宋_GBK" w:eastAsia="方正仿宋_GBK" w:cs="方正仿宋_GBK"/>
          <w:color w:val="000000"/>
          <w:kern w:val="0"/>
          <w:sz w:val="32"/>
          <w:szCs w:val="32"/>
          <w:u w:val="none"/>
          <w:lang w:val="en-US" w:eastAsia="zh-CN" w:bidi="ar"/>
        </w:rPr>
        <w:t xml:space="preserve">（四）分类处理、循序渐进。重点解决位于城市门户区域、景观节点、主干道等对城市形象影响较大，已经有解决路径和涉及民生的项目，区别处理，分类推进。 </w:t>
      </w:r>
    </w:p>
    <w:p w14:paraId="428B89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color w:val="000000"/>
          <w:kern w:val="0"/>
          <w:sz w:val="32"/>
          <w:szCs w:val="32"/>
          <w:u w:val="none"/>
          <w:lang w:val="en-US" w:eastAsia="zh-CN" w:bidi="ar"/>
        </w:rPr>
      </w:pPr>
    </w:p>
    <w:p w14:paraId="5397556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color w:val="000000"/>
          <w:kern w:val="0"/>
          <w:sz w:val="32"/>
          <w:szCs w:val="32"/>
          <w:u w:val="none"/>
          <w:lang w:val="en-US" w:eastAsia="zh-CN" w:bidi="ar"/>
        </w:rPr>
      </w:pPr>
      <w:r>
        <w:rPr>
          <w:rFonts w:hint="eastAsia" w:ascii="方正黑体_GBK" w:hAnsi="方正黑体_GBK" w:eastAsia="方正黑体_GBK" w:cs="方正黑体_GBK"/>
          <w:color w:val="000000"/>
          <w:kern w:val="0"/>
          <w:sz w:val="32"/>
          <w:szCs w:val="32"/>
          <w:u w:val="none"/>
          <w:lang w:val="en-US" w:eastAsia="zh-CN" w:bidi="ar"/>
        </w:rPr>
        <w:t>第二章  处置程序和方式</w:t>
      </w:r>
    </w:p>
    <w:p w14:paraId="3F3CAB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color w:val="000000"/>
          <w:kern w:val="0"/>
          <w:sz w:val="32"/>
          <w:szCs w:val="32"/>
          <w:u w:val="none"/>
          <w:lang w:val="en-US" w:eastAsia="zh-CN" w:bidi="ar"/>
        </w:rPr>
      </w:pPr>
    </w:p>
    <w:p w14:paraId="1D5382F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color w:val="000000"/>
          <w:kern w:val="0"/>
          <w:sz w:val="32"/>
          <w:szCs w:val="32"/>
          <w:u w:val="none"/>
          <w:lang w:val="en-US" w:eastAsia="zh-CN" w:bidi="ar"/>
        </w:rPr>
        <w:t xml:space="preserve">第四条  各区人民政府、泰州医药高新区管委会对“烂尾楼”项目的处置应当按照以下程序实施： </w:t>
      </w:r>
    </w:p>
    <w:p w14:paraId="7ACC40B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color w:val="000000"/>
          <w:kern w:val="0"/>
          <w:sz w:val="32"/>
          <w:szCs w:val="32"/>
          <w:u w:val="none"/>
          <w:lang w:val="en-US" w:eastAsia="zh-CN" w:bidi="ar"/>
        </w:rPr>
        <w:t xml:space="preserve">（一）对“烂尾楼”项目进行尽职调查、认定； </w:t>
      </w:r>
    </w:p>
    <w:p w14:paraId="3839165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color w:val="000000"/>
          <w:kern w:val="0"/>
          <w:sz w:val="32"/>
          <w:szCs w:val="32"/>
          <w:u w:val="none"/>
          <w:lang w:val="en-US" w:eastAsia="zh-CN" w:bidi="ar"/>
        </w:rPr>
        <w:t>（二）制定“烂尾楼”项目的处置方案，处置方案包括但不</w:t>
      </w:r>
    </w:p>
    <w:p w14:paraId="463404A9">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color w:val="000000"/>
          <w:kern w:val="0"/>
          <w:sz w:val="32"/>
          <w:szCs w:val="32"/>
          <w:u w:val="none"/>
          <w:lang w:val="en-US" w:eastAsia="zh-CN" w:bidi="ar"/>
        </w:rPr>
        <w:t xml:space="preserve">限于续建方案、规划变更方案、和解或者重整方案及其他“一楼一策”具体扶持政策等； </w:t>
      </w:r>
    </w:p>
    <w:p w14:paraId="5F23124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kern w:val="0"/>
          <w:sz w:val="32"/>
          <w:szCs w:val="32"/>
          <w:u w:val="none"/>
          <w:lang w:val="en-US" w:eastAsia="zh-CN" w:bidi="ar"/>
        </w:rPr>
      </w:pPr>
      <w:r>
        <w:rPr>
          <w:rFonts w:hint="eastAsia" w:ascii="方正仿宋_GBK" w:hAnsi="方正仿宋_GBK" w:eastAsia="方正仿宋_GBK" w:cs="方正仿宋_GBK"/>
          <w:color w:val="000000"/>
          <w:kern w:val="0"/>
          <w:sz w:val="32"/>
          <w:szCs w:val="32"/>
          <w:u w:val="none"/>
          <w:lang w:val="en-US" w:eastAsia="zh-CN" w:bidi="ar"/>
        </w:rPr>
        <w:t>（三）处置方案按照程序报市政府相关会议研究；</w:t>
      </w:r>
    </w:p>
    <w:p w14:paraId="63853484">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kern w:val="0"/>
          <w:sz w:val="32"/>
          <w:szCs w:val="32"/>
          <w:u w:val="none"/>
          <w:lang w:val="en-US" w:eastAsia="zh-CN" w:bidi="ar"/>
        </w:rPr>
      </w:pPr>
      <w:r>
        <w:rPr>
          <w:rFonts w:hint="eastAsia" w:ascii="方正仿宋_GBK" w:hAnsi="方正仿宋_GBK" w:eastAsia="方正仿宋_GBK" w:cs="方正仿宋_GBK"/>
          <w:color w:val="000000"/>
          <w:kern w:val="0"/>
          <w:sz w:val="32"/>
          <w:szCs w:val="32"/>
          <w:u w:val="none"/>
          <w:lang w:val="en-US" w:eastAsia="zh-CN" w:bidi="ar"/>
        </w:rPr>
        <w:t xml:space="preserve">（四）按照批准的处置方案组织实施。 </w:t>
      </w:r>
    </w:p>
    <w:p w14:paraId="328C8530">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color w:val="000000"/>
          <w:kern w:val="0"/>
          <w:sz w:val="32"/>
          <w:szCs w:val="32"/>
          <w:u w:val="single"/>
          <w:lang w:val="en-US" w:eastAsia="zh-CN" w:bidi="ar"/>
        </w:rPr>
      </w:pPr>
      <w:r>
        <w:rPr>
          <w:rFonts w:hint="eastAsia" w:ascii="方正仿宋_GBK" w:hAnsi="方正仿宋_GBK" w:eastAsia="方正仿宋_GBK" w:cs="方正仿宋_GBK"/>
          <w:color w:val="000000"/>
          <w:kern w:val="0"/>
          <w:sz w:val="32"/>
          <w:szCs w:val="32"/>
          <w:u w:val="none"/>
          <w:lang w:val="en-US" w:eastAsia="zh-CN" w:bidi="ar"/>
        </w:rPr>
        <w:t>“烂尾楼”项目的尽职调查要全面客观，综合分析，准确定性，由区发改、司法、自然资源规划、住房城乡建设、数据等部门共同参与。</w:t>
      </w:r>
    </w:p>
    <w:p w14:paraId="2F689EC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color w:val="000000"/>
          <w:kern w:val="0"/>
          <w:sz w:val="32"/>
          <w:szCs w:val="32"/>
          <w:u w:val="none"/>
          <w:lang w:val="en-US" w:eastAsia="zh-CN" w:bidi="ar"/>
        </w:rPr>
        <w:t>第五条  对被认定为“烂尾楼”的项目，可以采取以下</w:t>
      </w:r>
      <w:r>
        <w:rPr>
          <w:rFonts w:hint="eastAsia" w:ascii="方正仿宋_GBK" w:hAnsi="方正仿宋_GBK" w:eastAsia="方正仿宋_GBK" w:cs="方正仿宋_GBK"/>
          <w:strike w:val="0"/>
          <w:dstrike w:val="0"/>
          <w:color w:val="000000"/>
          <w:kern w:val="0"/>
          <w:sz w:val="32"/>
          <w:szCs w:val="32"/>
          <w:u w:val="none"/>
          <w:lang w:val="en-US" w:eastAsia="zh-CN" w:bidi="ar"/>
        </w:rPr>
        <w:t>三种</w:t>
      </w:r>
    </w:p>
    <w:p w14:paraId="3411E8FF">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color w:val="000000"/>
          <w:kern w:val="0"/>
          <w:sz w:val="32"/>
          <w:szCs w:val="32"/>
          <w:u w:val="none"/>
          <w:lang w:val="en-US" w:eastAsia="zh-CN" w:bidi="ar"/>
        </w:rPr>
        <w:t>方式予以处置:</w:t>
      </w:r>
    </w:p>
    <w:p w14:paraId="45D6B60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kern w:val="0"/>
          <w:sz w:val="32"/>
          <w:szCs w:val="32"/>
          <w:u w:val="none"/>
          <w:lang w:val="en-US" w:eastAsia="zh-CN" w:bidi="ar"/>
        </w:rPr>
      </w:pPr>
      <w:r>
        <w:rPr>
          <w:rFonts w:hint="eastAsia" w:ascii="方正仿宋_GBK" w:hAnsi="方正仿宋_GBK" w:eastAsia="方正仿宋_GBK" w:cs="方正仿宋_GBK"/>
          <w:color w:val="000000"/>
          <w:kern w:val="0"/>
          <w:sz w:val="32"/>
          <w:szCs w:val="32"/>
          <w:u w:val="none"/>
          <w:lang w:val="en-US" w:eastAsia="zh-CN" w:bidi="ar"/>
        </w:rPr>
        <w:t>（一）续建。原项目开发主体主动续建、由“烂尾楼”项目属地区人民政府（管委会）要求原项目开发主体限期续建、或通过重整、预重整等引进投资人的方式续建；</w:t>
      </w:r>
    </w:p>
    <w:p w14:paraId="310321B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kern w:val="0"/>
          <w:sz w:val="32"/>
          <w:szCs w:val="32"/>
          <w:u w:val="none"/>
          <w:lang w:val="en-US" w:eastAsia="zh-CN" w:bidi="ar"/>
        </w:rPr>
      </w:pPr>
      <w:r>
        <w:rPr>
          <w:rFonts w:hint="eastAsia" w:ascii="方正仿宋_GBK" w:hAnsi="方正仿宋_GBK" w:eastAsia="方正仿宋_GBK" w:cs="方正仿宋_GBK"/>
          <w:color w:val="000000"/>
          <w:kern w:val="0"/>
          <w:sz w:val="32"/>
          <w:szCs w:val="32"/>
          <w:u w:val="none"/>
          <w:lang w:val="en-US" w:eastAsia="zh-CN" w:bidi="ar"/>
        </w:rPr>
        <w:t>（二）拍卖或变卖。原项目开发主体无法续建或者项目严重资不抵债且具备破产条件的，通过法院强制执行程序或破产程序，以在建工程的名义依法拍卖、变卖；</w:t>
      </w:r>
    </w:p>
    <w:p w14:paraId="1223EFE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kern w:val="0"/>
          <w:sz w:val="32"/>
          <w:szCs w:val="32"/>
          <w:u w:val="none"/>
          <w:lang w:val="en-US" w:eastAsia="zh-CN" w:bidi="ar"/>
        </w:rPr>
      </w:pPr>
      <w:r>
        <w:rPr>
          <w:rFonts w:hint="eastAsia" w:ascii="方正仿宋_GBK" w:hAnsi="方正仿宋_GBK" w:eastAsia="方正仿宋_GBK" w:cs="方正仿宋_GBK"/>
          <w:color w:val="000000"/>
          <w:kern w:val="0"/>
          <w:sz w:val="32"/>
          <w:szCs w:val="32"/>
          <w:u w:val="none"/>
          <w:lang w:val="en-US" w:eastAsia="zh-CN" w:bidi="ar"/>
        </w:rPr>
        <w:t>（三）政府收回。政府依法收回土地使用权及地上、地下建（构）筑物。</w:t>
      </w:r>
    </w:p>
    <w:p w14:paraId="4E7B973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kern w:val="0"/>
          <w:sz w:val="32"/>
          <w:szCs w:val="32"/>
          <w:u w:val="single"/>
          <w:lang w:val="en-US" w:eastAsia="zh-CN" w:bidi="ar"/>
        </w:rPr>
      </w:pPr>
      <w:r>
        <w:rPr>
          <w:rFonts w:hint="eastAsia" w:ascii="方正仿宋_GBK" w:hAnsi="方正仿宋_GBK" w:eastAsia="方正仿宋_GBK" w:cs="方正仿宋_GBK"/>
          <w:color w:val="000000"/>
          <w:kern w:val="0"/>
          <w:sz w:val="32"/>
          <w:szCs w:val="32"/>
          <w:u w:val="none"/>
          <w:lang w:val="en-US" w:eastAsia="zh-CN" w:bidi="ar"/>
        </w:rPr>
        <w:t>“烂尾楼”项目重新启动建设前，应当对项目主体进行房屋结构安全鉴定，确保无结构安全隐患；如需办理建设项目环境影响报告书（表）等有关事项的，应当按照有关规定执行。</w:t>
      </w:r>
    </w:p>
    <w:p w14:paraId="3EDE412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color w:val="000000"/>
          <w:kern w:val="0"/>
          <w:sz w:val="32"/>
          <w:szCs w:val="32"/>
          <w:u w:val="none"/>
          <w:lang w:val="en-US" w:eastAsia="zh-CN" w:bidi="ar"/>
        </w:rPr>
        <w:t>第六条  处置已经对外销售的“烂尾楼”项目，原则上不得调整原项目土地出让合同约定的土地用途。</w:t>
      </w:r>
    </w:p>
    <w:p w14:paraId="6CADB1D3">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color w:val="000000"/>
          <w:kern w:val="0"/>
          <w:sz w:val="32"/>
          <w:szCs w:val="32"/>
          <w:u w:val="none"/>
          <w:lang w:val="en-US" w:eastAsia="zh-CN" w:bidi="ar"/>
        </w:rPr>
        <w:t>第七条  处置“烂尾楼”项目可以对土地使用期限进行调整，并由自然资源规划部门和受让人签订土地使用权出让变更或者补充协议。调整后的土地使用期限以重新核发的不动产权证载明的使用期限为准。调整土地使用期限应当依法补缴土地出让金。</w:t>
      </w:r>
    </w:p>
    <w:p w14:paraId="7444EDFD">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color w:val="000000"/>
          <w:kern w:val="0"/>
          <w:sz w:val="32"/>
          <w:szCs w:val="32"/>
          <w:u w:val="none"/>
          <w:lang w:val="en-US" w:eastAsia="zh-CN" w:bidi="ar"/>
        </w:rPr>
        <w:t>第八条  处置“烂尾楼”项目，原则上应当按照原批准的规划方案实施；按照原规划方案实施与市场需求已明显不相适应的，可以适当进行调整。</w:t>
      </w:r>
    </w:p>
    <w:p w14:paraId="135AB33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color w:val="000000"/>
          <w:kern w:val="0"/>
          <w:sz w:val="32"/>
          <w:szCs w:val="32"/>
          <w:u w:val="none"/>
          <w:lang w:val="en-US" w:eastAsia="zh-CN" w:bidi="ar"/>
        </w:rPr>
        <w:t>（一）容积率应当按照原项目土地出让合同约定或者已批复</w:t>
      </w:r>
    </w:p>
    <w:p w14:paraId="62739A9C">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color w:val="000000"/>
          <w:kern w:val="0"/>
          <w:sz w:val="32"/>
          <w:szCs w:val="32"/>
          <w:u w:val="none"/>
          <w:lang w:val="en-US" w:eastAsia="zh-CN" w:bidi="ar"/>
        </w:rPr>
        <w:t xml:space="preserve">的规划行政许可继续实施，原则上不得调整。确因公共利益需要，且按照和解、重整方式解决的项目，可以在新的承接主体确定前，由属地区人民政府（管委会）提出容积率调整方案，并按照程序报市人民政府研究确定； </w:t>
      </w:r>
    </w:p>
    <w:p w14:paraId="3C39A39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color w:val="000000"/>
          <w:kern w:val="0"/>
          <w:sz w:val="32"/>
          <w:szCs w:val="32"/>
          <w:u w:val="none"/>
          <w:lang w:val="en-US" w:eastAsia="zh-CN" w:bidi="ar"/>
        </w:rPr>
        <w:t>（二）原土地出让合同约定土地用途为商住用途的，可以按照程序进行商住比调整。调整商住比应当依法补缴土地出让金；</w:t>
      </w:r>
    </w:p>
    <w:p w14:paraId="32E9164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color w:val="000000"/>
          <w:kern w:val="0"/>
          <w:sz w:val="32"/>
          <w:szCs w:val="32"/>
          <w:u w:val="none"/>
          <w:lang w:val="en-US" w:eastAsia="zh-CN" w:bidi="ar"/>
        </w:rPr>
        <w:t xml:space="preserve">（三）确需对规划方案调整，改建部分重新规划设计的，项目建筑密度、绿地率、车位配比、公共配套、层高等，可以按照原项目规划指标实施。新建、改建项目的设计均应当符合现行消防和安全规定； </w:t>
      </w:r>
    </w:p>
    <w:p w14:paraId="5E2D6F5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color w:val="000000"/>
          <w:kern w:val="0"/>
          <w:sz w:val="32"/>
          <w:szCs w:val="32"/>
          <w:u w:val="none"/>
          <w:lang w:val="en-US" w:eastAsia="zh-CN" w:bidi="ar"/>
        </w:rPr>
        <w:t xml:space="preserve">（四）按照续建方式处置“烂尾楼”的，为鼓励“烂尾楼”项目在限期内迅速复建、续建，在满足原规划、建筑等技术规范，且不影响项目其他相关权利人利益的前提下，可以对项目自持比例、销售分割、业态分布等进行调整，以提高项目的市场适应性。 </w:t>
      </w:r>
    </w:p>
    <w:p w14:paraId="042D1D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color w:val="000000"/>
          <w:kern w:val="0"/>
          <w:sz w:val="32"/>
          <w:szCs w:val="32"/>
          <w:u w:val="none"/>
          <w:lang w:val="en-US" w:eastAsia="zh-CN" w:bidi="ar"/>
        </w:rPr>
      </w:pPr>
    </w:p>
    <w:p w14:paraId="3CDDCEC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color w:val="000000"/>
          <w:kern w:val="0"/>
          <w:sz w:val="32"/>
          <w:szCs w:val="32"/>
          <w:u w:val="none"/>
          <w:lang w:val="en-US" w:eastAsia="zh-CN" w:bidi="ar"/>
        </w:rPr>
      </w:pPr>
      <w:r>
        <w:rPr>
          <w:rFonts w:hint="eastAsia" w:ascii="方正黑体_GBK" w:hAnsi="方正黑体_GBK" w:eastAsia="方正黑体_GBK" w:cs="方正黑体_GBK"/>
          <w:color w:val="000000"/>
          <w:kern w:val="0"/>
          <w:sz w:val="32"/>
          <w:szCs w:val="32"/>
          <w:u w:val="none"/>
          <w:lang w:val="en-US" w:eastAsia="zh-CN" w:bidi="ar"/>
        </w:rPr>
        <w:t>第三章  政策措施</w:t>
      </w:r>
    </w:p>
    <w:p w14:paraId="23908826">
      <w:pPr>
        <w:keepNext w:val="0"/>
        <w:keepLines w:val="0"/>
        <w:pageBreakBefore w:val="0"/>
        <w:widowControl/>
        <w:suppressLineNumbers w:val="0"/>
        <w:kinsoku/>
        <w:wordWrap/>
        <w:overflowPunct/>
        <w:topLinePunct w:val="0"/>
        <w:autoSpaceDE/>
        <w:autoSpaceDN/>
        <w:bidi w:val="0"/>
        <w:adjustRightInd/>
        <w:snapToGrid/>
        <w:spacing w:line="240" w:lineRule="exact"/>
        <w:ind w:firstLine="640" w:firstLineChars="200"/>
        <w:jc w:val="both"/>
        <w:textAlignment w:val="auto"/>
        <w:rPr>
          <w:rFonts w:hint="eastAsia" w:ascii="方正仿宋_GBK" w:hAnsi="方正仿宋_GBK" w:eastAsia="方正仿宋_GBK" w:cs="方正仿宋_GBK"/>
          <w:color w:val="000000"/>
          <w:kern w:val="0"/>
          <w:sz w:val="32"/>
          <w:szCs w:val="32"/>
          <w:u w:val="none"/>
          <w:lang w:val="en-US" w:eastAsia="zh-CN" w:bidi="ar"/>
        </w:rPr>
      </w:pPr>
    </w:p>
    <w:p w14:paraId="001A1DC6">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color w:val="000000"/>
          <w:kern w:val="0"/>
          <w:sz w:val="32"/>
          <w:szCs w:val="32"/>
          <w:u w:val="none"/>
          <w:lang w:val="en-US" w:eastAsia="zh-CN" w:bidi="ar"/>
        </w:rPr>
        <w:t xml:space="preserve">第九条  处置“烂尾楼”项目，应当根据“烂尾楼”项目现有已建房屋的实际情况、形成“烂尾”的不同原因等制定“一楼一策”。 </w:t>
      </w:r>
    </w:p>
    <w:p w14:paraId="64151F23">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color w:val="000000"/>
          <w:kern w:val="0"/>
          <w:sz w:val="32"/>
          <w:szCs w:val="32"/>
          <w:u w:val="none"/>
          <w:lang w:val="en-US" w:eastAsia="zh-CN" w:bidi="ar"/>
        </w:rPr>
        <w:t xml:space="preserve">第十条  “烂尾楼”项目涉及的税务问题由税务部门按照税收相关法律法规提出处理意见。 </w:t>
      </w:r>
    </w:p>
    <w:p w14:paraId="58E87017">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color w:val="000000"/>
          <w:kern w:val="0"/>
          <w:sz w:val="32"/>
          <w:szCs w:val="32"/>
          <w:u w:val="none"/>
          <w:lang w:val="en-US" w:eastAsia="zh-CN" w:bidi="ar"/>
        </w:rPr>
        <w:t>第十一条  通过自行续建方式处置的“烂尾楼”项目欠缴土</w:t>
      </w:r>
    </w:p>
    <w:p w14:paraId="5078D821">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color w:val="000000"/>
          <w:kern w:val="0"/>
          <w:sz w:val="32"/>
          <w:szCs w:val="32"/>
          <w:u w:val="none"/>
          <w:lang w:val="en-US" w:eastAsia="zh-CN" w:bidi="ar"/>
        </w:rPr>
      </w:pPr>
      <w:r>
        <w:rPr>
          <w:rFonts w:hint="eastAsia" w:ascii="方正仿宋_GBK" w:hAnsi="方正仿宋_GBK" w:eastAsia="方正仿宋_GBK" w:cs="方正仿宋_GBK"/>
          <w:color w:val="000000"/>
          <w:kern w:val="0"/>
          <w:sz w:val="32"/>
          <w:szCs w:val="32"/>
          <w:u w:val="none"/>
          <w:lang w:val="en-US" w:eastAsia="zh-CN" w:bidi="ar"/>
        </w:rPr>
        <w:t>地出让金的，原项目开发主体提供实物或者其他担保的，可以先行进行复建、续建，欠缴的土地出让金应当在项目竣工验收备案前补缴到位；按照拍卖或变卖方式处置的“烂尾楼”项目，如存在欠缴土地出让金等费用的，相关部门应主动申报，按照《中华人民共和国企业破产法》相关规定执行。</w:t>
      </w:r>
    </w:p>
    <w:p w14:paraId="3263A94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color w:val="000000"/>
          <w:kern w:val="0"/>
          <w:sz w:val="32"/>
          <w:szCs w:val="32"/>
          <w:u w:val="none"/>
          <w:lang w:val="en-US" w:eastAsia="zh-CN" w:bidi="ar"/>
        </w:rPr>
        <w:t xml:space="preserve">第十二条  “烂尾楼”项目不再缴纳城市基础设施配套费，所欠的其他规费、罚款、罚金、利息等，属于区级事项的，由属地区人民政府（管委会）研究确定；属于市级事项的，由属地区人民政府（管委会）提出建议，报市人民政府研究确定。 </w:t>
      </w:r>
    </w:p>
    <w:p w14:paraId="76D86FB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color w:val="000000"/>
          <w:kern w:val="0"/>
          <w:sz w:val="32"/>
          <w:szCs w:val="32"/>
          <w:u w:val="none"/>
          <w:lang w:val="en-US" w:eastAsia="zh-CN" w:bidi="ar"/>
        </w:rPr>
        <w:t xml:space="preserve">第十三条  “烂尾楼”项目已建成部分无法提供房屋竣工材料的，可以由业主单位提供符合要求的房屋安全鉴定报告和消防安全评估报告等材料，作为房屋已竣工的材料。 </w:t>
      </w:r>
    </w:p>
    <w:p w14:paraId="001FB7B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kern w:val="0"/>
          <w:sz w:val="32"/>
          <w:szCs w:val="32"/>
          <w:u w:val="none"/>
          <w:lang w:val="en-US" w:eastAsia="zh-CN" w:bidi="ar"/>
        </w:rPr>
      </w:pPr>
      <w:r>
        <w:rPr>
          <w:rFonts w:hint="eastAsia" w:ascii="方正仿宋_GBK" w:hAnsi="方正仿宋_GBK" w:eastAsia="方正仿宋_GBK" w:cs="方正仿宋_GBK"/>
          <w:color w:val="000000"/>
          <w:kern w:val="0"/>
          <w:sz w:val="32"/>
          <w:szCs w:val="32"/>
          <w:u w:val="none"/>
          <w:lang w:val="en-US" w:eastAsia="zh-CN" w:bidi="ar"/>
        </w:rPr>
        <w:t xml:space="preserve">第十四条  “烂尾楼”项目处置过程中补缴的土地出让金市级统筹财力，补助给属地区，属地区人民政府（管委会）可以制定有针对性的招商扶持措施支持城市更新及“烂尾楼”问题化解处置。 </w:t>
      </w:r>
    </w:p>
    <w:p w14:paraId="1B4CA0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color w:val="000000"/>
          <w:kern w:val="0"/>
          <w:sz w:val="32"/>
          <w:szCs w:val="32"/>
          <w:u w:val="none"/>
          <w:lang w:val="en-US" w:eastAsia="zh-CN" w:bidi="ar"/>
        </w:rPr>
      </w:pPr>
    </w:p>
    <w:p w14:paraId="1A53202C">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color w:val="000000"/>
          <w:kern w:val="0"/>
          <w:sz w:val="32"/>
          <w:szCs w:val="32"/>
          <w:u w:val="none"/>
          <w:lang w:val="en-US" w:eastAsia="zh-CN" w:bidi="ar"/>
        </w:rPr>
      </w:pPr>
      <w:r>
        <w:rPr>
          <w:rFonts w:hint="eastAsia" w:ascii="方正黑体_GBK" w:hAnsi="方正黑体_GBK" w:eastAsia="方正黑体_GBK" w:cs="方正黑体_GBK"/>
          <w:color w:val="000000"/>
          <w:kern w:val="0"/>
          <w:sz w:val="32"/>
          <w:szCs w:val="32"/>
          <w:u w:val="none"/>
          <w:lang w:val="en-US" w:eastAsia="zh-CN" w:bidi="ar"/>
        </w:rPr>
        <w:t>第四章  职责分工</w:t>
      </w:r>
    </w:p>
    <w:p w14:paraId="298CF1E9">
      <w:pPr>
        <w:keepNext w:val="0"/>
        <w:keepLines w:val="0"/>
        <w:pageBreakBefore w:val="0"/>
        <w:widowControl w:val="0"/>
        <w:suppressLineNumbers w:val="0"/>
        <w:kinsoku/>
        <w:wordWrap/>
        <w:overflowPunct/>
        <w:topLinePunct w:val="0"/>
        <w:autoSpaceDE/>
        <w:autoSpaceDN/>
        <w:bidi w:val="0"/>
        <w:adjustRightInd/>
        <w:snapToGrid/>
        <w:spacing w:line="240" w:lineRule="exact"/>
        <w:ind w:firstLine="640" w:firstLineChars="200"/>
        <w:jc w:val="both"/>
        <w:textAlignment w:val="auto"/>
        <w:rPr>
          <w:rFonts w:hint="eastAsia" w:ascii="方正仿宋_GBK" w:hAnsi="方正仿宋_GBK" w:eastAsia="方正仿宋_GBK" w:cs="方正仿宋_GBK"/>
          <w:color w:val="000000"/>
          <w:kern w:val="0"/>
          <w:sz w:val="32"/>
          <w:szCs w:val="32"/>
          <w:u w:val="none"/>
          <w:lang w:val="en-US" w:eastAsia="zh-CN" w:bidi="ar"/>
        </w:rPr>
      </w:pPr>
    </w:p>
    <w:p w14:paraId="5969E1D8">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color w:val="000000"/>
          <w:kern w:val="0"/>
          <w:sz w:val="32"/>
          <w:szCs w:val="32"/>
          <w:u w:val="none"/>
          <w:lang w:val="en-US" w:eastAsia="zh-CN" w:bidi="ar"/>
        </w:rPr>
      </w:pPr>
      <w:r>
        <w:rPr>
          <w:rFonts w:hint="eastAsia" w:ascii="方正仿宋_GBK" w:hAnsi="方正仿宋_GBK" w:eastAsia="方正仿宋_GBK" w:cs="方正仿宋_GBK"/>
          <w:color w:val="000000"/>
          <w:kern w:val="0"/>
          <w:sz w:val="32"/>
          <w:szCs w:val="32"/>
          <w:u w:val="none"/>
          <w:lang w:val="en-US" w:eastAsia="zh-CN" w:bidi="ar"/>
        </w:rPr>
        <w:t>第十五条  市住房城乡建设部门会同相关单位</w:t>
      </w:r>
      <w:bookmarkStart w:id="0" w:name="_GoBack"/>
      <w:bookmarkEnd w:id="0"/>
      <w:r>
        <w:rPr>
          <w:rFonts w:hint="eastAsia" w:ascii="方正仿宋_GBK" w:hAnsi="方正仿宋_GBK" w:eastAsia="方正仿宋_GBK" w:cs="方正仿宋_GBK"/>
          <w:color w:val="000000"/>
          <w:kern w:val="0"/>
          <w:sz w:val="32"/>
          <w:szCs w:val="32"/>
          <w:u w:val="none"/>
          <w:lang w:val="en-US" w:eastAsia="zh-CN" w:bidi="ar"/>
        </w:rPr>
        <w:t>负责“烂尾楼”项目处置中日常工作的协调，重大事项报市政府研究决定。</w:t>
      </w:r>
    </w:p>
    <w:p w14:paraId="12527D24">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color w:val="000000"/>
          <w:kern w:val="0"/>
          <w:sz w:val="32"/>
          <w:szCs w:val="32"/>
          <w:u w:val="none"/>
          <w:lang w:val="en-US" w:eastAsia="zh-CN" w:bidi="ar"/>
        </w:rPr>
        <w:t xml:space="preserve">属地区人民政府（管委会）负责对“烂尾楼”项目进行尽职调查和认定，制定处置方案并组织实施。 </w:t>
      </w:r>
    </w:p>
    <w:p w14:paraId="65E757D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color w:val="000000"/>
          <w:kern w:val="0"/>
          <w:sz w:val="32"/>
          <w:szCs w:val="32"/>
          <w:u w:val="none"/>
          <w:lang w:val="en-US" w:eastAsia="zh-CN" w:bidi="ar"/>
        </w:rPr>
        <w:t xml:space="preserve">住房城乡建设部门牵头负责“烂尾楼”项目处置的政策研究，并对具体项目处置进行指导。 </w:t>
      </w:r>
    </w:p>
    <w:p w14:paraId="1D70DCE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color w:val="000000"/>
          <w:kern w:val="0"/>
          <w:sz w:val="32"/>
          <w:szCs w:val="32"/>
          <w:u w:val="none"/>
          <w:lang w:val="en-US" w:eastAsia="zh-CN" w:bidi="ar"/>
        </w:rPr>
        <w:t xml:space="preserve">自然资源规划部门牵头研究“烂尾楼”项目处置中涉及的土地、规划方面的政策，协同推进遗留问题化解和处置。 </w:t>
      </w:r>
    </w:p>
    <w:p w14:paraId="0F052FB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color w:val="000000"/>
          <w:kern w:val="0"/>
          <w:sz w:val="32"/>
          <w:szCs w:val="32"/>
          <w:u w:val="none"/>
          <w:lang w:val="en-US" w:eastAsia="zh-CN" w:bidi="ar"/>
        </w:rPr>
        <w:t xml:space="preserve">数据部门牵头解决“烂尾楼”项目处置中涉及行政审批事项办理的各类问题，开辟专项服务通道，提升审批效能。 </w:t>
      </w:r>
    </w:p>
    <w:p w14:paraId="1B5E63D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color w:val="000000"/>
          <w:kern w:val="0"/>
          <w:sz w:val="32"/>
          <w:szCs w:val="32"/>
          <w:u w:val="none"/>
          <w:lang w:val="en-US" w:eastAsia="zh-CN" w:bidi="ar"/>
        </w:rPr>
        <w:t xml:space="preserve">其他相关部门按照各自职责，共同做好“烂尾楼”项目处置工作。 </w:t>
      </w:r>
    </w:p>
    <w:p w14:paraId="07B5DF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color w:val="000000"/>
          <w:kern w:val="0"/>
          <w:sz w:val="32"/>
          <w:szCs w:val="32"/>
          <w:u w:val="none"/>
          <w:lang w:val="en-US" w:eastAsia="zh-CN" w:bidi="ar"/>
        </w:rPr>
      </w:pPr>
    </w:p>
    <w:p w14:paraId="158946D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color w:val="000000"/>
          <w:kern w:val="0"/>
          <w:sz w:val="32"/>
          <w:szCs w:val="32"/>
          <w:u w:val="none"/>
          <w:lang w:val="en-US" w:eastAsia="zh-CN" w:bidi="ar"/>
        </w:rPr>
      </w:pPr>
      <w:r>
        <w:rPr>
          <w:rFonts w:hint="eastAsia" w:ascii="方正黑体_GBK" w:hAnsi="方正黑体_GBK" w:eastAsia="方正黑体_GBK" w:cs="方正黑体_GBK"/>
          <w:color w:val="000000"/>
          <w:kern w:val="0"/>
          <w:sz w:val="32"/>
          <w:szCs w:val="32"/>
          <w:u w:val="none"/>
          <w:lang w:val="en-US" w:eastAsia="zh-CN" w:bidi="ar"/>
        </w:rPr>
        <w:t>第五章  附 则</w:t>
      </w:r>
    </w:p>
    <w:p w14:paraId="364503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color w:val="000000"/>
          <w:kern w:val="0"/>
          <w:sz w:val="32"/>
          <w:szCs w:val="32"/>
          <w:u w:val="none"/>
          <w:lang w:val="en-US" w:eastAsia="zh-CN" w:bidi="ar"/>
        </w:rPr>
      </w:pPr>
    </w:p>
    <w:p w14:paraId="077B357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color w:val="000000"/>
          <w:kern w:val="0"/>
          <w:sz w:val="32"/>
          <w:szCs w:val="32"/>
          <w:u w:val="none"/>
          <w:lang w:val="en-US" w:eastAsia="zh-CN" w:bidi="ar"/>
        </w:rPr>
        <w:t>第十六条  “烂尾楼”项目的开、竣工日期应当通过土地使用权出让变更或者补充协议约定。原则上应当在签订土地使用权出让变更或者补充协议之日起</w:t>
      </w:r>
      <w:r>
        <w:rPr>
          <w:rFonts w:hint="default" w:ascii="Times New Roman" w:hAnsi="Times New Roman" w:eastAsia="方正仿宋_GBK" w:cs="Times New Roman"/>
          <w:color w:val="000000"/>
          <w:kern w:val="0"/>
          <w:sz w:val="32"/>
          <w:szCs w:val="32"/>
          <w:u w:val="none"/>
          <w:lang w:val="en-US" w:eastAsia="zh-CN" w:bidi="ar"/>
        </w:rPr>
        <w:t xml:space="preserve"> 1 </w:t>
      </w:r>
      <w:r>
        <w:rPr>
          <w:rFonts w:hint="eastAsia" w:ascii="方正仿宋_GBK" w:hAnsi="方正仿宋_GBK" w:eastAsia="方正仿宋_GBK" w:cs="方正仿宋_GBK"/>
          <w:color w:val="000000"/>
          <w:kern w:val="0"/>
          <w:sz w:val="32"/>
          <w:szCs w:val="32"/>
          <w:u w:val="none"/>
          <w:lang w:val="en-US" w:eastAsia="zh-CN" w:bidi="ar"/>
        </w:rPr>
        <w:t>年内开工；竣工时限从土地使用权出让变更或者补充协议约定开工之日起计算，不得超</w:t>
      </w:r>
      <w:r>
        <w:rPr>
          <w:rFonts w:hint="default" w:ascii="Times New Roman" w:hAnsi="Times New Roman" w:eastAsia="方正仿宋_GBK" w:cs="Times New Roman"/>
          <w:color w:val="000000"/>
          <w:kern w:val="0"/>
          <w:sz w:val="32"/>
          <w:szCs w:val="32"/>
          <w:u w:val="none"/>
          <w:lang w:val="en-US" w:eastAsia="zh-CN" w:bidi="ar"/>
        </w:rPr>
        <w:t xml:space="preserve">过 3 </w:t>
      </w:r>
      <w:r>
        <w:rPr>
          <w:rFonts w:hint="eastAsia" w:ascii="方正仿宋_GBK" w:hAnsi="方正仿宋_GBK" w:eastAsia="方正仿宋_GBK" w:cs="方正仿宋_GBK"/>
          <w:color w:val="000000"/>
          <w:kern w:val="0"/>
          <w:sz w:val="32"/>
          <w:szCs w:val="32"/>
          <w:u w:val="none"/>
          <w:lang w:val="en-US" w:eastAsia="zh-CN" w:bidi="ar"/>
        </w:rPr>
        <w:t xml:space="preserve">年。 </w:t>
      </w:r>
    </w:p>
    <w:p w14:paraId="4115FF9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kern w:val="0"/>
          <w:sz w:val="32"/>
          <w:szCs w:val="32"/>
          <w:u w:val="none"/>
          <w:lang w:val="en-US" w:eastAsia="zh-CN" w:bidi="ar"/>
        </w:rPr>
      </w:pPr>
      <w:r>
        <w:rPr>
          <w:rFonts w:hint="eastAsia" w:ascii="方正仿宋_GBK" w:hAnsi="方正仿宋_GBK" w:eastAsia="方正仿宋_GBK" w:cs="方正仿宋_GBK"/>
          <w:color w:val="000000"/>
          <w:kern w:val="0"/>
          <w:sz w:val="32"/>
          <w:szCs w:val="32"/>
          <w:u w:val="none"/>
          <w:lang w:val="en-US" w:eastAsia="zh-CN" w:bidi="ar"/>
        </w:rPr>
        <w:t>第十七条  本办法施行前已受理并认定的“烂尾楼”项目，按照本办法有关规定执行。</w:t>
      </w:r>
    </w:p>
    <w:p w14:paraId="1D61DE1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color w:val="000000"/>
          <w:kern w:val="0"/>
          <w:sz w:val="32"/>
          <w:szCs w:val="32"/>
          <w:u w:val="none"/>
          <w:lang w:val="en-US" w:eastAsia="zh-CN" w:bidi="ar"/>
        </w:rPr>
      </w:pPr>
      <w:r>
        <w:rPr>
          <w:rFonts w:hint="eastAsia" w:ascii="方正仿宋_GBK" w:hAnsi="方正仿宋_GBK" w:eastAsia="方正仿宋_GBK" w:cs="方正仿宋_GBK"/>
          <w:color w:val="000000"/>
          <w:kern w:val="0"/>
          <w:sz w:val="32"/>
          <w:szCs w:val="32"/>
          <w:u w:val="none"/>
          <w:lang w:val="en-US" w:eastAsia="zh-CN" w:bidi="ar"/>
        </w:rPr>
        <w:t xml:space="preserve">第十八条  </w:t>
      </w:r>
      <w:r>
        <w:rPr>
          <w:rFonts w:hint="default" w:ascii="方正仿宋_GBK" w:hAnsi="方正仿宋_GBK" w:eastAsia="方正仿宋_GBK" w:cs="方正仿宋_GBK"/>
          <w:color w:val="000000"/>
          <w:kern w:val="0"/>
          <w:sz w:val="32"/>
          <w:szCs w:val="32"/>
          <w:u w:val="none"/>
          <w:lang w:val="en-US" w:eastAsia="zh-CN" w:bidi="ar"/>
        </w:rPr>
        <w:t>本办法自</w:t>
      </w:r>
      <w:r>
        <w:rPr>
          <w:rFonts w:hint="eastAsia" w:ascii="Times New Roman" w:hAnsi="Times New Roman" w:eastAsia="方正仿宋_GBK" w:cs="Times New Roman"/>
          <w:color w:val="000000"/>
          <w:kern w:val="0"/>
          <w:sz w:val="32"/>
          <w:szCs w:val="32"/>
          <w:u w:val="none"/>
          <w:lang w:val="en-US" w:eastAsia="zh-CN" w:bidi="ar"/>
        </w:rPr>
        <w:t>发布之</w:t>
      </w:r>
      <w:r>
        <w:rPr>
          <w:rFonts w:hint="default" w:ascii="Times New Roman" w:hAnsi="Times New Roman" w:eastAsia="方正仿宋_GBK" w:cs="Times New Roman"/>
          <w:color w:val="000000"/>
          <w:kern w:val="0"/>
          <w:sz w:val="32"/>
          <w:szCs w:val="32"/>
          <w:u w:val="none"/>
          <w:lang w:val="en-US" w:eastAsia="zh-CN" w:bidi="ar"/>
        </w:rPr>
        <w:t>日起施行，有效期</w:t>
      </w:r>
      <w:r>
        <w:rPr>
          <w:rFonts w:hint="eastAsia" w:ascii="Times New Roman" w:hAnsi="Times New Roman" w:eastAsia="方正仿宋_GBK" w:cs="Times New Roman"/>
          <w:color w:val="000000"/>
          <w:kern w:val="0"/>
          <w:sz w:val="32"/>
          <w:szCs w:val="32"/>
          <w:u w:val="none"/>
          <w:lang w:val="en-US" w:eastAsia="zh-CN" w:bidi="ar"/>
        </w:rPr>
        <w:t>5年</w:t>
      </w:r>
      <w:r>
        <w:rPr>
          <w:rFonts w:hint="default" w:ascii="方正仿宋_GBK" w:hAnsi="方正仿宋_GBK" w:eastAsia="方正仿宋_GBK" w:cs="方正仿宋_GBK"/>
          <w:color w:val="000000"/>
          <w:kern w:val="0"/>
          <w:sz w:val="32"/>
          <w:szCs w:val="32"/>
          <w:u w:val="none"/>
          <w:lang w:val="en-US" w:eastAsia="zh-CN" w:bidi="ar"/>
        </w:rPr>
        <w:t>。</w:t>
      </w:r>
    </w:p>
    <w:sectPr>
      <w:footerReference r:id="rId3" w:type="default"/>
      <w:pgSz w:w="11906" w:h="16838"/>
      <w:pgMar w:top="2098" w:right="1474" w:bottom="1984" w:left="1587" w:header="851" w:footer="1219"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351F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16331">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416331">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wYzJiZTQ4OGQzODVkNWJmNDdiZTA3NDUyMGE3MTUifQ=="/>
  </w:docVars>
  <w:rsids>
    <w:rsidRoot w:val="00000000"/>
    <w:rsid w:val="025F3A04"/>
    <w:rsid w:val="073C7D81"/>
    <w:rsid w:val="0B5E74B3"/>
    <w:rsid w:val="10390C8B"/>
    <w:rsid w:val="16CE6DF8"/>
    <w:rsid w:val="1A672BB8"/>
    <w:rsid w:val="1F200CB6"/>
    <w:rsid w:val="1FC61CE9"/>
    <w:rsid w:val="1FDC3C5B"/>
    <w:rsid w:val="212B560D"/>
    <w:rsid w:val="24E9748D"/>
    <w:rsid w:val="27845AB1"/>
    <w:rsid w:val="2C112457"/>
    <w:rsid w:val="2D6A1F89"/>
    <w:rsid w:val="2DAB08C3"/>
    <w:rsid w:val="2E287A0D"/>
    <w:rsid w:val="30BE09F2"/>
    <w:rsid w:val="31186B05"/>
    <w:rsid w:val="330C592C"/>
    <w:rsid w:val="333A0F71"/>
    <w:rsid w:val="33822537"/>
    <w:rsid w:val="34B9727F"/>
    <w:rsid w:val="3B225C51"/>
    <w:rsid w:val="3C4B0B6B"/>
    <w:rsid w:val="3F612069"/>
    <w:rsid w:val="401C1F61"/>
    <w:rsid w:val="422C3774"/>
    <w:rsid w:val="42DD12F2"/>
    <w:rsid w:val="44793330"/>
    <w:rsid w:val="478A404B"/>
    <w:rsid w:val="4B6B5250"/>
    <w:rsid w:val="4CC82987"/>
    <w:rsid w:val="4E04139E"/>
    <w:rsid w:val="4F567613"/>
    <w:rsid w:val="51355E56"/>
    <w:rsid w:val="52611B9C"/>
    <w:rsid w:val="52736CAE"/>
    <w:rsid w:val="541A0123"/>
    <w:rsid w:val="548C3AA8"/>
    <w:rsid w:val="55186C27"/>
    <w:rsid w:val="568F6BF4"/>
    <w:rsid w:val="578838C8"/>
    <w:rsid w:val="5AE33DF0"/>
    <w:rsid w:val="5C470A30"/>
    <w:rsid w:val="5C720706"/>
    <w:rsid w:val="5DFA7CF0"/>
    <w:rsid w:val="5F294F51"/>
    <w:rsid w:val="616044A2"/>
    <w:rsid w:val="67CA7D44"/>
    <w:rsid w:val="6C5479AB"/>
    <w:rsid w:val="6DC20859"/>
    <w:rsid w:val="6FB4085F"/>
    <w:rsid w:val="754C2D14"/>
    <w:rsid w:val="799B7FC0"/>
    <w:rsid w:val="7D8A2E67"/>
    <w:rsid w:val="7E633C2F"/>
    <w:rsid w:val="7FA60E27"/>
    <w:rsid w:val="7FFF2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Body Text First Indent 2"/>
    <w:unhideWhenUsed/>
    <w:qFormat/>
    <w:uiPriority w:val="99"/>
    <w:pPr>
      <w:widowControl w:val="0"/>
      <w:spacing w:after="200"/>
      <w:ind w:firstLine="420" w:firstLineChars="200"/>
      <w:jc w:val="both"/>
    </w:pPr>
    <w:rPr>
      <w:rFonts w:ascii="Calibri" w:hAnsi="Calibri" w:eastAsia="宋体" w:cs="Times New Roman"/>
      <w:kern w:val="2"/>
      <w:sz w:val="32"/>
      <w:szCs w:val="24"/>
      <w:lang w:val="en-US" w:eastAsia="zh-CN" w:bidi="ar-SA"/>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2684</Words>
  <Characters>2684</Characters>
  <Lines>0</Lines>
  <Paragraphs>0</Paragraphs>
  <TotalTime>9</TotalTime>
  <ScaleCrop>false</ScaleCrop>
  <LinksUpToDate>false</LinksUpToDate>
  <CharactersWithSpaces>2763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2022-09-27T00:45:00Z</dcterms:created>
  <dc:creator>coocaa</dc:creator>
  <cp:lastModifiedBy>马嵩嵩</cp:lastModifiedBy>
  <cp:lastPrinted>2024-08-26T08:47:00Z</cp:lastPrinted>
  <dcterms:modified xsi:type="dcterms:W3CDTF">2025-06-10T01:55:40Z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2AA2DEA90B424BE3B01C8BE17642F9D6_13</vt:lpwstr>
  </property>
  <property fmtid="{D5CDD505-2E9C-101B-9397-08002B2CF9AE}" pid="4" name="KSOTemplateDocerSaveRecord">
    <vt:lpwstr>eyJoZGlkIjoiZjkwYzJiZTQ4OGQzODVkNWJmNDdiZTA3NDUyMGE3MTUiLCJ1c2VySWQiOiI0OTYyNjQ5MjUifQ==</vt:lpwstr>
  </property>
</Properties>
</file>