
<file path=[Content_Types].xml><?xml version="1.0" encoding="utf-8"?>
<Types xmlns="http://schemas.openxmlformats.org/package/2006/content-types">
  <Default Extension="xml" ContentType="application/xml"/>
  <Default Extension="jpeg" ContentType="image/jpeg"/>
  <Default Extension="JPG" ContentType="image/.jp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2CB234">
      <w:pPr>
        <w:ind w:firstLine="480"/>
        <w:rPr>
          <w:rFonts w:cs="Times New Roman"/>
        </w:rPr>
      </w:pPr>
    </w:p>
    <w:p w14:paraId="6C37B7FB">
      <w:pPr>
        <w:ind w:firstLine="480"/>
        <w:rPr>
          <w:rFonts w:cs="Times New Roman"/>
        </w:rPr>
      </w:pPr>
    </w:p>
    <w:p w14:paraId="7317B901">
      <w:pPr>
        <w:ind w:firstLine="480"/>
        <w:rPr>
          <w:rFonts w:cs="Times New Roman"/>
        </w:rPr>
      </w:pPr>
    </w:p>
    <w:p w14:paraId="3EE7B988">
      <w:pPr>
        <w:ind w:firstLine="480"/>
        <w:rPr>
          <w:rFonts w:cs="Times New Roman"/>
        </w:rPr>
      </w:pPr>
    </w:p>
    <w:p w14:paraId="593941DA">
      <w:pPr>
        <w:pStyle w:val="56"/>
        <w:spacing w:line="720" w:lineRule="auto"/>
        <w:rPr>
          <w:rFonts w:hAnsi="黑体" w:cs="Times New Roman"/>
          <w:b/>
          <w:spacing w:val="-16"/>
          <w:sz w:val="72"/>
          <w:szCs w:val="48"/>
        </w:rPr>
      </w:pPr>
      <w:r>
        <w:rPr>
          <w:rFonts w:hint="eastAsia" w:hAnsi="黑体" w:cs="Times New Roman"/>
          <w:b/>
          <w:spacing w:val="-16"/>
          <w:sz w:val="72"/>
          <w:szCs w:val="48"/>
        </w:rPr>
        <w:t>泰州市现代水网建设规划</w:t>
      </w:r>
    </w:p>
    <w:p w14:paraId="4EE84FAE">
      <w:pPr>
        <w:pStyle w:val="56"/>
        <w:spacing w:line="720" w:lineRule="auto"/>
        <w:rPr>
          <w:rFonts w:hAnsi="黑体" w:cs="Times New Roman"/>
        </w:rPr>
      </w:pPr>
      <w:r>
        <w:rPr>
          <w:rFonts w:hint="eastAsia" w:hAnsi="黑体" w:cs="Times New Roman"/>
        </w:rPr>
        <w:t>（</w:t>
      </w:r>
      <w:r>
        <w:rPr>
          <w:rFonts w:ascii="Times New Roman" w:hAnsi="Times New Roman" w:cs="Times New Roman"/>
        </w:rPr>
        <w:t>2024—2035年</w:t>
      </w:r>
      <w:r>
        <w:rPr>
          <w:rFonts w:hint="eastAsia" w:hAnsi="黑体" w:cs="Times New Roman"/>
        </w:rPr>
        <w:t>）</w:t>
      </w:r>
    </w:p>
    <w:p w14:paraId="158D0CE7">
      <w:pPr>
        <w:pStyle w:val="56"/>
        <w:spacing w:line="720" w:lineRule="auto"/>
        <w:rPr>
          <w:rFonts w:hAnsi="黑体" w:cs="Times New Roman"/>
        </w:rPr>
      </w:pPr>
      <w:r>
        <w:rPr>
          <w:rFonts w:hint="eastAsia" w:hAnsi="黑体" w:cs="Times New Roman"/>
        </w:rPr>
        <w:t>（</w:t>
      </w:r>
      <w:r>
        <w:rPr>
          <w:rFonts w:hint="eastAsia" w:hAnsi="黑体" w:cs="Times New Roman"/>
          <w:lang w:eastAsia="zh-CN"/>
        </w:rPr>
        <w:t>公开征求意见稿）</w:t>
      </w:r>
    </w:p>
    <w:p w14:paraId="4AC83021">
      <w:pPr>
        <w:ind w:firstLine="480"/>
        <w:rPr>
          <w:rFonts w:cs="Times New Roman"/>
        </w:rPr>
      </w:pPr>
    </w:p>
    <w:p w14:paraId="3AA15BD0">
      <w:pPr>
        <w:ind w:firstLine="480"/>
        <w:rPr>
          <w:rFonts w:cs="Times New Roman"/>
        </w:rPr>
      </w:pPr>
    </w:p>
    <w:p w14:paraId="2D985152">
      <w:pPr>
        <w:ind w:firstLine="480"/>
        <w:rPr>
          <w:rFonts w:cs="Times New Roman"/>
        </w:rPr>
      </w:pPr>
    </w:p>
    <w:p w14:paraId="1796E354">
      <w:pPr>
        <w:ind w:firstLine="480"/>
        <w:rPr>
          <w:rFonts w:cs="Times New Roman"/>
        </w:rPr>
      </w:pPr>
    </w:p>
    <w:p w14:paraId="7258C968">
      <w:pPr>
        <w:ind w:firstLine="480"/>
        <w:rPr>
          <w:rFonts w:cs="Times New Roman"/>
        </w:rPr>
      </w:pPr>
    </w:p>
    <w:p w14:paraId="7CA15D8A">
      <w:pPr>
        <w:ind w:firstLine="480"/>
        <w:rPr>
          <w:rFonts w:cs="Times New Roman"/>
        </w:rPr>
      </w:pPr>
    </w:p>
    <w:p w14:paraId="679310B4">
      <w:pPr>
        <w:ind w:firstLine="480"/>
        <w:rPr>
          <w:rFonts w:cs="Times New Roman"/>
        </w:rPr>
      </w:pPr>
    </w:p>
    <w:p w14:paraId="52FDCE4F">
      <w:pPr>
        <w:ind w:firstLine="480"/>
        <w:rPr>
          <w:rFonts w:cs="Times New Roman"/>
        </w:rPr>
      </w:pPr>
    </w:p>
    <w:p w14:paraId="54BFFFED">
      <w:pPr>
        <w:ind w:firstLine="480"/>
        <w:rPr>
          <w:rFonts w:cs="Times New Roman"/>
        </w:rPr>
      </w:pPr>
    </w:p>
    <w:p w14:paraId="74948B10">
      <w:pPr>
        <w:ind w:firstLine="480"/>
        <w:rPr>
          <w:rFonts w:cs="Times New Roman"/>
        </w:rPr>
      </w:pPr>
    </w:p>
    <w:p w14:paraId="15D2C075">
      <w:pPr>
        <w:ind w:firstLine="480"/>
        <w:rPr>
          <w:rFonts w:cs="Times New Roman"/>
        </w:rPr>
      </w:pPr>
    </w:p>
    <w:p w14:paraId="233783C6">
      <w:pPr>
        <w:ind w:firstLine="480"/>
        <w:rPr>
          <w:rFonts w:cs="Times New Roman"/>
        </w:rPr>
      </w:pPr>
    </w:p>
    <w:p w14:paraId="5140AFF6">
      <w:pPr>
        <w:pStyle w:val="56"/>
        <w:ind w:left="1814" w:leftChars="756" w:right="1699" w:rightChars="708" w:firstLine="1"/>
        <w:jc w:val="distribute"/>
        <w:rPr>
          <w:rFonts w:hAnsi="黑体" w:cs="Times New Roman"/>
          <w:sz w:val="32"/>
          <w:szCs w:val="30"/>
        </w:rPr>
      </w:pPr>
      <w:r>
        <w:rPr>
          <w:rFonts w:hint="eastAsia" w:hAnsi="黑体" w:cs="Times New Roman"/>
          <w:sz w:val="32"/>
          <w:szCs w:val="30"/>
        </w:rPr>
        <w:t>江苏省水利勘测设计研究院有限公司</w:t>
      </w:r>
    </w:p>
    <w:p w14:paraId="0100518A">
      <w:pPr>
        <w:pStyle w:val="56"/>
        <w:ind w:left="1814" w:leftChars="756" w:right="1699" w:rightChars="708" w:firstLine="1"/>
        <w:jc w:val="distribute"/>
        <w:rPr>
          <w:rFonts w:hAnsi="黑体" w:cs="Times New Roman"/>
          <w:sz w:val="32"/>
          <w:szCs w:val="30"/>
        </w:rPr>
      </w:pPr>
      <w:r>
        <w:rPr>
          <w:rFonts w:hint="eastAsia" w:hAnsi="黑体" w:cs="Times New Roman"/>
          <w:sz w:val="32"/>
          <w:szCs w:val="30"/>
        </w:rPr>
        <w:t>水利水电工程咨询甲</w:t>
      </w:r>
      <w:r>
        <w:rPr>
          <w:rFonts w:hAnsi="黑体" w:cs="Times New Roman"/>
          <w:sz w:val="32"/>
          <w:szCs w:val="30"/>
        </w:rPr>
        <w:t>112021010541</w:t>
      </w:r>
    </w:p>
    <w:p w14:paraId="76E28F60">
      <w:pPr>
        <w:pStyle w:val="56"/>
        <w:rPr>
          <w:rFonts w:ascii="Times New Roman" w:hAnsi="Times New Roman" w:cs="Times New Roman"/>
          <w:spacing w:val="40"/>
          <w:sz w:val="34"/>
          <w:szCs w:val="34"/>
        </w:rPr>
      </w:pPr>
      <w:r>
        <w:rPr>
          <w:rFonts w:hint="eastAsia" w:hAnsi="黑体" w:cs="Times New Roman"/>
          <w:spacing w:val="40"/>
          <w:sz w:val="32"/>
          <w:szCs w:val="30"/>
        </w:rPr>
        <w:t>二○二四年十月</w:t>
      </w:r>
      <w:r>
        <w:rPr>
          <w:rFonts w:ascii="Times New Roman" w:hAnsi="Times New Roman" w:cs="Times New Roman"/>
          <w:spacing w:val="40"/>
          <w:sz w:val="34"/>
          <w:szCs w:val="34"/>
        </w:rPr>
        <w:br w:type="page"/>
      </w:r>
    </w:p>
    <w:p w14:paraId="44D2785B">
      <w:pPr>
        <w:ind w:firstLine="480"/>
        <w:rPr>
          <w:rFonts w:cs="Times New Roman"/>
        </w:rPr>
      </w:pPr>
    </w:p>
    <w:p w14:paraId="12B3EBB3">
      <w:pPr>
        <w:ind w:firstLine="480"/>
        <w:rPr>
          <w:rFonts w:cs="Times New Roman"/>
        </w:rPr>
      </w:pPr>
    </w:p>
    <w:p w14:paraId="58FC9EB3">
      <w:pPr>
        <w:ind w:firstLine="480"/>
        <w:rPr>
          <w:rFonts w:cs="Times New Roman"/>
        </w:rPr>
      </w:pPr>
    </w:p>
    <w:p w14:paraId="348E09EA">
      <w:pPr>
        <w:ind w:firstLine="480"/>
        <w:rPr>
          <w:rFonts w:cs="Times New Roman"/>
        </w:rPr>
      </w:pPr>
    </w:p>
    <w:p w14:paraId="5282EF25">
      <w:pPr>
        <w:pStyle w:val="56"/>
        <w:spacing w:line="720" w:lineRule="auto"/>
        <w:rPr>
          <w:rFonts w:hAnsi="黑体" w:cs="Times New Roman"/>
          <w:b/>
          <w:spacing w:val="-16"/>
          <w:sz w:val="72"/>
          <w:szCs w:val="48"/>
        </w:rPr>
      </w:pPr>
      <w:r>
        <w:rPr>
          <w:rFonts w:hint="eastAsia" w:hAnsi="黑体" w:cs="Times New Roman"/>
          <w:b/>
          <w:spacing w:val="-16"/>
          <w:sz w:val="72"/>
          <w:szCs w:val="48"/>
        </w:rPr>
        <w:t>泰州市现代水网建设规划</w:t>
      </w:r>
    </w:p>
    <w:p w14:paraId="0388FC75">
      <w:pPr>
        <w:pStyle w:val="56"/>
        <w:spacing w:line="720" w:lineRule="auto"/>
        <w:rPr>
          <w:rFonts w:hAnsi="黑体" w:cs="Times New Roman"/>
        </w:rPr>
      </w:pPr>
      <w:r>
        <w:rPr>
          <w:rFonts w:hint="eastAsia" w:hAnsi="黑体" w:cs="Times New Roman"/>
        </w:rPr>
        <w:t>（</w:t>
      </w:r>
      <w:r>
        <w:rPr>
          <w:rFonts w:ascii="Times New Roman" w:hAnsi="Times New Roman" w:cs="Times New Roman"/>
        </w:rPr>
        <w:t>2024—2035年</w:t>
      </w:r>
      <w:r>
        <w:rPr>
          <w:rFonts w:hint="eastAsia" w:hAnsi="黑体" w:cs="Times New Roman"/>
        </w:rPr>
        <w:t>）</w:t>
      </w:r>
    </w:p>
    <w:p w14:paraId="579BFEB2">
      <w:pPr>
        <w:pStyle w:val="56"/>
        <w:spacing w:line="720" w:lineRule="auto"/>
        <w:rPr>
          <w:rFonts w:hAnsi="黑体" w:cs="Times New Roman"/>
        </w:rPr>
      </w:pPr>
      <w:r>
        <w:rPr>
          <w:rFonts w:hint="eastAsia" w:hAnsi="黑体" w:cs="Times New Roman"/>
          <w:lang w:eastAsia="zh-CN"/>
        </w:rPr>
        <w:t>（公开征求意见稿</w:t>
      </w:r>
      <w:bookmarkStart w:id="318" w:name="_GoBack"/>
      <w:bookmarkEnd w:id="318"/>
      <w:r>
        <w:rPr>
          <w:rFonts w:hint="eastAsia" w:hAnsi="黑体" w:cs="Times New Roman"/>
        </w:rPr>
        <w:t>）</w:t>
      </w:r>
    </w:p>
    <w:p w14:paraId="1FEE424A">
      <w:pPr>
        <w:ind w:firstLine="480"/>
        <w:rPr>
          <w:rFonts w:ascii="黑体" w:hAnsi="黑体" w:eastAsia="黑体" w:cs="Times New Roman"/>
        </w:rPr>
      </w:pPr>
    </w:p>
    <w:p w14:paraId="2ED13085">
      <w:pPr>
        <w:ind w:firstLine="480"/>
        <w:rPr>
          <w:rFonts w:ascii="黑体" w:hAnsi="黑体" w:eastAsia="黑体" w:cs="Times New Roman"/>
        </w:rPr>
      </w:pPr>
    </w:p>
    <w:p w14:paraId="1CD8DCB8">
      <w:pPr>
        <w:ind w:firstLine="480"/>
        <w:rPr>
          <w:rFonts w:ascii="黑体" w:hAnsi="黑体" w:eastAsia="黑体" w:cs="Times New Roman"/>
        </w:rPr>
      </w:pPr>
    </w:p>
    <w:p w14:paraId="78068CBE">
      <w:pPr>
        <w:ind w:firstLine="480"/>
        <w:rPr>
          <w:rFonts w:ascii="黑体" w:hAnsi="黑体" w:eastAsia="黑体" w:cs="Times New Roman"/>
        </w:rPr>
      </w:pPr>
    </w:p>
    <w:p w14:paraId="25089328">
      <w:pPr>
        <w:pStyle w:val="56"/>
        <w:rPr>
          <w:rFonts w:ascii="宋体" w:eastAsia="宋体" w:cs="Times New Roman"/>
          <w:b/>
          <w:sz w:val="28"/>
          <w:szCs w:val="24"/>
        </w:rPr>
      </w:pPr>
      <w:r>
        <w:rPr>
          <w:rFonts w:hint="eastAsia" w:ascii="宋体" w:eastAsia="宋体" w:cs="Times New Roman"/>
          <w:b/>
          <w:sz w:val="28"/>
          <w:szCs w:val="24"/>
        </w:rPr>
        <w:t xml:space="preserve">声 </w:t>
      </w:r>
      <w:r>
        <w:rPr>
          <w:rFonts w:ascii="宋体" w:eastAsia="宋体" w:cs="Times New Roman"/>
          <w:b/>
          <w:sz w:val="28"/>
          <w:szCs w:val="24"/>
        </w:rPr>
        <w:t xml:space="preserve"> </w:t>
      </w:r>
      <w:r>
        <w:rPr>
          <w:rFonts w:hint="eastAsia" w:ascii="宋体" w:eastAsia="宋体" w:cs="Times New Roman"/>
          <w:b/>
          <w:sz w:val="28"/>
          <w:szCs w:val="24"/>
        </w:rPr>
        <w:t>明</w:t>
      </w:r>
    </w:p>
    <w:p w14:paraId="45F3E390">
      <w:pPr>
        <w:pStyle w:val="56"/>
        <w:jc w:val="left"/>
        <w:rPr>
          <w:rFonts w:ascii="宋体" w:eastAsia="宋体" w:cs="Times New Roman"/>
          <w:sz w:val="28"/>
          <w:szCs w:val="24"/>
        </w:rPr>
      </w:pPr>
      <w:r>
        <w:rPr>
          <w:rFonts w:hint="eastAsia" w:ascii="宋体" w:eastAsia="宋体" w:cs="Times New Roman"/>
          <w:sz w:val="28"/>
          <w:szCs w:val="24"/>
        </w:rPr>
        <w:t xml:space="preserve"> </w:t>
      </w:r>
      <w:r>
        <w:rPr>
          <w:rFonts w:ascii="宋体" w:eastAsia="宋体" w:cs="Times New Roman"/>
          <w:sz w:val="28"/>
          <w:szCs w:val="24"/>
        </w:rPr>
        <w:t xml:space="preserve">   </w:t>
      </w:r>
      <w:r>
        <w:rPr>
          <w:rFonts w:hint="eastAsia" w:ascii="宋体" w:eastAsia="宋体" w:cs="Times New Roman"/>
          <w:sz w:val="28"/>
          <w:szCs w:val="24"/>
        </w:rPr>
        <w:t>本成果仅限于合同指定的项目使用。未经知识产权拥有者书面授权，不得翻印（录）、传播或他用。对于侵权行为将保留追究其法律责任的权力。</w:t>
      </w:r>
    </w:p>
    <w:p w14:paraId="34B0FC7C">
      <w:pPr>
        <w:ind w:firstLine="480"/>
        <w:rPr>
          <w:rFonts w:cs="Times New Roman"/>
        </w:rPr>
      </w:pPr>
    </w:p>
    <w:p w14:paraId="3AA6F8D6">
      <w:pPr>
        <w:ind w:firstLine="480"/>
        <w:rPr>
          <w:rFonts w:cs="Times New Roman"/>
        </w:rPr>
      </w:pPr>
    </w:p>
    <w:p w14:paraId="5E8D6C6E">
      <w:pPr>
        <w:ind w:firstLine="480"/>
        <w:rPr>
          <w:rFonts w:cs="Times New Roman"/>
        </w:rPr>
      </w:pPr>
    </w:p>
    <w:p w14:paraId="1D96DFE5">
      <w:pPr>
        <w:ind w:firstLine="480"/>
        <w:rPr>
          <w:rFonts w:cs="Times New Roman"/>
        </w:rPr>
      </w:pPr>
    </w:p>
    <w:p w14:paraId="186E783A">
      <w:pPr>
        <w:pStyle w:val="56"/>
        <w:ind w:left="1814" w:leftChars="756" w:right="1699" w:rightChars="708" w:firstLine="1"/>
        <w:jc w:val="distribute"/>
        <w:rPr>
          <w:rFonts w:hAnsi="黑体" w:cs="Times New Roman"/>
          <w:sz w:val="32"/>
          <w:szCs w:val="30"/>
        </w:rPr>
      </w:pPr>
      <w:r>
        <w:rPr>
          <w:rFonts w:hint="eastAsia" w:hAnsi="黑体" w:cs="Times New Roman"/>
          <w:sz w:val="32"/>
          <w:szCs w:val="30"/>
        </w:rPr>
        <w:t>江苏省水利勘测设计研究院有限公司</w:t>
      </w:r>
    </w:p>
    <w:p w14:paraId="1F12AB1D">
      <w:pPr>
        <w:pStyle w:val="56"/>
        <w:ind w:left="1814" w:leftChars="756" w:right="1699" w:rightChars="708" w:firstLine="1"/>
        <w:jc w:val="distribute"/>
        <w:rPr>
          <w:rFonts w:hAnsi="黑体" w:cs="Times New Roman"/>
          <w:sz w:val="32"/>
          <w:szCs w:val="30"/>
        </w:rPr>
      </w:pPr>
      <w:r>
        <w:rPr>
          <w:rFonts w:hint="eastAsia" w:hAnsi="黑体" w:cs="Times New Roman"/>
          <w:sz w:val="32"/>
          <w:szCs w:val="30"/>
        </w:rPr>
        <w:t>水利水电工程咨询甲</w:t>
      </w:r>
      <w:r>
        <w:rPr>
          <w:rFonts w:hAnsi="黑体" w:cs="Times New Roman"/>
          <w:sz w:val="32"/>
          <w:szCs w:val="30"/>
        </w:rPr>
        <w:t>112021010541</w:t>
      </w:r>
    </w:p>
    <w:p w14:paraId="1A93B36B">
      <w:pPr>
        <w:pStyle w:val="56"/>
        <w:rPr>
          <w:rFonts w:ascii="Times New Roman" w:hAnsi="Times New Roman" w:cs="Times New Roman"/>
          <w:spacing w:val="40"/>
          <w:sz w:val="34"/>
          <w:szCs w:val="34"/>
        </w:rPr>
      </w:pPr>
      <w:r>
        <w:rPr>
          <w:rFonts w:hint="eastAsia" w:hAnsi="黑体" w:cs="Times New Roman"/>
          <w:spacing w:val="40"/>
          <w:sz w:val="32"/>
          <w:szCs w:val="30"/>
        </w:rPr>
        <w:t>二○二四年十月</w:t>
      </w:r>
      <w:r>
        <w:rPr>
          <w:rFonts w:ascii="Times New Roman" w:hAnsi="Times New Roman" w:cs="Times New Roman"/>
          <w:spacing w:val="40"/>
          <w:sz w:val="34"/>
          <w:szCs w:val="34"/>
        </w:rPr>
        <w:br w:type="page"/>
      </w:r>
    </w:p>
    <w:p w14:paraId="332DC9FD">
      <w:pPr>
        <w:pStyle w:val="56"/>
        <w:rPr>
          <w:rFonts w:ascii="Times New Roman" w:hAnsi="Times New Roman" w:cs="Times New Roman"/>
          <w:sz w:val="32"/>
          <w:szCs w:val="32"/>
          <w14:shadow w14:blurRad="38100" w14:dist="19050" w14:dir="2700000" w14:sx="100000" w14:sy="100000" w14:kx="0" w14:ky="0" w14:algn="tl">
            <w14:schemeClr w14:val="dk1">
              <w14:alpha w14:val="60000"/>
            </w14:schemeClr>
          </w14:shadow>
        </w:rPr>
        <w:sectPr>
          <w:headerReference r:id="rId7" w:type="first"/>
          <w:footerReference r:id="rId10" w:type="first"/>
          <w:headerReference r:id="rId5" w:type="default"/>
          <w:footerReference r:id="rId8" w:type="default"/>
          <w:headerReference r:id="rId6" w:type="even"/>
          <w:footerReference r:id="rId9" w:type="even"/>
          <w:type w:val="continuous"/>
          <w:pgSz w:w="11906" w:h="16838"/>
          <w:pgMar w:top="1440" w:right="1134" w:bottom="1440" w:left="1134" w:header="851" w:footer="992" w:gutter="0"/>
          <w:cols w:space="425" w:num="1"/>
          <w:docGrid w:type="lines" w:linePitch="312" w:charSpace="0"/>
        </w:sectPr>
      </w:pPr>
    </w:p>
    <w:p w14:paraId="6CF11B82">
      <w:pPr>
        <w:pStyle w:val="56"/>
        <w:rPr>
          <w:rFonts w:ascii="Times New Roman" w:hAnsi="Times New Roman" w:eastAsia="方正黑体_GBK" w:cs="Times New Roman"/>
          <w:sz w:val="36"/>
          <w:szCs w:val="36"/>
        </w:rPr>
      </w:pPr>
      <w:r>
        <w:rPr>
          <w:rFonts w:hint="eastAsia" w:ascii="Times New Roman" w:hAnsi="Times New Roman" w:eastAsia="方正黑体_GBK" w:cs="Times New Roman"/>
          <w:sz w:val="36"/>
          <w:szCs w:val="36"/>
        </w:rPr>
        <w:t xml:space="preserve">前 </w:t>
      </w:r>
      <w:r>
        <w:rPr>
          <w:rFonts w:ascii="Times New Roman" w:hAnsi="Times New Roman" w:eastAsia="方正黑体_GBK" w:cs="Times New Roman"/>
          <w:sz w:val="36"/>
          <w:szCs w:val="36"/>
        </w:rPr>
        <w:t xml:space="preserve"> </w:t>
      </w:r>
      <w:r>
        <w:rPr>
          <w:rFonts w:hint="eastAsia" w:ascii="Times New Roman" w:hAnsi="Times New Roman" w:eastAsia="方正黑体_GBK" w:cs="Times New Roman"/>
          <w:sz w:val="36"/>
          <w:szCs w:val="36"/>
        </w:rPr>
        <w:t>言</w:t>
      </w:r>
    </w:p>
    <w:p w14:paraId="643F024C">
      <w:pPr>
        <w:ind w:firstLine="480"/>
        <w:rPr>
          <w:rFonts w:cs="Times New Roman"/>
        </w:rPr>
      </w:pPr>
      <w:r>
        <w:rPr>
          <w:rFonts w:hint="eastAsia" w:cs="Times New Roman"/>
        </w:rPr>
        <w:t>加快构建国家水网，建设现代化高质量水利基础设施网络，统筹解决水资源、水生态、水环境、水灾害问题，是以习近平同志为核心的党中央作出的重大战略部署。</w:t>
      </w:r>
      <w:r>
        <w:rPr>
          <w:rFonts w:cs="Times New Roman"/>
        </w:rPr>
        <w:t>2023</w:t>
      </w:r>
      <w:r>
        <w:rPr>
          <w:rFonts w:hint="eastAsia" w:cs="Times New Roman"/>
        </w:rPr>
        <w:t>年</w:t>
      </w:r>
      <w:r>
        <w:rPr>
          <w:rFonts w:cs="Times New Roman"/>
        </w:rPr>
        <w:t>5</w:t>
      </w:r>
      <w:r>
        <w:rPr>
          <w:rFonts w:hint="eastAsia" w:cs="Times New Roman"/>
        </w:rPr>
        <w:t>月，中共中央、国务院印发了《国家水网建设规划纲要》；</w:t>
      </w:r>
      <w:r>
        <w:rPr>
          <w:rFonts w:cs="Times New Roman"/>
        </w:rPr>
        <w:t>2022</w:t>
      </w:r>
      <w:r>
        <w:rPr>
          <w:rFonts w:hint="eastAsia" w:cs="Times New Roman"/>
        </w:rPr>
        <w:t>年</w:t>
      </w:r>
      <w:r>
        <w:rPr>
          <w:rFonts w:cs="Times New Roman"/>
        </w:rPr>
        <w:t>12</w:t>
      </w:r>
      <w:r>
        <w:rPr>
          <w:rFonts w:hint="eastAsia" w:cs="Times New Roman"/>
        </w:rPr>
        <w:t>月，江苏省人民政府批复《</w:t>
      </w:r>
      <w:bookmarkStart w:id="0" w:name="_Hlk168751342"/>
      <w:r>
        <w:rPr>
          <w:rFonts w:hint="eastAsia" w:cs="Times New Roman"/>
        </w:rPr>
        <w:t>江苏省现代水网建设规划</w:t>
      </w:r>
      <w:bookmarkEnd w:id="0"/>
      <w:r>
        <w:rPr>
          <w:rFonts w:hint="eastAsia" w:cs="Times New Roman"/>
        </w:rPr>
        <w:t>》（苏政复〔202</w:t>
      </w:r>
      <w:r>
        <w:rPr>
          <w:rFonts w:cs="Times New Roman"/>
        </w:rPr>
        <w:t>2</w:t>
      </w:r>
      <w:r>
        <w:rPr>
          <w:rFonts w:hint="eastAsia" w:cs="Times New Roman"/>
        </w:rPr>
        <w:t>〕</w:t>
      </w:r>
      <w:r>
        <w:rPr>
          <w:rFonts w:cs="Times New Roman"/>
        </w:rPr>
        <w:t>3</w:t>
      </w:r>
      <w:r>
        <w:rPr>
          <w:rFonts w:hint="eastAsia" w:cs="Times New Roman"/>
        </w:rPr>
        <w:t>3号）。</w:t>
      </w:r>
      <w:r>
        <w:rPr>
          <w:rFonts w:cs="Times New Roman"/>
        </w:rPr>
        <w:t>2023</w:t>
      </w:r>
      <w:r>
        <w:rPr>
          <w:rFonts w:hint="eastAsia" w:cs="Times New Roman"/>
        </w:rPr>
        <w:t>年</w:t>
      </w:r>
      <w:r>
        <w:rPr>
          <w:rFonts w:cs="Times New Roman"/>
        </w:rPr>
        <w:t>12</w:t>
      </w:r>
      <w:r>
        <w:rPr>
          <w:rFonts w:hint="eastAsia" w:cs="Times New Roman"/>
        </w:rPr>
        <w:t>月，江苏省水利厅印发《江苏省水利厅关于加快推进市、县级水网规划编制工作的通知》（苏水计〔</w:t>
      </w:r>
      <w:r>
        <w:rPr>
          <w:rFonts w:cs="Times New Roman"/>
        </w:rPr>
        <w:t>2023</w:t>
      </w:r>
      <w:r>
        <w:rPr>
          <w:rFonts w:hint="eastAsia" w:cs="Times New Roman"/>
        </w:rPr>
        <w:t>〕</w:t>
      </w:r>
      <w:r>
        <w:rPr>
          <w:rFonts w:cs="Times New Roman"/>
        </w:rPr>
        <w:t>53</w:t>
      </w:r>
      <w:r>
        <w:rPr>
          <w:rFonts w:hint="eastAsia" w:cs="Times New Roman"/>
        </w:rPr>
        <w:t>号），要求加快构建“系统完备、安全可靠，集约高效、绿色智能，循环通畅、调控有序”的现代水网体系，加强国家、省、市、县各级水网的深度融合、系统集成，统筹推进市县级水网建设。</w:t>
      </w:r>
    </w:p>
    <w:p w14:paraId="09163BAB">
      <w:pPr>
        <w:ind w:firstLine="480"/>
        <w:rPr>
          <w:rFonts w:cs="Times New Roman"/>
        </w:rPr>
      </w:pPr>
      <w:r>
        <w:rPr>
          <w:rFonts w:hint="eastAsia" w:cs="Times New Roman"/>
        </w:rPr>
        <w:t>泰州市，地处江苏省中部，南部濒临长江，北部与盐城毗邻，东临南通，西接扬州</w:t>
      </w:r>
      <w:r>
        <w:rPr>
          <w:rFonts w:cs="Times New Roman"/>
        </w:rPr>
        <w:t>，总面积5787.98</w:t>
      </w:r>
      <w:r>
        <w:rPr>
          <w:rFonts w:hint="eastAsia" w:cs="Times New Roman"/>
        </w:rPr>
        <w:t>km²。泰州纵跨长江、淮河两大流域，区内水系发达，河湖密布，水域面积约占国土面积的五分之一，新中国成立以来，泰州围绕</w:t>
      </w:r>
      <w:r>
        <w:rPr>
          <w:rFonts w:ascii="宋体" w:hAnsi="宋体" w:cs="Times New Roman"/>
        </w:rPr>
        <w:t>“</w:t>
      </w:r>
      <w:r>
        <w:rPr>
          <w:rFonts w:hint="eastAsia" w:ascii="宋体" w:hAnsi="宋体" w:cs="Times New Roman"/>
        </w:rPr>
        <w:t>治好水、用好水、护好水、管好水</w:t>
      </w:r>
      <w:r>
        <w:rPr>
          <w:rFonts w:ascii="宋体" w:hAnsi="宋体" w:cs="Times New Roman"/>
        </w:rPr>
        <w:t>”</w:t>
      </w:r>
      <w:r>
        <w:rPr>
          <w:rFonts w:hint="eastAsia" w:cs="Times New Roman"/>
        </w:rPr>
        <w:t>掀起了四轮治水高潮，有效巩固了长江堤防，完善了区域引排体系，提升了水资源节约集约水平，打造了独具特色的水乡垛田景观，初步构建起较为完善的防洪减灾和水资源保障体系，为现代水网建设奠定了坚实基础。当前，“一带一路”建设、长江经济带发展、长三角区域一体化发展等国家战略在泰州叠加交汇，为泰州水网建设带来了新的发展机遇。为贯彻落实习近平总书记重要指示精神和党中央、国务院决策部署，衔接国家、省级水网顶层设计，谋划泰州市现代水网建设，并有效指导县级水网建设，泰州市水利局组织编制完成《泰州市现代水网建设规划》（以下简称《规划》），《规划》现状基准年为2023年，规划水平年为2035年。</w:t>
      </w:r>
    </w:p>
    <w:p w14:paraId="7F7458F5">
      <w:pPr>
        <w:ind w:firstLine="480"/>
        <w:rPr>
          <w:rFonts w:cs="Times New Roman"/>
        </w:rPr>
      </w:pPr>
      <w:r>
        <w:rPr>
          <w:rFonts w:hint="eastAsia" w:cs="Times New Roman"/>
        </w:rPr>
        <w:t>《规划》紧密衔接《国家水网建设规划纲要》《江苏省现代水网建设规划》及《泰州市国民经济和社会发展第十四个五年规划和二〇三五年远景目标纲要》，依据流域规划、区域治理规划、水资源综合规划及中小河流治理方案等综合规划和专项规划，衔接国土空间、航道、生态等相关行业规划，立足泰州市独特的自然条件、水系特征、建设基础及形势需求，锚定构建“系统完备、安全可靠，集约高效、绿色智能，循环通畅、调控有序”的现代水网为目标，以增强排水、输水、蓄水功能为重点，以提升水灾害防御、水资源调配、水生态修复能力为核心，通过联网、补网、强链，着力激发新老工程潜能，推进水网与其他行业领域协同融合，不断增强水网的综合性、系统性、保障性优势，充分发挥现代水网综合功能和效益，形成“</w:t>
      </w:r>
      <w:r>
        <w:rPr>
          <w:rFonts w:hint="eastAsia" w:cs="Times New Roman"/>
          <w:iCs/>
        </w:rPr>
        <w:t>一江三纵五横举纲、两区百河张目、湖荡闸站系结</w:t>
      </w:r>
      <w:r>
        <w:rPr>
          <w:rFonts w:hint="eastAsia" w:cs="Times New Roman"/>
        </w:rPr>
        <w:t>”的市级水网总体布局，有序推进长江堤防防洪能力提升、里下河滞涝圩调整与建设、通南地区引排能力提升、幸福河湖建设等重大工程，水网建设规划总投资</w:t>
      </w:r>
      <w:r>
        <w:rPr>
          <w:rFonts w:cs="Times New Roman"/>
        </w:rPr>
        <w:t>302.96</w:t>
      </w:r>
      <w:r>
        <w:rPr>
          <w:rFonts w:hint="eastAsia" w:cs="Times New Roman"/>
        </w:rPr>
        <w:t>亿元，其中</w:t>
      </w:r>
      <w:r>
        <w:rPr>
          <w:rFonts w:cs="Times New Roman"/>
        </w:rPr>
        <w:t>2024</w:t>
      </w:r>
      <w:r>
        <w:rPr>
          <w:rFonts w:hint="eastAsia" w:cs="Times New Roman"/>
        </w:rPr>
        <w:t>～</w:t>
      </w:r>
      <w:r>
        <w:rPr>
          <w:rFonts w:cs="Times New Roman"/>
        </w:rPr>
        <w:t>2025</w:t>
      </w:r>
      <w:r>
        <w:rPr>
          <w:rFonts w:hint="eastAsia" w:cs="Times New Roman"/>
        </w:rPr>
        <w:t>年投资</w:t>
      </w:r>
      <w:r>
        <w:rPr>
          <w:rFonts w:cs="Times New Roman"/>
        </w:rPr>
        <w:t>37.51</w:t>
      </w:r>
      <w:r>
        <w:rPr>
          <w:rFonts w:hint="eastAsia" w:cs="Times New Roman"/>
        </w:rPr>
        <w:t>亿元、</w:t>
      </w:r>
      <w:r>
        <w:rPr>
          <w:rFonts w:cs="Times New Roman"/>
        </w:rPr>
        <w:t>2026</w:t>
      </w:r>
      <w:r>
        <w:rPr>
          <w:rFonts w:hint="eastAsia" w:cs="Times New Roman"/>
        </w:rPr>
        <w:t>～</w:t>
      </w:r>
      <w:r>
        <w:rPr>
          <w:rFonts w:cs="Times New Roman"/>
        </w:rPr>
        <w:t>2030</w:t>
      </w:r>
      <w:r>
        <w:rPr>
          <w:rFonts w:hint="eastAsia" w:cs="Times New Roman"/>
        </w:rPr>
        <w:t>年投资</w:t>
      </w:r>
      <w:r>
        <w:rPr>
          <w:rFonts w:cs="Times New Roman"/>
        </w:rPr>
        <w:t>131.06</w:t>
      </w:r>
      <w:r>
        <w:rPr>
          <w:rFonts w:hint="eastAsia" w:cs="Times New Roman"/>
        </w:rPr>
        <w:t>亿元、</w:t>
      </w:r>
      <w:r>
        <w:rPr>
          <w:rFonts w:cs="Times New Roman"/>
        </w:rPr>
        <w:t>2031</w:t>
      </w:r>
      <w:r>
        <w:rPr>
          <w:rFonts w:hint="eastAsia" w:cs="Times New Roman"/>
        </w:rPr>
        <w:t>～</w:t>
      </w:r>
      <w:r>
        <w:rPr>
          <w:rFonts w:cs="Times New Roman"/>
        </w:rPr>
        <w:t>2035</w:t>
      </w:r>
      <w:r>
        <w:rPr>
          <w:rFonts w:hint="eastAsia" w:cs="Times New Roman"/>
        </w:rPr>
        <w:t>年投资</w:t>
      </w:r>
      <w:r>
        <w:rPr>
          <w:rFonts w:cs="Times New Roman"/>
        </w:rPr>
        <w:t>134.39</w:t>
      </w:r>
      <w:r>
        <w:rPr>
          <w:rFonts w:hint="eastAsia" w:cs="Times New Roman"/>
        </w:rPr>
        <w:t>亿元。</w:t>
      </w:r>
    </w:p>
    <w:p w14:paraId="1ACA87D5">
      <w:pPr>
        <w:ind w:firstLine="480"/>
        <w:rPr>
          <w:rFonts w:cs="Times New Roman"/>
        </w:rPr>
      </w:pPr>
    </w:p>
    <w:p w14:paraId="0340255C">
      <w:pPr>
        <w:pStyle w:val="56"/>
        <w:rPr>
          <w:rFonts w:ascii="Times New Roman" w:hAnsi="Times New Roman" w:cs="Times New Roman"/>
          <w:sz w:val="32"/>
          <w:szCs w:val="32"/>
          <w14:shadow w14:blurRad="38100" w14:dist="19050" w14:dir="2700000" w14:sx="100000" w14:sy="100000" w14:kx="0" w14:ky="0" w14:algn="tl">
            <w14:schemeClr w14:val="dk1">
              <w14:alpha w14:val="60000"/>
            </w14:schemeClr>
          </w14:shadow>
        </w:rPr>
        <w:sectPr>
          <w:pgSz w:w="11906" w:h="16838"/>
          <w:pgMar w:top="1440" w:right="1474" w:bottom="1440" w:left="1474" w:header="851" w:footer="992" w:gutter="0"/>
          <w:cols w:space="425" w:num="1"/>
          <w:docGrid w:type="lines" w:linePitch="408" w:charSpace="0"/>
        </w:sectPr>
      </w:pPr>
    </w:p>
    <w:p w14:paraId="32C98FEF">
      <w:pPr>
        <w:pStyle w:val="56"/>
        <w:adjustRightInd w:val="0"/>
        <w:snapToGrid w:val="0"/>
        <w:spacing w:before="156" w:beforeLines="50" w:after="156" w:afterLines="50" w:line="360" w:lineRule="exact"/>
        <w:rPr>
          <w:rFonts w:ascii="Times New Roman" w:hAnsi="Times New Roman" w:cs="Times New Roman"/>
          <w:spacing w:val="40"/>
          <w:sz w:val="34"/>
          <w:szCs w:val="34"/>
        </w:rPr>
      </w:pPr>
      <w:r>
        <w:rPr>
          <w:rFonts w:hint="eastAsia" w:ascii="Times New Roman" w:hAnsi="Times New Roman" w:cs="Times New Roman"/>
          <w:spacing w:val="40"/>
          <w:sz w:val="34"/>
          <w:szCs w:val="34"/>
        </w:rPr>
        <w:t xml:space="preserve">目 </w:t>
      </w:r>
      <w:r>
        <w:rPr>
          <w:rFonts w:ascii="Times New Roman" w:hAnsi="Times New Roman" w:cs="Times New Roman"/>
          <w:spacing w:val="40"/>
          <w:sz w:val="34"/>
          <w:szCs w:val="34"/>
        </w:rPr>
        <w:t xml:space="preserve"> </w:t>
      </w:r>
      <w:r>
        <w:rPr>
          <w:rFonts w:hint="eastAsia" w:ascii="Times New Roman" w:hAnsi="Times New Roman" w:cs="Times New Roman"/>
          <w:spacing w:val="40"/>
          <w:sz w:val="34"/>
          <w:szCs w:val="34"/>
        </w:rPr>
        <w:t>录</w:t>
      </w:r>
    </w:p>
    <w:p w14:paraId="2BB55EF7">
      <w:pPr>
        <w:pStyle w:val="21"/>
        <w:spacing w:line="340" w:lineRule="exact"/>
        <w:rPr>
          <w:rFonts w:cs="Times New Roman" w:eastAsiaTheme="minorEastAsia"/>
          <w:b w:val="0"/>
          <w:bCs w:val="0"/>
          <w:caps w:val="0"/>
          <w:sz w:val="21"/>
          <w:szCs w:val="22"/>
        </w:rPr>
      </w:pPr>
      <w:r>
        <w:rPr>
          <w:rFonts w:cs="Times New Roman" w:eastAsiaTheme="minorEastAsia"/>
          <w:sz w:val="24"/>
          <w:szCs w:val="24"/>
        </w:rPr>
        <w:fldChar w:fldCharType="begin"/>
      </w:r>
      <w:r>
        <w:rPr>
          <w:rFonts w:cs="Times New Roman" w:eastAsiaTheme="minorEastAsia"/>
          <w:sz w:val="24"/>
          <w:szCs w:val="24"/>
        </w:rPr>
        <w:instrText xml:space="preserve"> TOC \o "1-2" \h \z \u </w:instrText>
      </w:r>
      <w:r>
        <w:rPr>
          <w:rFonts w:cs="Times New Roman" w:eastAsiaTheme="minorEastAsia"/>
          <w:sz w:val="24"/>
          <w:szCs w:val="24"/>
        </w:rPr>
        <w:fldChar w:fldCharType="separate"/>
      </w:r>
      <w:r>
        <w:fldChar w:fldCharType="begin"/>
      </w:r>
      <w:r>
        <w:instrText xml:space="preserve"> HYPERLINK \l "_Toc181109833" </w:instrText>
      </w:r>
      <w:r>
        <w:fldChar w:fldCharType="separate"/>
      </w:r>
      <w:r>
        <w:rPr>
          <w:rStyle w:val="36"/>
          <w:rFonts w:cs="Times New Roman" w:eastAsiaTheme="minorEastAsia"/>
        </w:rPr>
        <w:t>1 建设基础与面临形势</w:t>
      </w:r>
      <w:r>
        <w:rPr>
          <w:rFonts w:cs="Times New Roman" w:eastAsiaTheme="minorEastAsia"/>
        </w:rPr>
        <w:tab/>
      </w:r>
      <w:r>
        <w:rPr>
          <w:rFonts w:cs="Times New Roman" w:eastAsiaTheme="minorEastAsia"/>
        </w:rPr>
        <w:fldChar w:fldCharType="begin"/>
      </w:r>
      <w:r>
        <w:rPr>
          <w:rFonts w:cs="Times New Roman" w:eastAsiaTheme="minorEastAsia"/>
        </w:rPr>
        <w:instrText xml:space="preserve"> PAGEREF _Toc181109833 \h </w:instrText>
      </w:r>
      <w:r>
        <w:rPr>
          <w:rFonts w:cs="Times New Roman" w:eastAsiaTheme="minorEastAsia"/>
        </w:rPr>
        <w:fldChar w:fldCharType="separate"/>
      </w:r>
      <w:r>
        <w:rPr>
          <w:rFonts w:cs="Times New Roman" w:eastAsiaTheme="minorEastAsia"/>
        </w:rPr>
        <w:t>1</w:t>
      </w:r>
      <w:r>
        <w:rPr>
          <w:rFonts w:cs="Times New Roman" w:eastAsiaTheme="minorEastAsia"/>
        </w:rPr>
        <w:fldChar w:fldCharType="end"/>
      </w:r>
      <w:r>
        <w:rPr>
          <w:rFonts w:cs="Times New Roman" w:eastAsiaTheme="minorEastAsia"/>
        </w:rPr>
        <w:fldChar w:fldCharType="end"/>
      </w:r>
    </w:p>
    <w:p w14:paraId="64E7F3FF">
      <w:pPr>
        <w:pStyle w:val="25"/>
        <w:rPr>
          <w:sz w:val="20"/>
          <w:szCs w:val="22"/>
        </w:rPr>
      </w:pPr>
      <w:r>
        <w:fldChar w:fldCharType="begin"/>
      </w:r>
      <w:r>
        <w:instrText xml:space="preserve"> HYPERLINK \l "_Toc181109834" </w:instrText>
      </w:r>
      <w:r>
        <w:fldChar w:fldCharType="separate"/>
      </w:r>
      <w:r>
        <w:rPr>
          <w:rStyle w:val="36"/>
        </w:rPr>
        <w:t>1.1 区域特点</w:t>
      </w:r>
      <w:r>
        <w:tab/>
      </w:r>
      <w:r>
        <w:fldChar w:fldCharType="begin"/>
      </w:r>
      <w:r>
        <w:instrText xml:space="preserve"> PAGEREF _Toc181109834 \h </w:instrText>
      </w:r>
      <w:r>
        <w:fldChar w:fldCharType="separate"/>
      </w:r>
      <w:r>
        <w:t>1</w:t>
      </w:r>
      <w:r>
        <w:fldChar w:fldCharType="end"/>
      </w:r>
      <w:r>
        <w:fldChar w:fldCharType="end"/>
      </w:r>
    </w:p>
    <w:p w14:paraId="3333E2BA">
      <w:pPr>
        <w:pStyle w:val="25"/>
        <w:rPr>
          <w:sz w:val="21"/>
          <w:szCs w:val="22"/>
        </w:rPr>
      </w:pPr>
      <w:r>
        <w:fldChar w:fldCharType="begin"/>
      </w:r>
      <w:r>
        <w:instrText xml:space="preserve"> HYPERLINK \l "_Toc181109835" </w:instrText>
      </w:r>
      <w:r>
        <w:fldChar w:fldCharType="separate"/>
      </w:r>
      <w:r>
        <w:rPr>
          <w:rStyle w:val="36"/>
        </w:rPr>
        <w:t>1.2 建设基础</w:t>
      </w:r>
      <w:r>
        <w:tab/>
      </w:r>
      <w:r>
        <w:fldChar w:fldCharType="begin"/>
      </w:r>
      <w:r>
        <w:instrText xml:space="preserve"> PAGEREF _Toc181109835 \h </w:instrText>
      </w:r>
      <w:r>
        <w:fldChar w:fldCharType="separate"/>
      </w:r>
      <w:r>
        <w:t>6</w:t>
      </w:r>
      <w:r>
        <w:fldChar w:fldCharType="end"/>
      </w:r>
      <w:r>
        <w:fldChar w:fldCharType="end"/>
      </w:r>
    </w:p>
    <w:p w14:paraId="18214EB7">
      <w:pPr>
        <w:pStyle w:val="25"/>
        <w:rPr>
          <w:sz w:val="21"/>
          <w:szCs w:val="22"/>
        </w:rPr>
      </w:pPr>
      <w:r>
        <w:fldChar w:fldCharType="begin"/>
      </w:r>
      <w:r>
        <w:instrText xml:space="preserve"> HYPERLINK \l "_Toc181109836" </w:instrText>
      </w:r>
      <w:r>
        <w:fldChar w:fldCharType="separate"/>
      </w:r>
      <w:r>
        <w:rPr>
          <w:rStyle w:val="36"/>
        </w:rPr>
        <w:t>1.3 存在问题</w:t>
      </w:r>
      <w:r>
        <w:tab/>
      </w:r>
      <w:r>
        <w:fldChar w:fldCharType="begin"/>
      </w:r>
      <w:r>
        <w:instrText xml:space="preserve"> PAGEREF _Toc181109836 \h </w:instrText>
      </w:r>
      <w:r>
        <w:fldChar w:fldCharType="separate"/>
      </w:r>
      <w:r>
        <w:t>8</w:t>
      </w:r>
      <w:r>
        <w:fldChar w:fldCharType="end"/>
      </w:r>
      <w:r>
        <w:fldChar w:fldCharType="end"/>
      </w:r>
    </w:p>
    <w:p w14:paraId="2065753C">
      <w:pPr>
        <w:pStyle w:val="25"/>
        <w:rPr>
          <w:sz w:val="21"/>
          <w:szCs w:val="22"/>
        </w:rPr>
      </w:pPr>
      <w:r>
        <w:fldChar w:fldCharType="begin"/>
      </w:r>
      <w:r>
        <w:instrText xml:space="preserve"> HYPERLINK \l "_Toc181109837" </w:instrText>
      </w:r>
      <w:r>
        <w:fldChar w:fldCharType="separate"/>
      </w:r>
      <w:r>
        <w:rPr>
          <w:rStyle w:val="36"/>
        </w:rPr>
        <w:t>1.4 形势需求</w:t>
      </w:r>
      <w:r>
        <w:tab/>
      </w:r>
      <w:r>
        <w:fldChar w:fldCharType="begin"/>
      </w:r>
      <w:r>
        <w:instrText xml:space="preserve"> PAGEREF _Toc181109837 \h </w:instrText>
      </w:r>
      <w:r>
        <w:fldChar w:fldCharType="separate"/>
      </w:r>
      <w:r>
        <w:t>11</w:t>
      </w:r>
      <w:r>
        <w:fldChar w:fldCharType="end"/>
      </w:r>
      <w:r>
        <w:fldChar w:fldCharType="end"/>
      </w:r>
    </w:p>
    <w:p w14:paraId="073A6F32">
      <w:pPr>
        <w:pStyle w:val="21"/>
        <w:spacing w:line="340" w:lineRule="exact"/>
        <w:rPr>
          <w:rFonts w:cs="Times New Roman" w:eastAsiaTheme="minorEastAsia"/>
          <w:b w:val="0"/>
          <w:bCs w:val="0"/>
          <w:caps w:val="0"/>
          <w:sz w:val="21"/>
          <w:szCs w:val="22"/>
        </w:rPr>
      </w:pPr>
      <w:r>
        <w:fldChar w:fldCharType="begin"/>
      </w:r>
      <w:r>
        <w:instrText xml:space="preserve"> HYPERLINK \l "_Toc181109838" </w:instrText>
      </w:r>
      <w:r>
        <w:fldChar w:fldCharType="separate"/>
      </w:r>
      <w:r>
        <w:rPr>
          <w:rStyle w:val="36"/>
          <w:rFonts w:cs="Times New Roman" w:eastAsiaTheme="minorEastAsia"/>
        </w:rPr>
        <w:t>2 总体要求</w:t>
      </w:r>
      <w:r>
        <w:rPr>
          <w:rFonts w:cs="Times New Roman" w:eastAsiaTheme="minorEastAsia"/>
        </w:rPr>
        <w:tab/>
      </w:r>
      <w:r>
        <w:rPr>
          <w:rFonts w:cs="Times New Roman" w:eastAsiaTheme="minorEastAsia"/>
        </w:rPr>
        <w:fldChar w:fldCharType="begin"/>
      </w:r>
      <w:r>
        <w:rPr>
          <w:rFonts w:cs="Times New Roman" w:eastAsiaTheme="minorEastAsia"/>
        </w:rPr>
        <w:instrText xml:space="preserve"> PAGEREF _Toc181109838 \h </w:instrText>
      </w:r>
      <w:r>
        <w:rPr>
          <w:rFonts w:cs="Times New Roman" w:eastAsiaTheme="minorEastAsia"/>
        </w:rPr>
        <w:fldChar w:fldCharType="separate"/>
      </w:r>
      <w:r>
        <w:rPr>
          <w:rFonts w:cs="Times New Roman" w:eastAsiaTheme="minorEastAsia"/>
        </w:rPr>
        <w:t>13</w:t>
      </w:r>
      <w:r>
        <w:rPr>
          <w:rFonts w:cs="Times New Roman" w:eastAsiaTheme="minorEastAsia"/>
        </w:rPr>
        <w:fldChar w:fldCharType="end"/>
      </w:r>
      <w:r>
        <w:rPr>
          <w:rFonts w:cs="Times New Roman" w:eastAsiaTheme="minorEastAsia"/>
        </w:rPr>
        <w:fldChar w:fldCharType="end"/>
      </w:r>
    </w:p>
    <w:p w14:paraId="17B470A2">
      <w:pPr>
        <w:pStyle w:val="25"/>
        <w:rPr>
          <w:sz w:val="21"/>
          <w:szCs w:val="22"/>
        </w:rPr>
      </w:pPr>
      <w:r>
        <w:fldChar w:fldCharType="begin"/>
      </w:r>
      <w:r>
        <w:instrText xml:space="preserve"> HYPERLINK \l "_Toc181109839" </w:instrText>
      </w:r>
      <w:r>
        <w:fldChar w:fldCharType="separate"/>
      </w:r>
      <w:r>
        <w:rPr>
          <w:rStyle w:val="36"/>
        </w:rPr>
        <w:t>2.1 指导思想</w:t>
      </w:r>
      <w:r>
        <w:tab/>
      </w:r>
      <w:r>
        <w:fldChar w:fldCharType="begin"/>
      </w:r>
      <w:r>
        <w:instrText xml:space="preserve"> PAGEREF _Toc181109839 \h </w:instrText>
      </w:r>
      <w:r>
        <w:fldChar w:fldCharType="separate"/>
      </w:r>
      <w:r>
        <w:t>13</w:t>
      </w:r>
      <w:r>
        <w:fldChar w:fldCharType="end"/>
      </w:r>
      <w:r>
        <w:fldChar w:fldCharType="end"/>
      </w:r>
    </w:p>
    <w:p w14:paraId="3C3670D4">
      <w:pPr>
        <w:pStyle w:val="25"/>
        <w:rPr>
          <w:sz w:val="21"/>
          <w:szCs w:val="22"/>
        </w:rPr>
      </w:pPr>
      <w:r>
        <w:fldChar w:fldCharType="begin"/>
      </w:r>
      <w:r>
        <w:instrText xml:space="preserve"> HYPERLINK \l "_Toc181109840" </w:instrText>
      </w:r>
      <w:r>
        <w:fldChar w:fldCharType="separate"/>
      </w:r>
      <w:r>
        <w:rPr>
          <w:rStyle w:val="36"/>
        </w:rPr>
        <w:t>2.2 基本原则</w:t>
      </w:r>
      <w:r>
        <w:tab/>
      </w:r>
      <w:r>
        <w:fldChar w:fldCharType="begin"/>
      </w:r>
      <w:r>
        <w:instrText xml:space="preserve"> PAGEREF _Toc181109840 \h </w:instrText>
      </w:r>
      <w:r>
        <w:fldChar w:fldCharType="separate"/>
      </w:r>
      <w:r>
        <w:t>13</w:t>
      </w:r>
      <w:r>
        <w:fldChar w:fldCharType="end"/>
      </w:r>
      <w:r>
        <w:fldChar w:fldCharType="end"/>
      </w:r>
    </w:p>
    <w:p w14:paraId="1F5DB5E8">
      <w:pPr>
        <w:pStyle w:val="25"/>
        <w:rPr>
          <w:sz w:val="21"/>
          <w:szCs w:val="22"/>
        </w:rPr>
      </w:pPr>
      <w:r>
        <w:fldChar w:fldCharType="begin"/>
      </w:r>
      <w:r>
        <w:instrText xml:space="preserve"> HYPERLINK \l "_Toc181109841" </w:instrText>
      </w:r>
      <w:r>
        <w:fldChar w:fldCharType="separate"/>
      </w:r>
      <w:r>
        <w:rPr>
          <w:rStyle w:val="36"/>
        </w:rPr>
        <w:t>2.3 发展目标</w:t>
      </w:r>
      <w:r>
        <w:tab/>
      </w:r>
      <w:r>
        <w:fldChar w:fldCharType="begin"/>
      </w:r>
      <w:r>
        <w:instrText xml:space="preserve"> PAGEREF _Toc181109841 \h </w:instrText>
      </w:r>
      <w:r>
        <w:fldChar w:fldCharType="separate"/>
      </w:r>
      <w:r>
        <w:t>14</w:t>
      </w:r>
      <w:r>
        <w:fldChar w:fldCharType="end"/>
      </w:r>
      <w:r>
        <w:fldChar w:fldCharType="end"/>
      </w:r>
    </w:p>
    <w:p w14:paraId="293EEE22">
      <w:pPr>
        <w:pStyle w:val="25"/>
        <w:rPr>
          <w:sz w:val="21"/>
          <w:szCs w:val="22"/>
        </w:rPr>
      </w:pPr>
      <w:r>
        <w:fldChar w:fldCharType="begin"/>
      </w:r>
      <w:r>
        <w:instrText xml:space="preserve"> HYPERLINK \l "_Toc181109842" </w:instrText>
      </w:r>
      <w:r>
        <w:fldChar w:fldCharType="separate"/>
      </w:r>
      <w:r>
        <w:rPr>
          <w:rStyle w:val="36"/>
        </w:rPr>
        <w:t>2.4 总体布局</w:t>
      </w:r>
      <w:r>
        <w:tab/>
      </w:r>
      <w:r>
        <w:fldChar w:fldCharType="begin"/>
      </w:r>
      <w:r>
        <w:instrText xml:space="preserve"> PAGEREF _Toc181109842 \h </w:instrText>
      </w:r>
      <w:r>
        <w:fldChar w:fldCharType="separate"/>
      </w:r>
      <w:r>
        <w:t>17</w:t>
      </w:r>
      <w:r>
        <w:fldChar w:fldCharType="end"/>
      </w:r>
      <w:r>
        <w:fldChar w:fldCharType="end"/>
      </w:r>
    </w:p>
    <w:p w14:paraId="788D34C7">
      <w:pPr>
        <w:pStyle w:val="25"/>
        <w:rPr>
          <w:sz w:val="21"/>
          <w:szCs w:val="22"/>
        </w:rPr>
      </w:pPr>
      <w:r>
        <w:fldChar w:fldCharType="begin"/>
      </w:r>
      <w:r>
        <w:instrText xml:space="preserve"> HYPERLINK \l "_Toc181109843" </w:instrText>
      </w:r>
      <w:r>
        <w:fldChar w:fldCharType="separate"/>
      </w:r>
      <w:r>
        <w:rPr>
          <w:rStyle w:val="36"/>
        </w:rPr>
        <w:t>2.5 主要任务</w:t>
      </w:r>
      <w:r>
        <w:tab/>
      </w:r>
      <w:r>
        <w:fldChar w:fldCharType="begin"/>
      </w:r>
      <w:r>
        <w:instrText xml:space="preserve"> PAGEREF _Toc181109843 \h </w:instrText>
      </w:r>
      <w:r>
        <w:fldChar w:fldCharType="separate"/>
      </w:r>
      <w:r>
        <w:t>20</w:t>
      </w:r>
      <w:r>
        <w:fldChar w:fldCharType="end"/>
      </w:r>
      <w:r>
        <w:fldChar w:fldCharType="end"/>
      </w:r>
    </w:p>
    <w:p w14:paraId="4E822BDC">
      <w:pPr>
        <w:pStyle w:val="21"/>
        <w:spacing w:line="340" w:lineRule="exact"/>
        <w:rPr>
          <w:rFonts w:cs="Times New Roman" w:eastAsiaTheme="minorEastAsia"/>
          <w:b w:val="0"/>
          <w:bCs w:val="0"/>
          <w:caps w:val="0"/>
          <w:sz w:val="21"/>
          <w:szCs w:val="22"/>
        </w:rPr>
      </w:pPr>
      <w:r>
        <w:fldChar w:fldCharType="begin"/>
      </w:r>
      <w:r>
        <w:instrText xml:space="preserve"> HYPERLINK \l "_Toc181109844" </w:instrText>
      </w:r>
      <w:r>
        <w:fldChar w:fldCharType="separate"/>
      </w:r>
      <w:r>
        <w:rPr>
          <w:rStyle w:val="36"/>
          <w:rFonts w:cs="Times New Roman" w:eastAsiaTheme="minorEastAsia"/>
        </w:rPr>
        <w:t>3 筑牢江河安澜的防洪排涝网</w:t>
      </w:r>
      <w:r>
        <w:rPr>
          <w:rFonts w:cs="Times New Roman" w:eastAsiaTheme="minorEastAsia"/>
        </w:rPr>
        <w:tab/>
      </w:r>
      <w:r>
        <w:rPr>
          <w:rFonts w:cs="Times New Roman" w:eastAsiaTheme="minorEastAsia"/>
        </w:rPr>
        <w:fldChar w:fldCharType="begin"/>
      </w:r>
      <w:r>
        <w:rPr>
          <w:rFonts w:cs="Times New Roman" w:eastAsiaTheme="minorEastAsia"/>
        </w:rPr>
        <w:instrText xml:space="preserve"> PAGEREF _Toc181109844 \h </w:instrText>
      </w:r>
      <w:r>
        <w:rPr>
          <w:rFonts w:cs="Times New Roman" w:eastAsiaTheme="minorEastAsia"/>
        </w:rPr>
        <w:fldChar w:fldCharType="separate"/>
      </w:r>
      <w:r>
        <w:rPr>
          <w:rFonts w:cs="Times New Roman" w:eastAsiaTheme="minorEastAsia"/>
        </w:rPr>
        <w:t>22</w:t>
      </w:r>
      <w:r>
        <w:rPr>
          <w:rFonts w:cs="Times New Roman" w:eastAsiaTheme="minorEastAsia"/>
        </w:rPr>
        <w:fldChar w:fldCharType="end"/>
      </w:r>
      <w:r>
        <w:rPr>
          <w:rFonts w:cs="Times New Roman" w:eastAsiaTheme="minorEastAsia"/>
        </w:rPr>
        <w:fldChar w:fldCharType="end"/>
      </w:r>
    </w:p>
    <w:p w14:paraId="657A627F">
      <w:pPr>
        <w:pStyle w:val="25"/>
        <w:rPr>
          <w:sz w:val="21"/>
          <w:szCs w:val="22"/>
        </w:rPr>
      </w:pPr>
      <w:r>
        <w:fldChar w:fldCharType="begin"/>
      </w:r>
      <w:r>
        <w:instrText xml:space="preserve"> HYPERLINK \l "_Toc181109845" </w:instrText>
      </w:r>
      <w:r>
        <w:fldChar w:fldCharType="separate"/>
      </w:r>
      <w:r>
        <w:rPr>
          <w:rStyle w:val="36"/>
        </w:rPr>
        <w:t>3.1 建设思路</w:t>
      </w:r>
      <w:r>
        <w:tab/>
      </w:r>
      <w:r>
        <w:fldChar w:fldCharType="begin"/>
      </w:r>
      <w:r>
        <w:instrText xml:space="preserve"> PAGEREF _Toc181109845 \h </w:instrText>
      </w:r>
      <w:r>
        <w:fldChar w:fldCharType="separate"/>
      </w:r>
      <w:r>
        <w:t>22</w:t>
      </w:r>
      <w:r>
        <w:fldChar w:fldCharType="end"/>
      </w:r>
      <w:r>
        <w:fldChar w:fldCharType="end"/>
      </w:r>
    </w:p>
    <w:p w14:paraId="0C0A6A22">
      <w:pPr>
        <w:pStyle w:val="25"/>
        <w:rPr>
          <w:sz w:val="21"/>
          <w:szCs w:val="22"/>
        </w:rPr>
      </w:pPr>
      <w:r>
        <w:fldChar w:fldCharType="begin"/>
      </w:r>
      <w:r>
        <w:instrText xml:space="preserve"> HYPERLINK \l "_Toc181109846" </w:instrText>
      </w:r>
      <w:r>
        <w:fldChar w:fldCharType="separate"/>
      </w:r>
      <w:r>
        <w:rPr>
          <w:rStyle w:val="36"/>
        </w:rPr>
        <w:t>3.2 提升外围防洪能力</w:t>
      </w:r>
      <w:r>
        <w:tab/>
      </w:r>
      <w:r>
        <w:fldChar w:fldCharType="begin"/>
      </w:r>
      <w:r>
        <w:instrText xml:space="preserve"> PAGEREF _Toc181109846 \h </w:instrText>
      </w:r>
      <w:r>
        <w:fldChar w:fldCharType="separate"/>
      </w:r>
      <w:r>
        <w:t>22</w:t>
      </w:r>
      <w:r>
        <w:fldChar w:fldCharType="end"/>
      </w:r>
      <w:r>
        <w:fldChar w:fldCharType="end"/>
      </w:r>
    </w:p>
    <w:p w14:paraId="08DF175C">
      <w:pPr>
        <w:pStyle w:val="25"/>
        <w:rPr>
          <w:sz w:val="21"/>
          <w:szCs w:val="22"/>
        </w:rPr>
      </w:pPr>
      <w:r>
        <w:fldChar w:fldCharType="begin"/>
      </w:r>
      <w:r>
        <w:instrText xml:space="preserve"> HYPERLINK \l "_Toc181109847" </w:instrText>
      </w:r>
      <w:r>
        <w:fldChar w:fldCharType="separate"/>
      </w:r>
      <w:r>
        <w:rPr>
          <w:rStyle w:val="36"/>
        </w:rPr>
        <w:t>3.3 补齐区域防洪除涝短板</w:t>
      </w:r>
      <w:r>
        <w:tab/>
      </w:r>
      <w:r>
        <w:fldChar w:fldCharType="begin"/>
      </w:r>
      <w:r>
        <w:instrText xml:space="preserve"> PAGEREF _Toc181109847 \h </w:instrText>
      </w:r>
      <w:r>
        <w:fldChar w:fldCharType="separate"/>
      </w:r>
      <w:r>
        <w:t>23</w:t>
      </w:r>
      <w:r>
        <w:fldChar w:fldCharType="end"/>
      </w:r>
      <w:r>
        <w:fldChar w:fldCharType="end"/>
      </w:r>
    </w:p>
    <w:p w14:paraId="057E65C1">
      <w:pPr>
        <w:pStyle w:val="25"/>
        <w:rPr>
          <w:sz w:val="21"/>
          <w:szCs w:val="22"/>
        </w:rPr>
      </w:pPr>
      <w:r>
        <w:fldChar w:fldCharType="begin"/>
      </w:r>
      <w:r>
        <w:instrText xml:space="preserve"> HYPERLINK \l "_Toc181109848" </w:instrText>
      </w:r>
      <w:r>
        <w:fldChar w:fldCharType="separate"/>
      </w:r>
      <w:r>
        <w:rPr>
          <w:rStyle w:val="36"/>
        </w:rPr>
        <w:t>3.4 增强城市防洪排涝韧性</w:t>
      </w:r>
      <w:r>
        <w:tab/>
      </w:r>
      <w:r>
        <w:fldChar w:fldCharType="begin"/>
      </w:r>
      <w:r>
        <w:instrText xml:space="preserve"> PAGEREF _Toc181109848 \h </w:instrText>
      </w:r>
      <w:r>
        <w:fldChar w:fldCharType="separate"/>
      </w:r>
      <w:r>
        <w:t>25</w:t>
      </w:r>
      <w:r>
        <w:fldChar w:fldCharType="end"/>
      </w:r>
      <w:r>
        <w:fldChar w:fldCharType="end"/>
      </w:r>
    </w:p>
    <w:p w14:paraId="59162A28">
      <w:pPr>
        <w:pStyle w:val="25"/>
        <w:rPr>
          <w:sz w:val="21"/>
          <w:szCs w:val="22"/>
        </w:rPr>
      </w:pPr>
      <w:r>
        <w:fldChar w:fldCharType="begin"/>
      </w:r>
      <w:r>
        <w:instrText xml:space="preserve"> HYPERLINK \l "_Toc181109849" </w:instrText>
      </w:r>
      <w:r>
        <w:fldChar w:fldCharType="separate"/>
      </w:r>
      <w:r>
        <w:rPr>
          <w:rStyle w:val="36"/>
        </w:rPr>
        <w:t>3.5 提高洪水风险管控能力</w:t>
      </w:r>
      <w:r>
        <w:tab/>
      </w:r>
      <w:r>
        <w:fldChar w:fldCharType="begin"/>
      </w:r>
      <w:r>
        <w:instrText xml:space="preserve"> PAGEREF _Toc181109849 \h </w:instrText>
      </w:r>
      <w:r>
        <w:fldChar w:fldCharType="separate"/>
      </w:r>
      <w:r>
        <w:t>26</w:t>
      </w:r>
      <w:r>
        <w:fldChar w:fldCharType="end"/>
      </w:r>
      <w:r>
        <w:fldChar w:fldCharType="end"/>
      </w:r>
    </w:p>
    <w:p w14:paraId="769EC9B3">
      <w:pPr>
        <w:pStyle w:val="21"/>
        <w:spacing w:line="340" w:lineRule="exact"/>
        <w:rPr>
          <w:rFonts w:cs="Times New Roman" w:eastAsiaTheme="minorEastAsia"/>
          <w:b w:val="0"/>
          <w:bCs w:val="0"/>
          <w:caps w:val="0"/>
          <w:sz w:val="21"/>
          <w:szCs w:val="22"/>
        </w:rPr>
      </w:pPr>
      <w:r>
        <w:fldChar w:fldCharType="begin"/>
      </w:r>
      <w:r>
        <w:instrText xml:space="preserve"> HYPERLINK \l "_Toc181109850" </w:instrText>
      </w:r>
      <w:r>
        <w:fldChar w:fldCharType="separate"/>
      </w:r>
      <w:r>
        <w:rPr>
          <w:rStyle w:val="36"/>
          <w:rFonts w:cs="Times New Roman" w:eastAsiaTheme="minorEastAsia"/>
        </w:rPr>
        <w:t>4 构建集约高效的水资源调配网</w:t>
      </w:r>
      <w:r>
        <w:rPr>
          <w:rFonts w:cs="Times New Roman" w:eastAsiaTheme="minorEastAsia"/>
        </w:rPr>
        <w:tab/>
      </w:r>
      <w:r>
        <w:rPr>
          <w:rFonts w:cs="Times New Roman" w:eastAsiaTheme="minorEastAsia"/>
        </w:rPr>
        <w:fldChar w:fldCharType="begin"/>
      </w:r>
      <w:r>
        <w:rPr>
          <w:rFonts w:cs="Times New Roman" w:eastAsiaTheme="minorEastAsia"/>
        </w:rPr>
        <w:instrText xml:space="preserve"> PAGEREF _Toc181109850 \h </w:instrText>
      </w:r>
      <w:r>
        <w:rPr>
          <w:rFonts w:cs="Times New Roman" w:eastAsiaTheme="minorEastAsia"/>
        </w:rPr>
        <w:fldChar w:fldCharType="separate"/>
      </w:r>
      <w:r>
        <w:rPr>
          <w:rFonts w:cs="Times New Roman" w:eastAsiaTheme="minorEastAsia"/>
        </w:rPr>
        <w:t>28</w:t>
      </w:r>
      <w:r>
        <w:rPr>
          <w:rFonts w:cs="Times New Roman" w:eastAsiaTheme="minorEastAsia"/>
        </w:rPr>
        <w:fldChar w:fldCharType="end"/>
      </w:r>
      <w:r>
        <w:rPr>
          <w:rFonts w:cs="Times New Roman" w:eastAsiaTheme="minorEastAsia"/>
        </w:rPr>
        <w:fldChar w:fldCharType="end"/>
      </w:r>
    </w:p>
    <w:p w14:paraId="1388ABDB">
      <w:pPr>
        <w:pStyle w:val="25"/>
        <w:rPr>
          <w:sz w:val="21"/>
          <w:szCs w:val="22"/>
        </w:rPr>
      </w:pPr>
      <w:r>
        <w:fldChar w:fldCharType="begin"/>
      </w:r>
      <w:r>
        <w:instrText xml:space="preserve"> HYPERLINK \l "_Toc181109851" </w:instrText>
      </w:r>
      <w:r>
        <w:fldChar w:fldCharType="separate"/>
      </w:r>
      <w:r>
        <w:rPr>
          <w:rStyle w:val="36"/>
        </w:rPr>
        <w:t>4.1 建设思路</w:t>
      </w:r>
      <w:r>
        <w:tab/>
      </w:r>
      <w:r>
        <w:fldChar w:fldCharType="begin"/>
      </w:r>
      <w:r>
        <w:instrText xml:space="preserve"> PAGEREF _Toc181109851 \h </w:instrText>
      </w:r>
      <w:r>
        <w:fldChar w:fldCharType="separate"/>
      </w:r>
      <w:r>
        <w:t>28</w:t>
      </w:r>
      <w:r>
        <w:fldChar w:fldCharType="end"/>
      </w:r>
      <w:r>
        <w:fldChar w:fldCharType="end"/>
      </w:r>
    </w:p>
    <w:p w14:paraId="439C815B">
      <w:pPr>
        <w:pStyle w:val="25"/>
        <w:rPr>
          <w:sz w:val="21"/>
          <w:szCs w:val="22"/>
        </w:rPr>
      </w:pPr>
      <w:r>
        <w:fldChar w:fldCharType="begin"/>
      </w:r>
      <w:r>
        <w:instrText xml:space="preserve"> HYPERLINK \l "_Toc181109852" </w:instrText>
      </w:r>
      <w:r>
        <w:fldChar w:fldCharType="separate"/>
      </w:r>
      <w:r>
        <w:rPr>
          <w:rStyle w:val="36"/>
        </w:rPr>
        <w:t>4.2 强化水资源集约安全利用</w:t>
      </w:r>
      <w:r>
        <w:tab/>
      </w:r>
      <w:r>
        <w:fldChar w:fldCharType="begin"/>
      </w:r>
      <w:r>
        <w:instrText xml:space="preserve"> PAGEREF _Toc181109852 \h </w:instrText>
      </w:r>
      <w:r>
        <w:fldChar w:fldCharType="separate"/>
      </w:r>
      <w:r>
        <w:t>28</w:t>
      </w:r>
      <w:r>
        <w:fldChar w:fldCharType="end"/>
      </w:r>
      <w:r>
        <w:fldChar w:fldCharType="end"/>
      </w:r>
    </w:p>
    <w:p w14:paraId="72660F33">
      <w:pPr>
        <w:pStyle w:val="25"/>
        <w:rPr>
          <w:sz w:val="21"/>
          <w:szCs w:val="22"/>
        </w:rPr>
      </w:pPr>
      <w:r>
        <w:fldChar w:fldCharType="begin"/>
      </w:r>
      <w:r>
        <w:instrText xml:space="preserve"> HYPERLINK \l "_Toc181109853" </w:instrText>
      </w:r>
      <w:r>
        <w:fldChar w:fldCharType="separate"/>
      </w:r>
      <w:r>
        <w:rPr>
          <w:rStyle w:val="36"/>
        </w:rPr>
        <w:t>4.3 完善区域水资源配置格局</w:t>
      </w:r>
      <w:r>
        <w:tab/>
      </w:r>
      <w:r>
        <w:fldChar w:fldCharType="begin"/>
      </w:r>
      <w:r>
        <w:instrText xml:space="preserve"> PAGEREF _Toc181109853 \h </w:instrText>
      </w:r>
      <w:r>
        <w:fldChar w:fldCharType="separate"/>
      </w:r>
      <w:r>
        <w:t>33</w:t>
      </w:r>
      <w:r>
        <w:fldChar w:fldCharType="end"/>
      </w:r>
      <w:r>
        <w:fldChar w:fldCharType="end"/>
      </w:r>
    </w:p>
    <w:p w14:paraId="6FF42E0A">
      <w:pPr>
        <w:pStyle w:val="25"/>
        <w:rPr>
          <w:sz w:val="21"/>
          <w:szCs w:val="22"/>
        </w:rPr>
      </w:pPr>
      <w:r>
        <w:fldChar w:fldCharType="begin"/>
      </w:r>
      <w:r>
        <w:instrText xml:space="preserve"> HYPERLINK \l "_Toc181109854" </w:instrText>
      </w:r>
      <w:r>
        <w:fldChar w:fldCharType="separate"/>
      </w:r>
      <w:r>
        <w:rPr>
          <w:rStyle w:val="36"/>
        </w:rPr>
        <w:t>4.4 提升城乡供水保障能力</w:t>
      </w:r>
      <w:r>
        <w:tab/>
      </w:r>
      <w:r>
        <w:fldChar w:fldCharType="begin"/>
      </w:r>
      <w:r>
        <w:instrText xml:space="preserve"> PAGEREF _Toc181109854 \h </w:instrText>
      </w:r>
      <w:r>
        <w:fldChar w:fldCharType="separate"/>
      </w:r>
      <w:r>
        <w:t>35</w:t>
      </w:r>
      <w:r>
        <w:fldChar w:fldCharType="end"/>
      </w:r>
      <w:r>
        <w:fldChar w:fldCharType="end"/>
      </w:r>
    </w:p>
    <w:p w14:paraId="41CF9D5C">
      <w:pPr>
        <w:pStyle w:val="25"/>
        <w:rPr>
          <w:sz w:val="21"/>
          <w:szCs w:val="22"/>
        </w:rPr>
      </w:pPr>
      <w:r>
        <w:fldChar w:fldCharType="begin"/>
      </w:r>
      <w:r>
        <w:instrText xml:space="preserve"> HYPERLINK \l "_Toc181109855" </w:instrText>
      </w:r>
      <w:r>
        <w:fldChar w:fldCharType="separate"/>
      </w:r>
      <w:r>
        <w:rPr>
          <w:rStyle w:val="36"/>
        </w:rPr>
        <w:t>4.5 夯实粮食安全水利基础</w:t>
      </w:r>
      <w:r>
        <w:tab/>
      </w:r>
      <w:r>
        <w:fldChar w:fldCharType="begin"/>
      </w:r>
      <w:r>
        <w:instrText xml:space="preserve"> PAGEREF _Toc181109855 \h </w:instrText>
      </w:r>
      <w:r>
        <w:fldChar w:fldCharType="separate"/>
      </w:r>
      <w:r>
        <w:t>36</w:t>
      </w:r>
      <w:r>
        <w:fldChar w:fldCharType="end"/>
      </w:r>
      <w:r>
        <w:fldChar w:fldCharType="end"/>
      </w:r>
    </w:p>
    <w:p w14:paraId="49E0D0FB">
      <w:pPr>
        <w:pStyle w:val="21"/>
        <w:spacing w:line="340" w:lineRule="exact"/>
        <w:rPr>
          <w:rFonts w:cs="Times New Roman" w:eastAsiaTheme="minorEastAsia"/>
          <w:b w:val="0"/>
          <w:bCs w:val="0"/>
          <w:caps w:val="0"/>
          <w:sz w:val="21"/>
          <w:szCs w:val="22"/>
        </w:rPr>
      </w:pPr>
      <w:r>
        <w:fldChar w:fldCharType="begin"/>
      </w:r>
      <w:r>
        <w:instrText xml:space="preserve"> HYPERLINK \l "_Toc181109856" </w:instrText>
      </w:r>
      <w:r>
        <w:fldChar w:fldCharType="separate"/>
      </w:r>
      <w:r>
        <w:rPr>
          <w:rStyle w:val="36"/>
          <w:rFonts w:cs="Times New Roman" w:eastAsiaTheme="minorEastAsia"/>
        </w:rPr>
        <w:t>5 打造人水和谐的生态河湖网</w:t>
      </w:r>
      <w:r>
        <w:rPr>
          <w:rFonts w:cs="Times New Roman" w:eastAsiaTheme="minorEastAsia"/>
        </w:rPr>
        <w:tab/>
      </w:r>
      <w:r>
        <w:rPr>
          <w:rFonts w:cs="Times New Roman" w:eastAsiaTheme="minorEastAsia"/>
        </w:rPr>
        <w:fldChar w:fldCharType="begin"/>
      </w:r>
      <w:r>
        <w:rPr>
          <w:rFonts w:cs="Times New Roman" w:eastAsiaTheme="minorEastAsia"/>
        </w:rPr>
        <w:instrText xml:space="preserve"> PAGEREF _Toc181109856 \h </w:instrText>
      </w:r>
      <w:r>
        <w:rPr>
          <w:rFonts w:cs="Times New Roman" w:eastAsiaTheme="minorEastAsia"/>
        </w:rPr>
        <w:fldChar w:fldCharType="separate"/>
      </w:r>
      <w:r>
        <w:rPr>
          <w:rFonts w:cs="Times New Roman" w:eastAsiaTheme="minorEastAsia"/>
        </w:rPr>
        <w:t>38</w:t>
      </w:r>
      <w:r>
        <w:rPr>
          <w:rFonts w:cs="Times New Roman" w:eastAsiaTheme="minorEastAsia"/>
        </w:rPr>
        <w:fldChar w:fldCharType="end"/>
      </w:r>
      <w:r>
        <w:rPr>
          <w:rFonts w:cs="Times New Roman" w:eastAsiaTheme="minorEastAsia"/>
        </w:rPr>
        <w:fldChar w:fldCharType="end"/>
      </w:r>
    </w:p>
    <w:p w14:paraId="425695D5">
      <w:pPr>
        <w:pStyle w:val="25"/>
        <w:rPr>
          <w:sz w:val="21"/>
          <w:szCs w:val="22"/>
        </w:rPr>
      </w:pPr>
      <w:r>
        <w:fldChar w:fldCharType="begin"/>
      </w:r>
      <w:r>
        <w:instrText xml:space="preserve"> HYPERLINK \l "_Toc181109857" </w:instrText>
      </w:r>
      <w:r>
        <w:fldChar w:fldCharType="separate"/>
      </w:r>
      <w:r>
        <w:rPr>
          <w:rStyle w:val="36"/>
        </w:rPr>
        <w:t>5.1 建设思路</w:t>
      </w:r>
      <w:r>
        <w:tab/>
      </w:r>
      <w:r>
        <w:fldChar w:fldCharType="begin"/>
      </w:r>
      <w:r>
        <w:instrText xml:space="preserve"> PAGEREF _Toc181109857 \h </w:instrText>
      </w:r>
      <w:r>
        <w:fldChar w:fldCharType="separate"/>
      </w:r>
      <w:r>
        <w:t>38</w:t>
      </w:r>
      <w:r>
        <w:fldChar w:fldCharType="end"/>
      </w:r>
      <w:r>
        <w:fldChar w:fldCharType="end"/>
      </w:r>
    </w:p>
    <w:p w14:paraId="7BD19FA7">
      <w:pPr>
        <w:pStyle w:val="25"/>
        <w:rPr>
          <w:sz w:val="21"/>
          <w:szCs w:val="22"/>
        </w:rPr>
      </w:pPr>
      <w:r>
        <w:fldChar w:fldCharType="begin"/>
      </w:r>
      <w:r>
        <w:instrText xml:space="preserve"> HYPERLINK \l "_Toc181109858" </w:instrText>
      </w:r>
      <w:r>
        <w:fldChar w:fldCharType="separate"/>
      </w:r>
      <w:r>
        <w:rPr>
          <w:rStyle w:val="36"/>
        </w:rPr>
        <w:t>5.2 加强河湖生态保护与治理修复</w:t>
      </w:r>
      <w:r>
        <w:tab/>
      </w:r>
      <w:r>
        <w:fldChar w:fldCharType="begin"/>
      </w:r>
      <w:r>
        <w:instrText xml:space="preserve"> PAGEREF _Toc181109858 \h </w:instrText>
      </w:r>
      <w:r>
        <w:fldChar w:fldCharType="separate"/>
      </w:r>
      <w:r>
        <w:t>38</w:t>
      </w:r>
      <w:r>
        <w:fldChar w:fldCharType="end"/>
      </w:r>
      <w:r>
        <w:fldChar w:fldCharType="end"/>
      </w:r>
    </w:p>
    <w:p w14:paraId="2A4AFD00">
      <w:pPr>
        <w:pStyle w:val="25"/>
        <w:rPr>
          <w:sz w:val="21"/>
          <w:szCs w:val="22"/>
        </w:rPr>
      </w:pPr>
      <w:r>
        <w:fldChar w:fldCharType="begin"/>
      </w:r>
      <w:r>
        <w:instrText xml:space="preserve"> HYPERLINK \l "_Toc181109859" </w:instrText>
      </w:r>
      <w:r>
        <w:fldChar w:fldCharType="separate"/>
      </w:r>
      <w:r>
        <w:rPr>
          <w:rStyle w:val="36"/>
        </w:rPr>
        <w:t>5.3 加强水系连通复苏生态绿核</w:t>
      </w:r>
      <w:r>
        <w:tab/>
      </w:r>
      <w:r>
        <w:fldChar w:fldCharType="begin"/>
      </w:r>
      <w:r>
        <w:instrText xml:space="preserve"> PAGEREF _Toc181109859 \h </w:instrText>
      </w:r>
      <w:r>
        <w:fldChar w:fldCharType="separate"/>
      </w:r>
      <w:r>
        <w:t>40</w:t>
      </w:r>
      <w:r>
        <w:fldChar w:fldCharType="end"/>
      </w:r>
      <w:r>
        <w:fldChar w:fldCharType="end"/>
      </w:r>
    </w:p>
    <w:p w14:paraId="44035BDA">
      <w:pPr>
        <w:pStyle w:val="25"/>
        <w:rPr>
          <w:sz w:val="21"/>
          <w:szCs w:val="22"/>
        </w:rPr>
      </w:pPr>
      <w:r>
        <w:fldChar w:fldCharType="begin"/>
      </w:r>
      <w:r>
        <w:instrText xml:space="preserve"> HYPERLINK \l "_Toc181109860" </w:instrText>
      </w:r>
      <w:r>
        <w:fldChar w:fldCharType="separate"/>
      </w:r>
      <w:r>
        <w:rPr>
          <w:rStyle w:val="36"/>
        </w:rPr>
        <w:t>5.4 打造骨干生态廊道</w:t>
      </w:r>
      <w:r>
        <w:tab/>
      </w:r>
      <w:r>
        <w:fldChar w:fldCharType="begin"/>
      </w:r>
      <w:r>
        <w:instrText xml:space="preserve"> PAGEREF _Toc181109860 \h </w:instrText>
      </w:r>
      <w:r>
        <w:fldChar w:fldCharType="separate"/>
      </w:r>
      <w:r>
        <w:t>42</w:t>
      </w:r>
      <w:r>
        <w:fldChar w:fldCharType="end"/>
      </w:r>
      <w:r>
        <w:fldChar w:fldCharType="end"/>
      </w:r>
    </w:p>
    <w:p w14:paraId="228FB7A1">
      <w:pPr>
        <w:pStyle w:val="25"/>
        <w:rPr>
          <w:sz w:val="21"/>
          <w:szCs w:val="22"/>
        </w:rPr>
      </w:pPr>
      <w:r>
        <w:fldChar w:fldCharType="begin"/>
      </w:r>
      <w:r>
        <w:instrText xml:space="preserve"> HYPERLINK \l "_Toc181109861" </w:instrText>
      </w:r>
      <w:r>
        <w:fldChar w:fldCharType="separate"/>
      </w:r>
      <w:r>
        <w:rPr>
          <w:rStyle w:val="36"/>
        </w:rPr>
        <w:t>5.5 推进水文化建设</w:t>
      </w:r>
      <w:r>
        <w:tab/>
      </w:r>
      <w:r>
        <w:fldChar w:fldCharType="begin"/>
      </w:r>
      <w:r>
        <w:instrText xml:space="preserve"> PAGEREF _Toc181109861 \h </w:instrText>
      </w:r>
      <w:r>
        <w:fldChar w:fldCharType="separate"/>
      </w:r>
      <w:r>
        <w:t>43</w:t>
      </w:r>
      <w:r>
        <w:fldChar w:fldCharType="end"/>
      </w:r>
      <w:r>
        <w:fldChar w:fldCharType="end"/>
      </w:r>
    </w:p>
    <w:p w14:paraId="06C3106A">
      <w:pPr>
        <w:pStyle w:val="21"/>
        <w:spacing w:line="340" w:lineRule="exact"/>
        <w:rPr>
          <w:rFonts w:cs="Times New Roman" w:eastAsiaTheme="minorEastAsia"/>
          <w:b w:val="0"/>
          <w:bCs w:val="0"/>
          <w:caps w:val="0"/>
          <w:sz w:val="21"/>
          <w:szCs w:val="22"/>
        </w:rPr>
      </w:pPr>
      <w:r>
        <w:fldChar w:fldCharType="begin"/>
      </w:r>
      <w:r>
        <w:instrText xml:space="preserve"> HYPERLINK \l "_Toc181109862" </w:instrText>
      </w:r>
      <w:r>
        <w:fldChar w:fldCharType="separate"/>
      </w:r>
      <w:r>
        <w:rPr>
          <w:rStyle w:val="36"/>
          <w:rFonts w:cs="Times New Roman" w:eastAsiaTheme="minorEastAsia"/>
        </w:rPr>
        <w:t>6 推进智慧互联的数字孪生网</w:t>
      </w:r>
      <w:r>
        <w:rPr>
          <w:rFonts w:cs="Times New Roman" w:eastAsiaTheme="minorEastAsia"/>
        </w:rPr>
        <w:tab/>
      </w:r>
      <w:r>
        <w:rPr>
          <w:rFonts w:cs="Times New Roman" w:eastAsiaTheme="minorEastAsia"/>
        </w:rPr>
        <w:fldChar w:fldCharType="begin"/>
      </w:r>
      <w:r>
        <w:rPr>
          <w:rFonts w:cs="Times New Roman" w:eastAsiaTheme="minorEastAsia"/>
        </w:rPr>
        <w:instrText xml:space="preserve"> PAGEREF _Toc181109862 \h </w:instrText>
      </w:r>
      <w:r>
        <w:rPr>
          <w:rFonts w:cs="Times New Roman" w:eastAsiaTheme="minorEastAsia"/>
        </w:rPr>
        <w:fldChar w:fldCharType="separate"/>
      </w:r>
      <w:r>
        <w:rPr>
          <w:rFonts w:cs="Times New Roman" w:eastAsiaTheme="minorEastAsia"/>
        </w:rPr>
        <w:t>45</w:t>
      </w:r>
      <w:r>
        <w:rPr>
          <w:rFonts w:cs="Times New Roman" w:eastAsiaTheme="minorEastAsia"/>
        </w:rPr>
        <w:fldChar w:fldCharType="end"/>
      </w:r>
      <w:r>
        <w:rPr>
          <w:rFonts w:cs="Times New Roman" w:eastAsiaTheme="minorEastAsia"/>
        </w:rPr>
        <w:fldChar w:fldCharType="end"/>
      </w:r>
    </w:p>
    <w:p w14:paraId="781223CE">
      <w:pPr>
        <w:pStyle w:val="25"/>
        <w:rPr>
          <w:sz w:val="21"/>
          <w:szCs w:val="22"/>
        </w:rPr>
      </w:pPr>
      <w:r>
        <w:fldChar w:fldCharType="begin"/>
      </w:r>
      <w:r>
        <w:instrText xml:space="preserve"> HYPERLINK \l "_Toc181109863" </w:instrText>
      </w:r>
      <w:r>
        <w:fldChar w:fldCharType="separate"/>
      </w:r>
      <w:r>
        <w:rPr>
          <w:rStyle w:val="36"/>
        </w:rPr>
        <w:t>6.1 建设思路</w:t>
      </w:r>
      <w:r>
        <w:tab/>
      </w:r>
      <w:r>
        <w:fldChar w:fldCharType="begin"/>
      </w:r>
      <w:r>
        <w:instrText xml:space="preserve"> PAGEREF _Toc181109863 \h </w:instrText>
      </w:r>
      <w:r>
        <w:fldChar w:fldCharType="separate"/>
      </w:r>
      <w:r>
        <w:t>45</w:t>
      </w:r>
      <w:r>
        <w:fldChar w:fldCharType="end"/>
      </w:r>
      <w:r>
        <w:fldChar w:fldCharType="end"/>
      </w:r>
    </w:p>
    <w:p w14:paraId="07F64768">
      <w:pPr>
        <w:pStyle w:val="25"/>
        <w:rPr>
          <w:sz w:val="21"/>
          <w:szCs w:val="22"/>
        </w:rPr>
      </w:pPr>
      <w:r>
        <w:fldChar w:fldCharType="begin"/>
      </w:r>
      <w:r>
        <w:instrText xml:space="preserve"> HYPERLINK \l "_Toc181109864" </w:instrText>
      </w:r>
      <w:r>
        <w:fldChar w:fldCharType="separate"/>
      </w:r>
      <w:r>
        <w:rPr>
          <w:rStyle w:val="36"/>
        </w:rPr>
        <w:t>6.2 完善信息化基础设施</w:t>
      </w:r>
      <w:r>
        <w:tab/>
      </w:r>
      <w:r>
        <w:fldChar w:fldCharType="begin"/>
      </w:r>
      <w:r>
        <w:instrText xml:space="preserve"> PAGEREF _Toc181109864 \h </w:instrText>
      </w:r>
      <w:r>
        <w:fldChar w:fldCharType="separate"/>
      </w:r>
      <w:r>
        <w:t>46</w:t>
      </w:r>
      <w:r>
        <w:fldChar w:fldCharType="end"/>
      </w:r>
      <w:r>
        <w:fldChar w:fldCharType="end"/>
      </w:r>
    </w:p>
    <w:p w14:paraId="4921F8F3">
      <w:pPr>
        <w:pStyle w:val="25"/>
        <w:rPr>
          <w:sz w:val="21"/>
          <w:szCs w:val="22"/>
        </w:rPr>
      </w:pPr>
      <w:r>
        <w:fldChar w:fldCharType="begin"/>
      </w:r>
      <w:r>
        <w:instrText xml:space="preserve"> HYPERLINK \l "_Toc181109865" </w:instrText>
      </w:r>
      <w:r>
        <w:fldChar w:fldCharType="separate"/>
      </w:r>
      <w:r>
        <w:rPr>
          <w:rStyle w:val="36"/>
        </w:rPr>
        <w:t>6.3 构建数字孪生平台</w:t>
      </w:r>
      <w:r>
        <w:tab/>
      </w:r>
      <w:r>
        <w:fldChar w:fldCharType="begin"/>
      </w:r>
      <w:r>
        <w:instrText xml:space="preserve"> PAGEREF _Toc181109865 \h </w:instrText>
      </w:r>
      <w:r>
        <w:fldChar w:fldCharType="separate"/>
      </w:r>
      <w:r>
        <w:t>47</w:t>
      </w:r>
      <w:r>
        <w:fldChar w:fldCharType="end"/>
      </w:r>
      <w:r>
        <w:fldChar w:fldCharType="end"/>
      </w:r>
    </w:p>
    <w:p w14:paraId="417583F2">
      <w:pPr>
        <w:pStyle w:val="25"/>
        <w:rPr>
          <w:sz w:val="21"/>
          <w:szCs w:val="22"/>
        </w:rPr>
      </w:pPr>
      <w:r>
        <w:fldChar w:fldCharType="begin"/>
      </w:r>
      <w:r>
        <w:instrText xml:space="preserve"> HYPERLINK \l "_Toc181109866" </w:instrText>
      </w:r>
      <w:r>
        <w:fldChar w:fldCharType="separate"/>
      </w:r>
      <w:r>
        <w:rPr>
          <w:rStyle w:val="36"/>
        </w:rPr>
        <w:t>6.4 推进孪生水网应用</w:t>
      </w:r>
      <w:r>
        <w:tab/>
      </w:r>
      <w:r>
        <w:fldChar w:fldCharType="begin"/>
      </w:r>
      <w:r>
        <w:instrText xml:space="preserve"> PAGEREF _Toc181109866 \h </w:instrText>
      </w:r>
      <w:r>
        <w:fldChar w:fldCharType="separate"/>
      </w:r>
      <w:r>
        <w:t>49</w:t>
      </w:r>
      <w:r>
        <w:fldChar w:fldCharType="end"/>
      </w:r>
      <w:r>
        <w:fldChar w:fldCharType="end"/>
      </w:r>
    </w:p>
    <w:p w14:paraId="465732B2">
      <w:pPr>
        <w:pStyle w:val="25"/>
        <w:rPr>
          <w:sz w:val="21"/>
          <w:szCs w:val="22"/>
        </w:rPr>
      </w:pPr>
      <w:r>
        <w:fldChar w:fldCharType="begin"/>
      </w:r>
      <w:r>
        <w:instrText xml:space="preserve"> HYPERLINK \l "_Toc181109867" </w:instrText>
      </w:r>
      <w:r>
        <w:fldChar w:fldCharType="separate"/>
      </w:r>
      <w:r>
        <w:rPr>
          <w:rStyle w:val="36"/>
        </w:rPr>
        <w:t>6.5 强化网络安全保障</w:t>
      </w:r>
      <w:r>
        <w:tab/>
      </w:r>
      <w:r>
        <w:fldChar w:fldCharType="begin"/>
      </w:r>
      <w:r>
        <w:instrText xml:space="preserve"> PAGEREF _Toc181109867 \h </w:instrText>
      </w:r>
      <w:r>
        <w:fldChar w:fldCharType="separate"/>
      </w:r>
      <w:r>
        <w:t>52</w:t>
      </w:r>
      <w:r>
        <w:fldChar w:fldCharType="end"/>
      </w:r>
      <w:r>
        <w:fldChar w:fldCharType="end"/>
      </w:r>
    </w:p>
    <w:p w14:paraId="4BCCC482">
      <w:pPr>
        <w:pStyle w:val="21"/>
        <w:spacing w:line="340" w:lineRule="exact"/>
        <w:rPr>
          <w:rFonts w:cs="Times New Roman" w:eastAsiaTheme="minorEastAsia"/>
          <w:b w:val="0"/>
          <w:bCs w:val="0"/>
          <w:caps w:val="0"/>
          <w:sz w:val="21"/>
          <w:szCs w:val="22"/>
        </w:rPr>
      </w:pPr>
      <w:r>
        <w:fldChar w:fldCharType="begin"/>
      </w:r>
      <w:r>
        <w:instrText xml:space="preserve"> HYPERLINK \l "_Toc181109868" </w:instrText>
      </w:r>
      <w:r>
        <w:fldChar w:fldCharType="separate"/>
      </w:r>
      <w:r>
        <w:rPr>
          <w:rStyle w:val="36"/>
          <w:rFonts w:cs="Times New Roman" w:eastAsiaTheme="minorEastAsia"/>
        </w:rPr>
        <w:t>7 推进水网高质量发展</w:t>
      </w:r>
      <w:r>
        <w:rPr>
          <w:rFonts w:cs="Times New Roman" w:eastAsiaTheme="minorEastAsia"/>
        </w:rPr>
        <w:tab/>
      </w:r>
      <w:r>
        <w:rPr>
          <w:rFonts w:cs="Times New Roman" w:eastAsiaTheme="minorEastAsia"/>
        </w:rPr>
        <w:fldChar w:fldCharType="begin"/>
      </w:r>
      <w:r>
        <w:rPr>
          <w:rFonts w:cs="Times New Roman" w:eastAsiaTheme="minorEastAsia"/>
        </w:rPr>
        <w:instrText xml:space="preserve"> PAGEREF _Toc181109868 \h </w:instrText>
      </w:r>
      <w:r>
        <w:rPr>
          <w:rFonts w:cs="Times New Roman" w:eastAsiaTheme="minorEastAsia"/>
        </w:rPr>
        <w:fldChar w:fldCharType="separate"/>
      </w:r>
      <w:r>
        <w:rPr>
          <w:rFonts w:cs="Times New Roman" w:eastAsiaTheme="minorEastAsia"/>
        </w:rPr>
        <w:t>54</w:t>
      </w:r>
      <w:r>
        <w:rPr>
          <w:rFonts w:cs="Times New Roman" w:eastAsiaTheme="minorEastAsia"/>
        </w:rPr>
        <w:fldChar w:fldCharType="end"/>
      </w:r>
      <w:r>
        <w:rPr>
          <w:rFonts w:cs="Times New Roman" w:eastAsiaTheme="minorEastAsia"/>
        </w:rPr>
        <w:fldChar w:fldCharType="end"/>
      </w:r>
    </w:p>
    <w:p w14:paraId="29784070">
      <w:pPr>
        <w:pStyle w:val="25"/>
        <w:rPr>
          <w:sz w:val="21"/>
          <w:szCs w:val="22"/>
        </w:rPr>
      </w:pPr>
      <w:r>
        <w:fldChar w:fldCharType="begin"/>
      </w:r>
      <w:r>
        <w:instrText xml:space="preserve"> HYPERLINK \l "_Toc181109869" </w:instrText>
      </w:r>
      <w:r>
        <w:fldChar w:fldCharType="separate"/>
      </w:r>
      <w:r>
        <w:rPr>
          <w:rStyle w:val="36"/>
        </w:rPr>
        <w:t>7.1 推进水网安全发展</w:t>
      </w:r>
      <w:r>
        <w:tab/>
      </w:r>
      <w:r>
        <w:fldChar w:fldCharType="begin"/>
      </w:r>
      <w:r>
        <w:instrText xml:space="preserve"> PAGEREF _Toc181109869 \h </w:instrText>
      </w:r>
      <w:r>
        <w:fldChar w:fldCharType="separate"/>
      </w:r>
      <w:r>
        <w:t>54</w:t>
      </w:r>
      <w:r>
        <w:fldChar w:fldCharType="end"/>
      </w:r>
      <w:r>
        <w:fldChar w:fldCharType="end"/>
      </w:r>
    </w:p>
    <w:p w14:paraId="6E2D9F66">
      <w:pPr>
        <w:pStyle w:val="25"/>
        <w:rPr>
          <w:sz w:val="21"/>
          <w:szCs w:val="22"/>
        </w:rPr>
      </w:pPr>
      <w:r>
        <w:fldChar w:fldCharType="begin"/>
      </w:r>
      <w:r>
        <w:instrText xml:space="preserve"> HYPERLINK \l "_Toc181109870" </w:instrText>
      </w:r>
      <w:r>
        <w:fldChar w:fldCharType="separate"/>
      </w:r>
      <w:r>
        <w:rPr>
          <w:rStyle w:val="36"/>
        </w:rPr>
        <w:t>7.2 推动水网绿色发展</w:t>
      </w:r>
      <w:r>
        <w:tab/>
      </w:r>
      <w:r>
        <w:fldChar w:fldCharType="begin"/>
      </w:r>
      <w:r>
        <w:instrText xml:space="preserve"> PAGEREF _Toc181109870 \h </w:instrText>
      </w:r>
      <w:r>
        <w:fldChar w:fldCharType="separate"/>
      </w:r>
      <w:r>
        <w:t>55</w:t>
      </w:r>
      <w:r>
        <w:fldChar w:fldCharType="end"/>
      </w:r>
      <w:r>
        <w:fldChar w:fldCharType="end"/>
      </w:r>
    </w:p>
    <w:p w14:paraId="6FEE6B28">
      <w:pPr>
        <w:pStyle w:val="25"/>
        <w:rPr>
          <w:sz w:val="21"/>
          <w:szCs w:val="22"/>
        </w:rPr>
      </w:pPr>
      <w:r>
        <w:fldChar w:fldCharType="begin"/>
      </w:r>
      <w:r>
        <w:instrText xml:space="preserve"> HYPERLINK \l "_Toc181109871" </w:instrText>
      </w:r>
      <w:r>
        <w:fldChar w:fldCharType="separate"/>
      </w:r>
      <w:r>
        <w:rPr>
          <w:rStyle w:val="36"/>
        </w:rPr>
        <w:t>7.3 坚持协同融合发展</w:t>
      </w:r>
      <w:r>
        <w:tab/>
      </w:r>
      <w:r>
        <w:fldChar w:fldCharType="begin"/>
      </w:r>
      <w:r>
        <w:instrText xml:space="preserve"> PAGEREF _Toc181109871 \h </w:instrText>
      </w:r>
      <w:r>
        <w:fldChar w:fldCharType="separate"/>
      </w:r>
      <w:r>
        <w:t>57</w:t>
      </w:r>
      <w:r>
        <w:fldChar w:fldCharType="end"/>
      </w:r>
      <w:r>
        <w:fldChar w:fldCharType="end"/>
      </w:r>
    </w:p>
    <w:p w14:paraId="1BD583D9">
      <w:pPr>
        <w:pStyle w:val="25"/>
        <w:rPr>
          <w:sz w:val="21"/>
          <w:szCs w:val="22"/>
        </w:rPr>
      </w:pPr>
      <w:r>
        <w:fldChar w:fldCharType="begin"/>
      </w:r>
      <w:r>
        <w:instrText xml:space="preserve"> HYPERLINK \l "_Toc181109872" </w:instrText>
      </w:r>
      <w:r>
        <w:fldChar w:fldCharType="separate"/>
      </w:r>
      <w:r>
        <w:rPr>
          <w:rStyle w:val="36"/>
        </w:rPr>
        <w:t>7.4 完善水网体制机制</w:t>
      </w:r>
      <w:r>
        <w:tab/>
      </w:r>
      <w:r>
        <w:fldChar w:fldCharType="begin"/>
      </w:r>
      <w:r>
        <w:instrText xml:space="preserve"> PAGEREF _Toc181109872 \h </w:instrText>
      </w:r>
      <w:r>
        <w:fldChar w:fldCharType="separate"/>
      </w:r>
      <w:r>
        <w:t>60</w:t>
      </w:r>
      <w:r>
        <w:fldChar w:fldCharType="end"/>
      </w:r>
      <w:r>
        <w:fldChar w:fldCharType="end"/>
      </w:r>
    </w:p>
    <w:p w14:paraId="5C09D976">
      <w:pPr>
        <w:pStyle w:val="21"/>
        <w:spacing w:line="340" w:lineRule="exact"/>
        <w:rPr>
          <w:rFonts w:cs="Times New Roman" w:eastAsiaTheme="minorEastAsia"/>
          <w:b w:val="0"/>
          <w:bCs w:val="0"/>
          <w:caps w:val="0"/>
          <w:sz w:val="21"/>
          <w:szCs w:val="22"/>
        </w:rPr>
      </w:pPr>
      <w:r>
        <w:fldChar w:fldCharType="begin"/>
      </w:r>
      <w:r>
        <w:instrText xml:space="preserve"> HYPERLINK \l "_Toc181109873" </w:instrText>
      </w:r>
      <w:r>
        <w:fldChar w:fldCharType="separate"/>
      </w:r>
      <w:r>
        <w:rPr>
          <w:rStyle w:val="36"/>
          <w:rFonts w:cs="Times New Roman" w:eastAsiaTheme="minorEastAsia"/>
        </w:rPr>
        <w:t>8 重大标志性成果</w:t>
      </w:r>
      <w:r>
        <w:rPr>
          <w:rFonts w:cs="Times New Roman" w:eastAsiaTheme="minorEastAsia"/>
        </w:rPr>
        <w:tab/>
      </w:r>
      <w:r>
        <w:rPr>
          <w:rFonts w:cs="Times New Roman" w:eastAsiaTheme="minorEastAsia"/>
        </w:rPr>
        <w:fldChar w:fldCharType="begin"/>
      </w:r>
      <w:r>
        <w:rPr>
          <w:rFonts w:cs="Times New Roman" w:eastAsiaTheme="minorEastAsia"/>
        </w:rPr>
        <w:instrText xml:space="preserve"> PAGEREF _Toc181109873 \h </w:instrText>
      </w:r>
      <w:r>
        <w:rPr>
          <w:rFonts w:cs="Times New Roman" w:eastAsiaTheme="minorEastAsia"/>
        </w:rPr>
        <w:fldChar w:fldCharType="separate"/>
      </w:r>
      <w:r>
        <w:rPr>
          <w:rFonts w:cs="Times New Roman" w:eastAsiaTheme="minorEastAsia"/>
        </w:rPr>
        <w:t>64</w:t>
      </w:r>
      <w:r>
        <w:rPr>
          <w:rFonts w:cs="Times New Roman" w:eastAsiaTheme="minorEastAsia"/>
        </w:rPr>
        <w:fldChar w:fldCharType="end"/>
      </w:r>
      <w:r>
        <w:rPr>
          <w:rFonts w:cs="Times New Roman" w:eastAsiaTheme="minorEastAsia"/>
        </w:rPr>
        <w:fldChar w:fldCharType="end"/>
      </w:r>
    </w:p>
    <w:p w14:paraId="0876AEB5">
      <w:pPr>
        <w:pStyle w:val="25"/>
        <w:rPr>
          <w:sz w:val="21"/>
          <w:szCs w:val="22"/>
        </w:rPr>
      </w:pPr>
      <w:r>
        <w:fldChar w:fldCharType="begin"/>
      </w:r>
      <w:r>
        <w:instrText xml:space="preserve"> HYPERLINK \l "_Toc181109874" </w:instrText>
      </w:r>
      <w:r>
        <w:fldChar w:fldCharType="separate"/>
      </w:r>
      <w:r>
        <w:rPr>
          <w:rStyle w:val="36"/>
        </w:rPr>
        <w:t>8.1 重大工程</w:t>
      </w:r>
      <w:r>
        <w:tab/>
      </w:r>
      <w:r>
        <w:fldChar w:fldCharType="begin"/>
      </w:r>
      <w:r>
        <w:instrText xml:space="preserve"> PAGEREF _Toc181109874 \h </w:instrText>
      </w:r>
      <w:r>
        <w:fldChar w:fldCharType="separate"/>
      </w:r>
      <w:r>
        <w:t>64</w:t>
      </w:r>
      <w:r>
        <w:fldChar w:fldCharType="end"/>
      </w:r>
      <w:r>
        <w:fldChar w:fldCharType="end"/>
      </w:r>
    </w:p>
    <w:p w14:paraId="0FBE571B">
      <w:pPr>
        <w:pStyle w:val="25"/>
        <w:rPr>
          <w:sz w:val="21"/>
          <w:szCs w:val="22"/>
        </w:rPr>
      </w:pPr>
      <w:r>
        <w:fldChar w:fldCharType="begin"/>
      </w:r>
      <w:r>
        <w:instrText xml:space="preserve"> HYPERLINK \l "_Toc181109875" </w:instrText>
      </w:r>
      <w:r>
        <w:fldChar w:fldCharType="separate"/>
      </w:r>
      <w:r>
        <w:rPr>
          <w:rStyle w:val="36"/>
        </w:rPr>
        <w:t>8.2 标志性成果</w:t>
      </w:r>
      <w:r>
        <w:tab/>
      </w:r>
      <w:r>
        <w:fldChar w:fldCharType="begin"/>
      </w:r>
      <w:r>
        <w:instrText xml:space="preserve"> PAGEREF _Toc181109875 \h </w:instrText>
      </w:r>
      <w:r>
        <w:fldChar w:fldCharType="separate"/>
      </w:r>
      <w:r>
        <w:t>68</w:t>
      </w:r>
      <w:r>
        <w:fldChar w:fldCharType="end"/>
      </w:r>
      <w:r>
        <w:fldChar w:fldCharType="end"/>
      </w:r>
    </w:p>
    <w:p w14:paraId="69F65946">
      <w:pPr>
        <w:pStyle w:val="21"/>
        <w:spacing w:line="340" w:lineRule="exact"/>
        <w:rPr>
          <w:rFonts w:cs="Times New Roman" w:eastAsiaTheme="minorEastAsia"/>
          <w:b w:val="0"/>
          <w:bCs w:val="0"/>
          <w:caps w:val="0"/>
          <w:sz w:val="21"/>
          <w:szCs w:val="22"/>
        </w:rPr>
      </w:pPr>
      <w:r>
        <w:fldChar w:fldCharType="begin"/>
      </w:r>
      <w:r>
        <w:instrText xml:space="preserve"> HYPERLINK \l "_Toc181109876" </w:instrText>
      </w:r>
      <w:r>
        <w:fldChar w:fldCharType="separate"/>
      </w:r>
      <w:r>
        <w:rPr>
          <w:rStyle w:val="36"/>
          <w:rFonts w:cs="Times New Roman" w:eastAsiaTheme="minorEastAsia"/>
        </w:rPr>
        <w:t>9 环境影响评价</w:t>
      </w:r>
      <w:r>
        <w:rPr>
          <w:rFonts w:cs="Times New Roman" w:eastAsiaTheme="minorEastAsia"/>
        </w:rPr>
        <w:tab/>
      </w:r>
      <w:r>
        <w:rPr>
          <w:rFonts w:cs="Times New Roman" w:eastAsiaTheme="minorEastAsia"/>
        </w:rPr>
        <w:fldChar w:fldCharType="begin"/>
      </w:r>
      <w:r>
        <w:rPr>
          <w:rFonts w:cs="Times New Roman" w:eastAsiaTheme="minorEastAsia"/>
        </w:rPr>
        <w:instrText xml:space="preserve"> PAGEREF _Toc181109876 \h </w:instrText>
      </w:r>
      <w:r>
        <w:rPr>
          <w:rFonts w:cs="Times New Roman" w:eastAsiaTheme="minorEastAsia"/>
        </w:rPr>
        <w:fldChar w:fldCharType="separate"/>
      </w:r>
      <w:r>
        <w:rPr>
          <w:rFonts w:cs="Times New Roman" w:eastAsiaTheme="minorEastAsia"/>
        </w:rPr>
        <w:t>71</w:t>
      </w:r>
      <w:r>
        <w:rPr>
          <w:rFonts w:cs="Times New Roman" w:eastAsiaTheme="minorEastAsia"/>
        </w:rPr>
        <w:fldChar w:fldCharType="end"/>
      </w:r>
      <w:r>
        <w:rPr>
          <w:rFonts w:cs="Times New Roman" w:eastAsiaTheme="minorEastAsia"/>
        </w:rPr>
        <w:fldChar w:fldCharType="end"/>
      </w:r>
    </w:p>
    <w:p w14:paraId="0A52C25E">
      <w:pPr>
        <w:pStyle w:val="25"/>
        <w:rPr>
          <w:sz w:val="21"/>
          <w:szCs w:val="22"/>
        </w:rPr>
      </w:pPr>
      <w:r>
        <w:fldChar w:fldCharType="begin"/>
      </w:r>
      <w:r>
        <w:instrText xml:space="preserve"> HYPERLINK \l "_Toc181109877" </w:instrText>
      </w:r>
      <w:r>
        <w:fldChar w:fldCharType="separate"/>
      </w:r>
      <w:r>
        <w:rPr>
          <w:rStyle w:val="36"/>
        </w:rPr>
        <w:t>9.1 环境保护目标及环境影响识别</w:t>
      </w:r>
      <w:r>
        <w:tab/>
      </w:r>
      <w:r>
        <w:fldChar w:fldCharType="begin"/>
      </w:r>
      <w:r>
        <w:instrText xml:space="preserve"> PAGEREF _Toc181109877 \h </w:instrText>
      </w:r>
      <w:r>
        <w:fldChar w:fldCharType="separate"/>
      </w:r>
      <w:r>
        <w:t>71</w:t>
      </w:r>
      <w:r>
        <w:fldChar w:fldCharType="end"/>
      </w:r>
      <w:r>
        <w:fldChar w:fldCharType="end"/>
      </w:r>
    </w:p>
    <w:p w14:paraId="53D4DAC8">
      <w:pPr>
        <w:pStyle w:val="25"/>
        <w:rPr>
          <w:sz w:val="21"/>
          <w:szCs w:val="22"/>
        </w:rPr>
      </w:pPr>
      <w:r>
        <w:fldChar w:fldCharType="begin"/>
      </w:r>
      <w:r>
        <w:instrText xml:space="preserve"> HYPERLINK \l "_Toc181109878" </w:instrText>
      </w:r>
      <w:r>
        <w:fldChar w:fldCharType="separate"/>
      </w:r>
      <w:r>
        <w:rPr>
          <w:rStyle w:val="36"/>
        </w:rPr>
        <w:t>9.2 规划协调性分析</w:t>
      </w:r>
      <w:r>
        <w:tab/>
      </w:r>
      <w:r>
        <w:fldChar w:fldCharType="begin"/>
      </w:r>
      <w:r>
        <w:instrText xml:space="preserve"> PAGEREF _Toc181109878 \h </w:instrText>
      </w:r>
      <w:r>
        <w:fldChar w:fldCharType="separate"/>
      </w:r>
      <w:r>
        <w:t>71</w:t>
      </w:r>
      <w:r>
        <w:fldChar w:fldCharType="end"/>
      </w:r>
      <w:r>
        <w:fldChar w:fldCharType="end"/>
      </w:r>
    </w:p>
    <w:p w14:paraId="3A54FE60">
      <w:pPr>
        <w:pStyle w:val="25"/>
        <w:rPr>
          <w:sz w:val="21"/>
          <w:szCs w:val="22"/>
        </w:rPr>
      </w:pPr>
      <w:r>
        <w:fldChar w:fldCharType="begin"/>
      </w:r>
      <w:r>
        <w:instrText xml:space="preserve"> HYPERLINK \l "_Toc181109879" </w:instrText>
      </w:r>
      <w:r>
        <w:fldChar w:fldCharType="separate"/>
      </w:r>
      <w:r>
        <w:rPr>
          <w:rStyle w:val="36"/>
        </w:rPr>
        <w:t>9.3 环境影响预测与评价</w:t>
      </w:r>
      <w:r>
        <w:tab/>
      </w:r>
      <w:r>
        <w:fldChar w:fldCharType="begin"/>
      </w:r>
      <w:r>
        <w:instrText xml:space="preserve"> PAGEREF _Toc181109879 \h </w:instrText>
      </w:r>
      <w:r>
        <w:fldChar w:fldCharType="separate"/>
      </w:r>
      <w:r>
        <w:t>72</w:t>
      </w:r>
      <w:r>
        <w:fldChar w:fldCharType="end"/>
      </w:r>
      <w:r>
        <w:fldChar w:fldCharType="end"/>
      </w:r>
    </w:p>
    <w:p w14:paraId="68E0F960">
      <w:pPr>
        <w:pStyle w:val="25"/>
        <w:rPr>
          <w:sz w:val="21"/>
          <w:szCs w:val="22"/>
        </w:rPr>
      </w:pPr>
      <w:r>
        <w:fldChar w:fldCharType="begin"/>
      </w:r>
      <w:r>
        <w:instrText xml:space="preserve"> HYPERLINK \l "_Toc181109880" </w:instrText>
      </w:r>
      <w:r>
        <w:fldChar w:fldCharType="separate"/>
      </w:r>
      <w:r>
        <w:rPr>
          <w:rStyle w:val="36"/>
        </w:rPr>
        <w:t>9.4 水资源配置和水网布局环境影响分析</w:t>
      </w:r>
      <w:r>
        <w:tab/>
      </w:r>
      <w:r>
        <w:fldChar w:fldCharType="begin"/>
      </w:r>
      <w:r>
        <w:instrText xml:space="preserve"> PAGEREF _Toc181109880 \h </w:instrText>
      </w:r>
      <w:r>
        <w:fldChar w:fldCharType="separate"/>
      </w:r>
      <w:r>
        <w:t>74</w:t>
      </w:r>
      <w:r>
        <w:fldChar w:fldCharType="end"/>
      </w:r>
      <w:r>
        <w:fldChar w:fldCharType="end"/>
      </w:r>
    </w:p>
    <w:p w14:paraId="73A5D821">
      <w:pPr>
        <w:pStyle w:val="25"/>
        <w:rPr>
          <w:sz w:val="21"/>
          <w:szCs w:val="22"/>
        </w:rPr>
      </w:pPr>
      <w:r>
        <w:fldChar w:fldCharType="begin"/>
      </w:r>
      <w:r>
        <w:instrText xml:space="preserve"> HYPERLINK \l "_Toc181109881" </w:instrText>
      </w:r>
      <w:r>
        <w:fldChar w:fldCharType="separate"/>
      </w:r>
      <w:r>
        <w:rPr>
          <w:rStyle w:val="36"/>
        </w:rPr>
        <w:t>9.5 环境影响减缓对策和措施</w:t>
      </w:r>
      <w:r>
        <w:tab/>
      </w:r>
      <w:r>
        <w:fldChar w:fldCharType="begin"/>
      </w:r>
      <w:r>
        <w:instrText xml:space="preserve"> PAGEREF _Toc181109881 \h </w:instrText>
      </w:r>
      <w:r>
        <w:fldChar w:fldCharType="separate"/>
      </w:r>
      <w:r>
        <w:t>75</w:t>
      </w:r>
      <w:r>
        <w:fldChar w:fldCharType="end"/>
      </w:r>
      <w:r>
        <w:fldChar w:fldCharType="end"/>
      </w:r>
    </w:p>
    <w:p w14:paraId="6B0397E8">
      <w:pPr>
        <w:pStyle w:val="25"/>
        <w:rPr>
          <w:sz w:val="21"/>
          <w:szCs w:val="22"/>
        </w:rPr>
      </w:pPr>
      <w:r>
        <w:fldChar w:fldCharType="begin"/>
      </w:r>
      <w:r>
        <w:instrText xml:space="preserve"> HYPERLINK \l "_Toc181109882" </w:instrText>
      </w:r>
      <w:r>
        <w:fldChar w:fldCharType="separate"/>
      </w:r>
      <w:r>
        <w:rPr>
          <w:rStyle w:val="36"/>
        </w:rPr>
        <w:t>9.6 环境影响评价结论</w:t>
      </w:r>
      <w:r>
        <w:tab/>
      </w:r>
      <w:r>
        <w:fldChar w:fldCharType="begin"/>
      </w:r>
      <w:r>
        <w:instrText xml:space="preserve"> PAGEREF _Toc181109882 \h </w:instrText>
      </w:r>
      <w:r>
        <w:fldChar w:fldCharType="separate"/>
      </w:r>
      <w:r>
        <w:t>75</w:t>
      </w:r>
      <w:r>
        <w:fldChar w:fldCharType="end"/>
      </w:r>
      <w:r>
        <w:fldChar w:fldCharType="end"/>
      </w:r>
    </w:p>
    <w:p w14:paraId="10B854BA">
      <w:pPr>
        <w:pStyle w:val="21"/>
        <w:spacing w:line="340" w:lineRule="exact"/>
        <w:rPr>
          <w:rFonts w:cs="Times New Roman" w:eastAsiaTheme="minorEastAsia"/>
          <w:b w:val="0"/>
          <w:bCs w:val="0"/>
          <w:caps w:val="0"/>
          <w:sz w:val="21"/>
          <w:szCs w:val="22"/>
        </w:rPr>
      </w:pPr>
      <w:r>
        <w:fldChar w:fldCharType="begin"/>
      </w:r>
      <w:r>
        <w:instrText xml:space="preserve"> HYPERLINK \l "_Toc181109883" </w:instrText>
      </w:r>
      <w:r>
        <w:fldChar w:fldCharType="separate"/>
      </w:r>
      <w:r>
        <w:rPr>
          <w:rStyle w:val="36"/>
          <w:rFonts w:cs="Times New Roman" w:eastAsiaTheme="minorEastAsia"/>
        </w:rPr>
        <w:t>10 实施安排及效果</w:t>
      </w:r>
      <w:r>
        <w:rPr>
          <w:rFonts w:cs="Times New Roman" w:eastAsiaTheme="minorEastAsia"/>
        </w:rPr>
        <w:tab/>
      </w:r>
      <w:r>
        <w:rPr>
          <w:rFonts w:cs="Times New Roman" w:eastAsiaTheme="minorEastAsia"/>
        </w:rPr>
        <w:fldChar w:fldCharType="begin"/>
      </w:r>
      <w:r>
        <w:rPr>
          <w:rFonts w:cs="Times New Roman" w:eastAsiaTheme="minorEastAsia"/>
        </w:rPr>
        <w:instrText xml:space="preserve"> PAGEREF _Toc181109883 \h </w:instrText>
      </w:r>
      <w:r>
        <w:rPr>
          <w:rFonts w:cs="Times New Roman" w:eastAsiaTheme="minorEastAsia"/>
        </w:rPr>
        <w:fldChar w:fldCharType="separate"/>
      </w:r>
      <w:r>
        <w:rPr>
          <w:rFonts w:cs="Times New Roman" w:eastAsiaTheme="minorEastAsia"/>
        </w:rPr>
        <w:t>76</w:t>
      </w:r>
      <w:r>
        <w:rPr>
          <w:rFonts w:cs="Times New Roman" w:eastAsiaTheme="minorEastAsia"/>
        </w:rPr>
        <w:fldChar w:fldCharType="end"/>
      </w:r>
      <w:r>
        <w:rPr>
          <w:rFonts w:cs="Times New Roman" w:eastAsiaTheme="minorEastAsia"/>
        </w:rPr>
        <w:fldChar w:fldCharType="end"/>
      </w:r>
    </w:p>
    <w:p w14:paraId="33D5BECA">
      <w:pPr>
        <w:pStyle w:val="25"/>
        <w:rPr>
          <w:sz w:val="21"/>
          <w:szCs w:val="22"/>
        </w:rPr>
      </w:pPr>
      <w:r>
        <w:fldChar w:fldCharType="begin"/>
      </w:r>
      <w:r>
        <w:instrText xml:space="preserve"> HYPERLINK \l "_Toc181109884" </w:instrText>
      </w:r>
      <w:r>
        <w:fldChar w:fldCharType="separate"/>
      </w:r>
      <w:r>
        <w:rPr>
          <w:rStyle w:val="36"/>
        </w:rPr>
        <w:t>10.1 实施原则</w:t>
      </w:r>
      <w:r>
        <w:tab/>
      </w:r>
      <w:r>
        <w:fldChar w:fldCharType="begin"/>
      </w:r>
      <w:r>
        <w:instrText xml:space="preserve"> PAGEREF _Toc181109884 \h </w:instrText>
      </w:r>
      <w:r>
        <w:fldChar w:fldCharType="separate"/>
      </w:r>
      <w:r>
        <w:t>76</w:t>
      </w:r>
      <w:r>
        <w:fldChar w:fldCharType="end"/>
      </w:r>
      <w:r>
        <w:fldChar w:fldCharType="end"/>
      </w:r>
    </w:p>
    <w:p w14:paraId="4CF82C87">
      <w:pPr>
        <w:pStyle w:val="25"/>
        <w:rPr>
          <w:sz w:val="21"/>
          <w:szCs w:val="22"/>
        </w:rPr>
      </w:pPr>
      <w:r>
        <w:fldChar w:fldCharType="begin"/>
      </w:r>
      <w:r>
        <w:instrText xml:space="preserve"> HYPERLINK \l "_Toc181109885" </w:instrText>
      </w:r>
      <w:r>
        <w:fldChar w:fldCharType="separate"/>
      </w:r>
      <w:r>
        <w:rPr>
          <w:rStyle w:val="36"/>
        </w:rPr>
        <w:t>10.2 实施安排</w:t>
      </w:r>
      <w:r>
        <w:tab/>
      </w:r>
      <w:r>
        <w:fldChar w:fldCharType="begin"/>
      </w:r>
      <w:r>
        <w:instrText xml:space="preserve"> PAGEREF _Toc181109885 \h </w:instrText>
      </w:r>
      <w:r>
        <w:fldChar w:fldCharType="separate"/>
      </w:r>
      <w:r>
        <w:t>76</w:t>
      </w:r>
      <w:r>
        <w:fldChar w:fldCharType="end"/>
      </w:r>
      <w:r>
        <w:fldChar w:fldCharType="end"/>
      </w:r>
    </w:p>
    <w:p w14:paraId="3FB601E3">
      <w:pPr>
        <w:pStyle w:val="25"/>
        <w:rPr>
          <w:sz w:val="21"/>
          <w:szCs w:val="22"/>
        </w:rPr>
      </w:pPr>
      <w:r>
        <w:fldChar w:fldCharType="begin"/>
      </w:r>
      <w:r>
        <w:instrText xml:space="preserve"> HYPERLINK \l "_Toc181109886" </w:instrText>
      </w:r>
      <w:r>
        <w:fldChar w:fldCharType="separate"/>
      </w:r>
      <w:r>
        <w:rPr>
          <w:rStyle w:val="36"/>
        </w:rPr>
        <w:t>10.3 投资估算</w:t>
      </w:r>
      <w:r>
        <w:tab/>
      </w:r>
      <w:r>
        <w:fldChar w:fldCharType="begin"/>
      </w:r>
      <w:r>
        <w:instrText xml:space="preserve"> PAGEREF _Toc181109886 \h </w:instrText>
      </w:r>
      <w:r>
        <w:fldChar w:fldCharType="separate"/>
      </w:r>
      <w:r>
        <w:t>77</w:t>
      </w:r>
      <w:r>
        <w:fldChar w:fldCharType="end"/>
      </w:r>
      <w:r>
        <w:fldChar w:fldCharType="end"/>
      </w:r>
    </w:p>
    <w:p w14:paraId="21580EF0">
      <w:pPr>
        <w:pStyle w:val="25"/>
        <w:rPr>
          <w:sz w:val="21"/>
          <w:szCs w:val="22"/>
        </w:rPr>
      </w:pPr>
      <w:r>
        <w:fldChar w:fldCharType="begin"/>
      </w:r>
      <w:r>
        <w:instrText xml:space="preserve"> HYPERLINK \l "_Toc181109887" </w:instrText>
      </w:r>
      <w:r>
        <w:fldChar w:fldCharType="separate"/>
      </w:r>
      <w:r>
        <w:rPr>
          <w:rStyle w:val="36"/>
        </w:rPr>
        <w:t>10.4 实施效果</w:t>
      </w:r>
      <w:r>
        <w:tab/>
      </w:r>
      <w:r>
        <w:fldChar w:fldCharType="begin"/>
      </w:r>
      <w:r>
        <w:instrText xml:space="preserve"> PAGEREF _Toc181109887 \h </w:instrText>
      </w:r>
      <w:r>
        <w:fldChar w:fldCharType="separate"/>
      </w:r>
      <w:r>
        <w:t>78</w:t>
      </w:r>
      <w:r>
        <w:fldChar w:fldCharType="end"/>
      </w:r>
      <w:r>
        <w:fldChar w:fldCharType="end"/>
      </w:r>
    </w:p>
    <w:p w14:paraId="7A5A26BC">
      <w:pPr>
        <w:pStyle w:val="21"/>
        <w:spacing w:line="340" w:lineRule="exact"/>
        <w:rPr>
          <w:rFonts w:cs="Times New Roman" w:eastAsiaTheme="minorEastAsia"/>
          <w:b w:val="0"/>
          <w:bCs w:val="0"/>
          <w:caps w:val="0"/>
          <w:sz w:val="21"/>
          <w:szCs w:val="22"/>
        </w:rPr>
      </w:pPr>
      <w:r>
        <w:fldChar w:fldCharType="begin"/>
      </w:r>
      <w:r>
        <w:instrText xml:space="preserve"> HYPERLINK \l "_Toc181109888" </w:instrText>
      </w:r>
      <w:r>
        <w:fldChar w:fldCharType="separate"/>
      </w:r>
      <w:r>
        <w:rPr>
          <w:rStyle w:val="36"/>
          <w:rFonts w:cs="Times New Roman" w:eastAsiaTheme="minorEastAsia"/>
        </w:rPr>
        <w:t>11 保障措施</w:t>
      </w:r>
      <w:r>
        <w:rPr>
          <w:rFonts w:cs="Times New Roman" w:eastAsiaTheme="minorEastAsia"/>
        </w:rPr>
        <w:tab/>
      </w:r>
      <w:r>
        <w:rPr>
          <w:rFonts w:cs="Times New Roman" w:eastAsiaTheme="minorEastAsia"/>
        </w:rPr>
        <w:fldChar w:fldCharType="begin"/>
      </w:r>
      <w:r>
        <w:rPr>
          <w:rFonts w:cs="Times New Roman" w:eastAsiaTheme="minorEastAsia"/>
        </w:rPr>
        <w:instrText xml:space="preserve"> PAGEREF _Toc181109888 \h </w:instrText>
      </w:r>
      <w:r>
        <w:rPr>
          <w:rFonts w:cs="Times New Roman" w:eastAsiaTheme="minorEastAsia"/>
        </w:rPr>
        <w:fldChar w:fldCharType="separate"/>
      </w:r>
      <w:r>
        <w:rPr>
          <w:rFonts w:cs="Times New Roman" w:eastAsiaTheme="minorEastAsia"/>
        </w:rPr>
        <w:t>79</w:t>
      </w:r>
      <w:r>
        <w:rPr>
          <w:rFonts w:cs="Times New Roman" w:eastAsiaTheme="minorEastAsia"/>
        </w:rPr>
        <w:fldChar w:fldCharType="end"/>
      </w:r>
      <w:r>
        <w:rPr>
          <w:rFonts w:cs="Times New Roman" w:eastAsiaTheme="minorEastAsia"/>
        </w:rPr>
        <w:fldChar w:fldCharType="end"/>
      </w:r>
    </w:p>
    <w:p w14:paraId="4F053638">
      <w:pPr>
        <w:pStyle w:val="25"/>
        <w:rPr>
          <w:sz w:val="21"/>
          <w:szCs w:val="22"/>
        </w:rPr>
      </w:pPr>
      <w:r>
        <w:fldChar w:fldCharType="begin"/>
      </w:r>
      <w:r>
        <w:instrText xml:space="preserve"> HYPERLINK \l "_Toc181109889" </w:instrText>
      </w:r>
      <w:r>
        <w:fldChar w:fldCharType="separate"/>
      </w:r>
      <w:r>
        <w:rPr>
          <w:rStyle w:val="36"/>
        </w:rPr>
        <w:t>11.1 加强组织领导</w:t>
      </w:r>
      <w:r>
        <w:tab/>
      </w:r>
      <w:r>
        <w:fldChar w:fldCharType="begin"/>
      </w:r>
      <w:r>
        <w:instrText xml:space="preserve"> PAGEREF _Toc181109889 \h </w:instrText>
      </w:r>
      <w:r>
        <w:fldChar w:fldCharType="separate"/>
      </w:r>
      <w:r>
        <w:t>79</w:t>
      </w:r>
      <w:r>
        <w:fldChar w:fldCharType="end"/>
      </w:r>
      <w:r>
        <w:fldChar w:fldCharType="end"/>
      </w:r>
    </w:p>
    <w:p w14:paraId="2FB0463D">
      <w:pPr>
        <w:pStyle w:val="25"/>
        <w:rPr>
          <w:sz w:val="21"/>
          <w:szCs w:val="22"/>
        </w:rPr>
      </w:pPr>
      <w:r>
        <w:fldChar w:fldCharType="begin"/>
      </w:r>
      <w:r>
        <w:instrText xml:space="preserve"> HYPERLINK \l "_Toc181109890" </w:instrText>
      </w:r>
      <w:r>
        <w:fldChar w:fldCharType="separate"/>
      </w:r>
      <w:r>
        <w:rPr>
          <w:rStyle w:val="36"/>
        </w:rPr>
        <w:t>11.2 坚持统筹协调</w:t>
      </w:r>
      <w:r>
        <w:tab/>
      </w:r>
      <w:r>
        <w:fldChar w:fldCharType="begin"/>
      </w:r>
      <w:r>
        <w:instrText xml:space="preserve"> PAGEREF _Toc181109890 \h </w:instrText>
      </w:r>
      <w:r>
        <w:fldChar w:fldCharType="separate"/>
      </w:r>
      <w:r>
        <w:t>79</w:t>
      </w:r>
      <w:r>
        <w:fldChar w:fldCharType="end"/>
      </w:r>
      <w:r>
        <w:fldChar w:fldCharType="end"/>
      </w:r>
    </w:p>
    <w:p w14:paraId="480469E6">
      <w:pPr>
        <w:pStyle w:val="25"/>
        <w:rPr>
          <w:sz w:val="21"/>
          <w:szCs w:val="22"/>
        </w:rPr>
      </w:pPr>
      <w:r>
        <w:fldChar w:fldCharType="begin"/>
      </w:r>
      <w:r>
        <w:instrText xml:space="preserve"> HYPERLINK \l "_Toc181109891" </w:instrText>
      </w:r>
      <w:r>
        <w:fldChar w:fldCharType="separate"/>
      </w:r>
      <w:r>
        <w:rPr>
          <w:rStyle w:val="36"/>
        </w:rPr>
        <w:t>11.3 强化要素保障</w:t>
      </w:r>
      <w:r>
        <w:tab/>
      </w:r>
      <w:r>
        <w:fldChar w:fldCharType="begin"/>
      </w:r>
      <w:r>
        <w:instrText xml:space="preserve"> PAGEREF _Toc181109891 \h </w:instrText>
      </w:r>
      <w:r>
        <w:fldChar w:fldCharType="separate"/>
      </w:r>
      <w:r>
        <w:t>79</w:t>
      </w:r>
      <w:r>
        <w:fldChar w:fldCharType="end"/>
      </w:r>
      <w:r>
        <w:fldChar w:fldCharType="end"/>
      </w:r>
    </w:p>
    <w:p w14:paraId="573F26C7">
      <w:pPr>
        <w:pStyle w:val="25"/>
        <w:rPr>
          <w:sz w:val="21"/>
          <w:szCs w:val="22"/>
        </w:rPr>
      </w:pPr>
      <w:r>
        <w:fldChar w:fldCharType="begin"/>
      </w:r>
      <w:r>
        <w:instrText xml:space="preserve"> HYPERLINK \l "_Toc181109892" </w:instrText>
      </w:r>
      <w:r>
        <w:fldChar w:fldCharType="separate"/>
      </w:r>
      <w:r>
        <w:rPr>
          <w:rStyle w:val="36"/>
        </w:rPr>
        <w:t>11.4 增强技术支撑</w:t>
      </w:r>
      <w:r>
        <w:tab/>
      </w:r>
      <w:r>
        <w:fldChar w:fldCharType="begin"/>
      </w:r>
      <w:r>
        <w:instrText xml:space="preserve"> PAGEREF _Toc181109892 \h </w:instrText>
      </w:r>
      <w:r>
        <w:fldChar w:fldCharType="separate"/>
      </w:r>
      <w:r>
        <w:t>80</w:t>
      </w:r>
      <w:r>
        <w:fldChar w:fldCharType="end"/>
      </w:r>
      <w:r>
        <w:fldChar w:fldCharType="end"/>
      </w:r>
    </w:p>
    <w:p w14:paraId="60BE90FE">
      <w:pPr>
        <w:pStyle w:val="25"/>
        <w:rPr>
          <w:sz w:val="21"/>
          <w:szCs w:val="22"/>
        </w:rPr>
      </w:pPr>
      <w:r>
        <w:fldChar w:fldCharType="begin"/>
      </w:r>
      <w:r>
        <w:instrText xml:space="preserve"> HYPERLINK \l "_Toc181109893" </w:instrText>
      </w:r>
      <w:r>
        <w:fldChar w:fldCharType="separate"/>
      </w:r>
      <w:r>
        <w:rPr>
          <w:rStyle w:val="36"/>
        </w:rPr>
        <w:t>11.5 落实督查指导</w:t>
      </w:r>
      <w:r>
        <w:tab/>
      </w:r>
      <w:r>
        <w:fldChar w:fldCharType="begin"/>
      </w:r>
      <w:r>
        <w:instrText xml:space="preserve"> PAGEREF _Toc181109893 \h </w:instrText>
      </w:r>
      <w:r>
        <w:fldChar w:fldCharType="separate"/>
      </w:r>
      <w:r>
        <w:t>81</w:t>
      </w:r>
      <w:r>
        <w:fldChar w:fldCharType="end"/>
      </w:r>
      <w:r>
        <w:fldChar w:fldCharType="end"/>
      </w:r>
    </w:p>
    <w:p w14:paraId="6FBED627">
      <w:pPr>
        <w:spacing w:before="312" w:beforeLines="100" w:line="340" w:lineRule="exact"/>
        <w:ind w:firstLine="158" w:firstLineChars="66"/>
        <w:rPr>
          <w:rFonts w:cs="Times New Roman" w:eastAsiaTheme="minorEastAsia"/>
          <w:bCs/>
        </w:rPr>
      </w:pPr>
      <w:r>
        <w:rPr>
          <w:rFonts w:cs="Times New Roman" w:eastAsiaTheme="minorEastAsia"/>
        </w:rPr>
        <w:fldChar w:fldCharType="end"/>
      </w:r>
      <w:r>
        <w:rPr>
          <w:rFonts w:cs="Times New Roman" w:eastAsiaTheme="minorEastAsia"/>
          <w:bCs/>
        </w:rPr>
        <w:t>附表1 泰州市县级以上河道名录</w:t>
      </w:r>
    </w:p>
    <w:p w14:paraId="466DFEF2">
      <w:pPr>
        <w:spacing w:line="340" w:lineRule="exact"/>
        <w:ind w:firstLine="158" w:firstLineChars="66"/>
        <w:rPr>
          <w:rFonts w:cs="Times New Roman" w:eastAsiaTheme="minorEastAsia"/>
          <w:bCs/>
        </w:rPr>
      </w:pPr>
      <w:r>
        <w:rPr>
          <w:rFonts w:cs="Times New Roman" w:eastAsiaTheme="minorEastAsia"/>
          <w:bCs/>
        </w:rPr>
        <w:t>附表2 泰州市级以上湖泊湖荡名录</w:t>
      </w:r>
    </w:p>
    <w:p w14:paraId="63A1A0E5">
      <w:pPr>
        <w:spacing w:line="340" w:lineRule="exact"/>
        <w:ind w:firstLine="158" w:firstLineChars="66"/>
        <w:rPr>
          <w:rFonts w:cs="Times New Roman" w:eastAsiaTheme="minorEastAsia"/>
          <w:bCs/>
        </w:rPr>
      </w:pPr>
      <w:r>
        <w:rPr>
          <w:rFonts w:cs="Times New Roman" w:eastAsiaTheme="minorEastAsia"/>
          <w:bCs/>
        </w:rPr>
        <w:t>附表3 泰州重要水闸、泵站名录</w:t>
      </w:r>
    </w:p>
    <w:p w14:paraId="00C93853">
      <w:pPr>
        <w:spacing w:line="340" w:lineRule="exact"/>
        <w:ind w:firstLine="158" w:firstLineChars="66"/>
        <w:rPr>
          <w:rFonts w:cs="Times New Roman" w:eastAsiaTheme="minorEastAsia"/>
          <w:b/>
          <w:bCs/>
        </w:rPr>
      </w:pPr>
      <w:r>
        <w:rPr>
          <w:rFonts w:cs="Times New Roman" w:eastAsiaTheme="minorEastAsia"/>
          <w:bCs/>
        </w:rPr>
        <w:t>附表4 泰州市现代水网建设规划项目清单（2024—2035年）</w:t>
      </w:r>
    </w:p>
    <w:p w14:paraId="1C05DB01">
      <w:pPr>
        <w:spacing w:line="340" w:lineRule="exact"/>
        <w:ind w:firstLine="158" w:firstLineChars="66"/>
        <w:rPr>
          <w:rFonts w:cs="Times New Roman" w:eastAsiaTheme="minorEastAsia"/>
          <w:bCs/>
        </w:rPr>
      </w:pPr>
      <w:r>
        <w:rPr>
          <w:rFonts w:cs="Times New Roman" w:eastAsiaTheme="minorEastAsia"/>
          <w:bCs/>
        </w:rPr>
        <w:t>附图1泰州市行政区位示意图</w:t>
      </w:r>
    </w:p>
    <w:p w14:paraId="598080BB">
      <w:pPr>
        <w:spacing w:line="340" w:lineRule="exact"/>
        <w:ind w:firstLine="158" w:firstLineChars="66"/>
        <w:rPr>
          <w:rFonts w:cs="Times New Roman" w:eastAsiaTheme="minorEastAsia"/>
          <w:bCs/>
        </w:rPr>
      </w:pPr>
      <w:r>
        <w:rPr>
          <w:rFonts w:cs="Times New Roman" w:eastAsiaTheme="minorEastAsia"/>
          <w:bCs/>
        </w:rPr>
        <w:t>附图2泰州市级水网总体格局示意图</w:t>
      </w:r>
    </w:p>
    <w:p w14:paraId="57A4A53E">
      <w:pPr>
        <w:spacing w:line="340" w:lineRule="exact"/>
        <w:ind w:firstLine="158" w:firstLineChars="66"/>
        <w:rPr>
          <w:rFonts w:cs="Times New Roman" w:eastAsiaTheme="minorEastAsia"/>
          <w:bCs/>
        </w:rPr>
      </w:pPr>
      <w:r>
        <w:rPr>
          <w:rFonts w:cs="Times New Roman" w:eastAsiaTheme="minorEastAsia"/>
          <w:bCs/>
        </w:rPr>
        <w:t>附图3泰州市防洪除涝格局示意图</w:t>
      </w:r>
    </w:p>
    <w:p w14:paraId="04C47576">
      <w:pPr>
        <w:spacing w:line="340" w:lineRule="exact"/>
        <w:ind w:firstLine="158" w:firstLineChars="66"/>
        <w:rPr>
          <w:rFonts w:cs="Times New Roman" w:eastAsiaTheme="minorEastAsia"/>
          <w:bCs/>
        </w:rPr>
      </w:pPr>
      <w:r>
        <w:rPr>
          <w:rFonts w:cs="Times New Roman" w:eastAsiaTheme="minorEastAsia"/>
          <w:bCs/>
        </w:rPr>
        <w:t>附图4泰州市供水格局示意图</w:t>
      </w:r>
    </w:p>
    <w:p w14:paraId="0DDD469F">
      <w:pPr>
        <w:spacing w:line="340" w:lineRule="exact"/>
        <w:ind w:firstLine="158" w:firstLineChars="66"/>
        <w:rPr>
          <w:rFonts w:cs="Times New Roman" w:eastAsiaTheme="minorEastAsia"/>
          <w:bCs/>
        </w:rPr>
      </w:pPr>
      <w:r>
        <w:rPr>
          <w:rFonts w:cs="Times New Roman" w:eastAsiaTheme="minorEastAsia"/>
          <w:bCs/>
        </w:rPr>
        <w:t>附图5泰州市重点河湖生态空间格局示意图</w:t>
      </w:r>
    </w:p>
    <w:p w14:paraId="4C7A1572">
      <w:pPr>
        <w:spacing w:line="340" w:lineRule="exact"/>
        <w:ind w:firstLine="158" w:firstLineChars="66"/>
        <w:rPr>
          <w:rFonts w:cs="Times New Roman" w:eastAsiaTheme="minorEastAsia"/>
          <w:bCs/>
        </w:rPr>
      </w:pPr>
      <w:r>
        <w:rPr>
          <w:rFonts w:cs="Times New Roman" w:eastAsiaTheme="minorEastAsia"/>
          <w:bCs/>
        </w:rPr>
        <w:t>附图6泰州市规划工程空间分布示意图</w:t>
      </w:r>
    </w:p>
    <w:p w14:paraId="43AF46F9">
      <w:pPr>
        <w:pStyle w:val="56"/>
        <w:adjustRightInd w:val="0"/>
        <w:snapToGrid w:val="0"/>
        <w:spacing w:line="340" w:lineRule="exact"/>
        <w:rPr>
          <w:rFonts w:ascii="Times New Roman" w:hAnsi="Times New Roman" w:cs="Times New Roman"/>
          <w:b/>
          <w:bCs/>
          <w:sz w:val="28"/>
          <w:szCs w:val="28"/>
        </w:rPr>
        <w:sectPr>
          <w:headerReference r:id="rId11" w:type="default"/>
          <w:footerReference r:id="rId12" w:type="default"/>
          <w:pgSz w:w="11906" w:h="16838"/>
          <w:pgMar w:top="1440" w:right="1800" w:bottom="1440" w:left="1800" w:header="851" w:footer="992" w:gutter="0"/>
          <w:pgNumType w:fmt="lowerRoman" w:start="1"/>
          <w:cols w:space="425" w:num="1"/>
          <w:docGrid w:type="lines" w:linePitch="312" w:charSpace="0"/>
        </w:sectPr>
      </w:pPr>
    </w:p>
    <w:p w14:paraId="249BCD38">
      <w:pPr>
        <w:pStyle w:val="2"/>
      </w:pPr>
      <w:bookmarkStart w:id="1" w:name="_Toc181109833"/>
      <w:r>
        <w:rPr>
          <w:rFonts w:hint="eastAsia"/>
        </w:rPr>
        <w:t>建设基础与面临形势</w:t>
      </w:r>
      <w:bookmarkEnd w:id="1"/>
    </w:p>
    <w:p w14:paraId="68B8A165">
      <w:pPr>
        <w:pStyle w:val="3"/>
        <w:spacing w:before="163"/>
      </w:pPr>
      <w:bookmarkStart w:id="2" w:name="_Toc181109834"/>
      <w:r>
        <w:rPr>
          <w:rFonts w:hint="eastAsia"/>
        </w:rPr>
        <w:t>区域特点</w:t>
      </w:r>
      <w:bookmarkEnd w:id="2"/>
    </w:p>
    <w:p w14:paraId="6F9861FB">
      <w:pPr>
        <w:pStyle w:val="4"/>
        <w:numPr>
          <w:ilvl w:val="0"/>
          <w:numId w:val="0"/>
        </w:numPr>
        <w:ind w:left="709"/>
      </w:pPr>
      <w:r>
        <w:t>（</w:t>
      </w:r>
      <w:r>
        <w:rPr>
          <w:rFonts w:hint="eastAsia"/>
        </w:rPr>
        <w:t>1</w:t>
      </w:r>
      <w:r>
        <w:t>）</w:t>
      </w:r>
      <w:r>
        <w:rPr>
          <w:rFonts w:hint="eastAsia"/>
        </w:rPr>
        <w:t>区位优势突出、经济提升迅速</w:t>
      </w:r>
    </w:p>
    <w:p w14:paraId="29580808">
      <w:pPr>
        <w:ind w:firstLine="480"/>
        <w:rPr>
          <w:rFonts w:cs="Times New Roman"/>
        </w:rPr>
      </w:pPr>
      <w:r>
        <w:rPr>
          <w:rFonts w:hint="eastAsia" w:cs="Times New Roman"/>
        </w:rPr>
        <w:t>泰州位于江苏中部，南临长江，北靠盐城，东连南通，西接扬州，全市总面积</w:t>
      </w:r>
      <w:r>
        <w:rPr>
          <w:rFonts w:cs="Times New Roman"/>
        </w:rPr>
        <w:t>5787.98</w:t>
      </w:r>
      <w:r>
        <w:rPr>
          <w:rFonts w:hint="eastAsia" w:cs="Times New Roman"/>
        </w:rPr>
        <w:t>km²。当前“一带一路”建设、长江经济带发展、长三角区域一体化发展等国家战略在泰州交汇叠加，作为上海大都市圈成员的泰州，也近邻南京、苏锡常都市圈，可沟通苏南、苏北两大经济板块，可作为长三角一体化向北推进的重要跳板，亦可作为长江经济带、“一带一路”向全国、全球辐射的关键节点，优越的地理位置为其经济社会高质量发展奠定了良好的基础。</w:t>
      </w:r>
    </w:p>
    <w:p w14:paraId="2560FAB8">
      <w:pPr>
        <w:pStyle w:val="11"/>
      </w:pPr>
      <w:r>
        <w:drawing>
          <wp:inline distT="0" distB="0" distL="0" distR="0">
            <wp:extent cx="5408930" cy="4057650"/>
            <wp:effectExtent l="19050" t="19050" r="20320" b="19050"/>
            <wp:docPr id="3" name="图片 3" descr="G:\泰州市水网规划\陈霞绘图\01战略位置图20240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G:\泰州市水网规划\陈霞绘图\01战略位置图20240524.jpg"/>
                    <pic:cNvPicPr>
                      <a:picLocks noChangeAspect="1" noChangeArrowheads="1"/>
                    </pic:cNvPicPr>
                  </pic:nvPicPr>
                  <pic:blipFill>
                    <a:blip r:embed="rId21" cstate="print">
                      <a:extLst>
                        <a:ext uri="{28A0092B-C50C-407E-A947-70E740481C1C}">
                          <a14:useLocalDpi xmlns:a14="http://schemas.microsoft.com/office/drawing/2010/main" val="0"/>
                        </a:ext>
                      </a:extLst>
                    </a:blip>
                    <a:srcRect l="2529" t="4084" r="2637"/>
                    <a:stretch>
                      <a:fillRect/>
                    </a:stretch>
                  </pic:blipFill>
                  <pic:spPr>
                    <a:xfrm>
                      <a:off x="0" y="0"/>
                      <a:ext cx="5417599" cy="4064153"/>
                    </a:xfrm>
                    <a:prstGeom prst="rect">
                      <a:avLst/>
                    </a:prstGeom>
                    <a:noFill/>
                    <a:ln w="9525" cap="flat" cmpd="sng" algn="ctr">
                      <a:solidFill>
                        <a:sysClr val="window" lastClr="FFFFFF">
                          <a:lumMod val="50000"/>
                        </a:sysClr>
                      </a:solidFill>
                      <a:prstDash val="solid"/>
                      <a:round/>
                      <a:headEnd type="none" w="med" len="med"/>
                      <a:tailEnd type="none" w="med" len="med"/>
                    </a:ln>
                  </pic:spPr>
                </pic:pic>
              </a:graphicData>
            </a:graphic>
          </wp:inline>
        </w:drawing>
      </w:r>
    </w:p>
    <w:p w14:paraId="4F928FC6">
      <w:pPr>
        <w:pStyle w:val="11"/>
      </w:pPr>
      <w:r>
        <w:rPr>
          <w:rFonts w:hint="eastAsia"/>
        </w:rPr>
        <w:t>图1.1-2江苏省泰州市战略区位图</w:t>
      </w:r>
    </w:p>
    <w:p w14:paraId="524C23D3">
      <w:pPr>
        <w:ind w:firstLine="480"/>
        <w:rPr>
          <w:rFonts w:cs="Times New Roman"/>
        </w:rPr>
      </w:pPr>
      <w:r>
        <w:rPr>
          <w:rFonts w:hint="eastAsia" w:cs="Times New Roman"/>
        </w:rPr>
        <w:t>近年来，泰州全市上下紧紧围绕国家、省决策部署，坚持稳中求进工作总基调，扎实推进“一高两强三突出”实践，“强富美高”新泰州建设取得重大阶段性成果，</w:t>
      </w:r>
      <w:r>
        <w:rPr>
          <w:rFonts w:cs="Times New Roman"/>
        </w:rPr>
        <w:t>2023</w:t>
      </w:r>
      <w:r>
        <w:rPr>
          <w:rFonts w:hint="eastAsia" w:cs="Times New Roman"/>
        </w:rPr>
        <w:t>年泰州市的</w:t>
      </w:r>
      <w:r>
        <w:rPr>
          <w:rFonts w:cs="Times New Roman"/>
        </w:rPr>
        <w:t>GDP</w:t>
      </w:r>
      <w:r>
        <w:rPr>
          <w:rFonts w:hint="eastAsia" w:cs="Times New Roman"/>
        </w:rPr>
        <w:t>高达</w:t>
      </w:r>
      <w:r>
        <w:rPr>
          <w:rFonts w:cs="Times New Roman"/>
        </w:rPr>
        <w:t>6731.66</w:t>
      </w:r>
      <w:r>
        <w:rPr>
          <w:rFonts w:hint="eastAsia" w:cs="Times New Roman"/>
        </w:rPr>
        <w:t>亿元，其中第一产业占5.10%、第二产业占48.40%、第三产业占46.50%，</w:t>
      </w:r>
      <w:r>
        <w:rPr>
          <w:rFonts w:cs="Times New Roman"/>
        </w:rPr>
        <w:t>GDP</w:t>
      </w:r>
      <w:r>
        <w:rPr>
          <w:rFonts w:hint="eastAsia" w:cs="Times New Roman"/>
        </w:rPr>
        <w:t>五年连跨</w:t>
      </w:r>
      <w:r>
        <w:rPr>
          <w:rFonts w:cs="Times New Roman"/>
        </w:rPr>
        <w:t>5000</w:t>
      </w:r>
      <w:r>
        <w:rPr>
          <w:rFonts w:hint="eastAsia" w:cs="Times New Roman"/>
        </w:rPr>
        <w:t>亿元、</w:t>
      </w:r>
      <w:r>
        <w:rPr>
          <w:rFonts w:cs="Times New Roman"/>
        </w:rPr>
        <w:t>6000</w:t>
      </w:r>
      <w:r>
        <w:rPr>
          <w:rFonts w:hint="eastAsia" w:cs="Times New Roman"/>
        </w:rPr>
        <w:t>亿元两个台阶，人均地区生产总值达</w:t>
      </w:r>
      <w:r>
        <w:rPr>
          <w:rFonts w:cs="Times New Roman"/>
        </w:rPr>
        <w:t>14.94</w:t>
      </w:r>
      <w:r>
        <w:rPr>
          <w:rFonts w:hint="eastAsia" w:cs="Times New Roman"/>
        </w:rPr>
        <w:t>万元，</w:t>
      </w:r>
      <w:r>
        <w:rPr>
          <w:rFonts w:hint="eastAsia"/>
          <w:shd w:val="clear" w:color="auto" w:fill="FFFFFF"/>
        </w:rPr>
        <w:t>医药产业基础雄厚、造船完工量居全国地级市首位；基本公共服务体系建设成效百姓满意度居全省前列，蝉联“中国最具幸福感城市”。</w:t>
      </w:r>
    </w:p>
    <w:p w14:paraId="357E2176">
      <w:pPr>
        <w:pStyle w:val="4"/>
        <w:numPr>
          <w:ilvl w:val="0"/>
          <w:numId w:val="0"/>
        </w:numPr>
        <w:ind w:left="709"/>
      </w:pPr>
      <w:r>
        <w:t>（</w:t>
      </w:r>
      <w:r>
        <w:rPr>
          <w:rFonts w:hint="eastAsia"/>
        </w:rPr>
        <w:t>2</w:t>
      </w:r>
      <w:r>
        <w:t>）</w:t>
      </w:r>
      <w:r>
        <w:rPr>
          <w:rFonts w:hint="eastAsia"/>
        </w:rPr>
        <w:t>河湖纵横捭阖、互联互通互济</w:t>
      </w:r>
    </w:p>
    <w:p w14:paraId="43FAB25C">
      <w:pPr>
        <w:ind w:firstLine="480"/>
        <w:rPr>
          <w:rFonts w:cs="Times New Roman"/>
        </w:rPr>
      </w:pPr>
      <w:r>
        <w:rPr>
          <w:rFonts w:hint="eastAsia" w:cs="Times New Roman"/>
        </w:rPr>
        <w:t>泰州市纵跨淮河、长江两大流域，境内沟河湖荡密布、水网纵横，各类河道</w:t>
      </w:r>
      <w:r>
        <w:rPr>
          <w:rFonts w:cs="Times New Roman"/>
        </w:rPr>
        <w:t>24168</w:t>
      </w:r>
      <w:r>
        <w:rPr>
          <w:rFonts w:hint="eastAsia" w:cs="Times New Roman"/>
        </w:rPr>
        <w:t>条（其中乡级以上</w:t>
      </w:r>
      <w:r>
        <w:rPr>
          <w:rFonts w:cs="Times New Roman"/>
        </w:rPr>
        <w:t>2111</w:t>
      </w:r>
      <w:r>
        <w:rPr>
          <w:rFonts w:hint="eastAsia" w:cs="Times New Roman"/>
        </w:rPr>
        <w:t>条，县级以上</w:t>
      </w:r>
      <w:r>
        <w:rPr>
          <w:rFonts w:cs="Times New Roman"/>
        </w:rPr>
        <w:t>155条，</w:t>
      </w:r>
      <w:r>
        <w:rPr>
          <w:rFonts w:hint="eastAsia" w:cs="Times New Roman"/>
        </w:rPr>
        <w:t>列入省骨干河道名录</w:t>
      </w:r>
      <w:r>
        <w:rPr>
          <w:rFonts w:cs="Times New Roman"/>
        </w:rPr>
        <w:t>65</w:t>
      </w:r>
      <w:r>
        <w:rPr>
          <w:rFonts w:hint="eastAsia" w:cs="Times New Roman"/>
        </w:rPr>
        <w:t>条），长江岸线97.78km，市级</w:t>
      </w:r>
      <w:r>
        <w:rPr>
          <w:rFonts w:cs="Times New Roman"/>
        </w:rPr>
        <w:t>以上</w:t>
      </w:r>
      <w:r>
        <w:rPr>
          <w:rFonts w:hint="eastAsia" w:cs="Times New Roman"/>
        </w:rPr>
        <w:t>湖泊湖荡2</w:t>
      </w:r>
      <w:r>
        <w:rPr>
          <w:rFonts w:cs="Times New Roman"/>
        </w:rPr>
        <w:t>5处</w:t>
      </w:r>
      <w:r>
        <w:rPr>
          <w:rFonts w:hint="eastAsia" w:cs="Times New Roman"/>
        </w:rPr>
        <w:t>，全市水域面积</w:t>
      </w:r>
      <w:r>
        <w:rPr>
          <w:rFonts w:cs="Times New Roman"/>
        </w:rPr>
        <w:t>1262</w:t>
      </w:r>
      <w:r>
        <w:rPr>
          <w:rFonts w:hint="eastAsia" w:cs="Times New Roman"/>
        </w:rPr>
        <w:t>km²，占国土面积</w:t>
      </w:r>
      <w:r>
        <w:rPr>
          <w:rFonts w:cs="Times New Roman"/>
        </w:rPr>
        <w:t>21.81%</w:t>
      </w:r>
      <w:r>
        <w:rPr>
          <w:rFonts w:hint="eastAsia" w:cs="Times New Roman"/>
        </w:rPr>
        <w:t>；</w:t>
      </w:r>
      <w:r>
        <w:rPr>
          <w:rFonts w:cs="Times New Roman"/>
        </w:rPr>
        <w:t>5</w:t>
      </w:r>
      <w:r>
        <w:rPr>
          <w:rFonts w:hint="eastAsia" w:cs="Times New Roman"/>
        </w:rPr>
        <w:t>级以上堤防近</w:t>
      </w:r>
      <w:r>
        <w:rPr>
          <w:rFonts w:cs="Times New Roman"/>
        </w:rPr>
        <w:t>5000</w:t>
      </w:r>
      <w:r>
        <w:rPr>
          <w:rFonts w:hint="eastAsia" w:cs="Times New Roman"/>
        </w:rPr>
        <w:t>km（其中2级堤防</w:t>
      </w:r>
      <w:r>
        <w:t>156.4</w:t>
      </w:r>
      <w:r>
        <w:rPr>
          <w:rFonts w:hint="eastAsia" w:cs="Times New Roman"/>
        </w:rPr>
        <w:t>km</w:t>
      </w:r>
      <w:r>
        <w:rPr>
          <w:rFonts w:cs="Times New Roman"/>
        </w:rPr>
        <w:t>、4级堤防</w:t>
      </w:r>
      <w:r>
        <w:rPr>
          <w:rFonts w:hint="eastAsia" w:cs="Times New Roman"/>
        </w:rPr>
        <w:t>3</w:t>
      </w:r>
      <w:r>
        <w:rPr>
          <w:rFonts w:cs="Times New Roman"/>
        </w:rPr>
        <w:t>14.05</w:t>
      </w:r>
      <w:r>
        <w:rPr>
          <w:rFonts w:hint="eastAsia" w:cs="Times New Roman"/>
        </w:rPr>
        <w:t>km</w:t>
      </w:r>
      <w:r>
        <w:rPr>
          <w:rFonts w:cs="Times New Roman"/>
        </w:rPr>
        <w:t>、5级堤防4268.31</w:t>
      </w:r>
      <w:r>
        <w:rPr>
          <w:rFonts w:hint="eastAsia" w:cs="Times New Roman"/>
        </w:rPr>
        <w:t>km），县乡以上河道沿线水闸、泵站</w:t>
      </w:r>
      <w:r>
        <w:rPr>
          <w:rFonts w:cs="Times New Roman"/>
        </w:rPr>
        <w:t>6000</w:t>
      </w:r>
      <w:r>
        <w:rPr>
          <w:rFonts w:hint="eastAsia" w:cs="Times New Roman"/>
        </w:rPr>
        <w:t>多座（其中</w:t>
      </w:r>
      <w:r>
        <w:rPr>
          <w:rFonts w:cs="Times New Roman"/>
        </w:rPr>
        <w:t>大中型</w:t>
      </w:r>
      <w:r>
        <w:rPr>
          <w:rFonts w:hint="eastAsia" w:cs="Times New Roman"/>
        </w:rPr>
        <w:t>水闸9座、大中型泵站6</w:t>
      </w:r>
      <w:r>
        <w:rPr>
          <w:rFonts w:cs="Times New Roman"/>
        </w:rPr>
        <w:t>0座</w:t>
      </w:r>
      <w:r>
        <w:rPr>
          <w:rFonts w:hint="eastAsia" w:cs="Times New Roman"/>
        </w:rPr>
        <w:t>），上述水利工程共同构成了泰州基础水网。</w:t>
      </w:r>
    </w:p>
    <w:p w14:paraId="1DAF476B">
      <w:pPr>
        <w:spacing w:before="72" w:after="72"/>
        <w:ind w:firstLine="480"/>
      </w:pPr>
      <w:r>
        <w:rPr>
          <w:rFonts w:hint="eastAsia"/>
        </w:rPr>
        <w:t>泰州全域以老328国道控制线为界，分为淮河里下河、长江通南两个排水体系，两片区水网既相对独立，又可通过控制线沿线界沟闸等涵闸</w:t>
      </w:r>
      <w:r>
        <w:t>互通</w:t>
      </w:r>
      <w:r>
        <w:rPr>
          <w:rFonts w:hint="eastAsia"/>
        </w:rPr>
        <w:t>。</w:t>
      </w:r>
      <w:r>
        <w:rPr>
          <w:rStyle w:val="35"/>
          <w:rFonts w:hint="eastAsia"/>
        </w:rPr>
        <w:t>里下河片</w:t>
      </w:r>
      <w:r>
        <w:rPr>
          <w:rFonts w:hint="eastAsia"/>
        </w:rPr>
        <w:t>位于老</w:t>
      </w:r>
      <w:r>
        <w:t>328</w:t>
      </w:r>
      <w:r>
        <w:rPr>
          <w:rFonts w:hint="eastAsia"/>
        </w:rPr>
        <w:t>国道控制线以北，位于淮河流域下游区，是江苏省十七</w:t>
      </w:r>
      <w:r>
        <w:t>个水利分区之一</w:t>
      </w:r>
      <w:r>
        <w:rPr>
          <w:rFonts w:hint="eastAsia"/>
        </w:rPr>
        <w:t>里下河区重要组成部分，泰州里下河片</w:t>
      </w:r>
      <w:r>
        <w:t>总面积3025</w:t>
      </w:r>
      <w:r>
        <w:rPr>
          <w:rFonts w:hint="eastAsia"/>
        </w:rPr>
        <w:t>km²，</w:t>
      </w:r>
      <w:r>
        <w:rPr>
          <w:rFonts w:hint="eastAsia" w:cs="Times New Roman"/>
        </w:rPr>
        <w:t>包括兴化市全境、海陵区和姜堰区部分，该片</w:t>
      </w:r>
      <w:r>
        <w:t>地势低洼，</w:t>
      </w:r>
      <w:r>
        <w:rPr>
          <w:rFonts w:hint="eastAsia"/>
        </w:rPr>
        <w:t>新通</w:t>
      </w:r>
      <w:r>
        <w:t>扬</w:t>
      </w:r>
      <w:r>
        <w:rPr>
          <w:rFonts w:hint="eastAsia"/>
        </w:rPr>
        <w:t>运河横贯东西</w:t>
      </w:r>
      <w:r>
        <w:t>，</w:t>
      </w:r>
      <w:r>
        <w:rPr>
          <w:rFonts w:hint="eastAsia"/>
        </w:rPr>
        <w:t>泰</w:t>
      </w:r>
      <w:r>
        <w:t>东河</w:t>
      </w:r>
      <w:r>
        <w:rPr>
          <w:rFonts w:hint="eastAsia"/>
        </w:rPr>
        <w:t>、卤</w:t>
      </w:r>
      <w:r>
        <w:t>汀河</w:t>
      </w:r>
      <w:r>
        <w:rPr>
          <w:rFonts w:hint="eastAsia"/>
        </w:rPr>
        <w:t>纵贯</w:t>
      </w:r>
      <w:r>
        <w:t>南北</w:t>
      </w:r>
      <w:r>
        <w:rPr>
          <w:rFonts w:hint="eastAsia"/>
        </w:rPr>
        <w:t>，</w:t>
      </w:r>
      <w:r>
        <w:t>茅山河</w:t>
      </w:r>
      <w:r>
        <w:rPr>
          <w:rFonts w:hint="eastAsia"/>
        </w:rPr>
        <w:t>、</w:t>
      </w:r>
      <w:r>
        <w:t>俞西河</w:t>
      </w:r>
      <w:r>
        <w:rPr>
          <w:rFonts w:hint="eastAsia"/>
        </w:rPr>
        <w:t>、</w:t>
      </w:r>
      <w:r>
        <w:t>姜溱</w:t>
      </w:r>
      <w:r>
        <w:rPr>
          <w:rFonts w:hint="eastAsia"/>
        </w:rPr>
        <w:t>河、</w:t>
      </w:r>
      <w:r>
        <w:t>盐靖</w:t>
      </w:r>
      <w:r>
        <w:rPr>
          <w:rFonts w:hint="eastAsia"/>
        </w:rPr>
        <w:t>河等骨干</w:t>
      </w:r>
      <w:r>
        <w:t>河道延续新通扬运河、泰东河、卤汀河</w:t>
      </w:r>
      <w:r>
        <w:rPr>
          <w:rFonts w:hint="eastAsia"/>
        </w:rPr>
        <w:t>走势</w:t>
      </w:r>
      <w:r>
        <w:t>，</w:t>
      </w:r>
      <w:r>
        <w:rPr>
          <w:rFonts w:hint="eastAsia"/>
        </w:rPr>
        <w:t>与其支脉</w:t>
      </w:r>
      <w:r>
        <w:t>相连</w:t>
      </w:r>
      <w:r>
        <w:rPr>
          <w:rFonts w:hint="eastAsia"/>
        </w:rPr>
        <w:t>；乡村级</w:t>
      </w:r>
      <w:r>
        <w:t>河道、沟塘在此基础上，不断向下延伸</w:t>
      </w:r>
      <w:r>
        <w:rPr>
          <w:rFonts w:hint="eastAsia"/>
        </w:rPr>
        <w:t>，</w:t>
      </w:r>
      <w:r>
        <w:t>整体上形成里下河片</w:t>
      </w:r>
      <w:r>
        <w:rPr>
          <w:rFonts w:hint="eastAsia"/>
        </w:rPr>
        <w:t>特有</w:t>
      </w:r>
      <w:r>
        <w:t>的</w:t>
      </w:r>
      <w:r>
        <w:rPr>
          <w:rFonts w:hint="eastAsia" w:ascii="仿宋" w:hAnsi="仿宋"/>
        </w:rPr>
        <w:t>“</w:t>
      </w:r>
      <w:r>
        <w:rPr>
          <w:rFonts w:hint="eastAsia"/>
        </w:rPr>
        <w:t>枝状</w:t>
      </w:r>
      <w:r>
        <w:rPr>
          <w:rFonts w:hint="eastAsia" w:ascii="仿宋" w:hAnsi="仿宋"/>
        </w:rPr>
        <w:t>”</w:t>
      </w:r>
      <w:r>
        <w:rPr>
          <w:rFonts w:hint="eastAsia"/>
        </w:rPr>
        <w:t>水网体系</w:t>
      </w:r>
      <w:r>
        <w:t>。</w:t>
      </w:r>
      <w:r>
        <w:rPr>
          <w:rStyle w:val="35"/>
        </w:rPr>
        <w:t>通南片</w:t>
      </w:r>
      <w:r>
        <w:t>总面积</w:t>
      </w:r>
      <w:r>
        <w:rPr>
          <w:rFonts w:hint="eastAsia"/>
        </w:rPr>
        <w:t>2</w:t>
      </w:r>
      <w:r>
        <w:t>580</w:t>
      </w:r>
      <w:r>
        <w:rPr>
          <w:rFonts w:hint="eastAsia"/>
        </w:rPr>
        <w:t>km²</w:t>
      </w:r>
      <w:r>
        <w:t>，以</w:t>
      </w:r>
      <w:r>
        <w:rPr>
          <w:rFonts w:hint="eastAsia"/>
        </w:rPr>
        <w:t>江平公路－靖泰界河南堤为界</w:t>
      </w:r>
      <w:r>
        <w:t>又分为高沙土片和沿江圩区片两个排水片，其中通南</w:t>
      </w:r>
      <w:r>
        <w:rPr>
          <w:rFonts w:hint="eastAsia"/>
        </w:rPr>
        <w:t>高沙土片总面积</w:t>
      </w:r>
      <w:r>
        <w:t>1673</w:t>
      </w:r>
      <w:r>
        <w:rPr>
          <w:rFonts w:hint="eastAsia"/>
        </w:rPr>
        <w:t>km²，</w:t>
      </w:r>
      <w:r>
        <w:rPr>
          <w:rFonts w:hint="eastAsia" w:cs="Times New Roman"/>
        </w:rPr>
        <w:t>包括医药高新区（高港区）海陵区姜堰区及泰兴市，该片区</w:t>
      </w:r>
      <w:r>
        <w:rPr>
          <w:rFonts w:hint="eastAsia"/>
        </w:rPr>
        <w:t>地势</w:t>
      </w:r>
      <w:r>
        <w:t>开阔</w:t>
      </w:r>
      <w:r>
        <w:rPr>
          <w:rFonts w:hint="eastAsia"/>
        </w:rPr>
        <w:t>平坦</w:t>
      </w:r>
      <w:r>
        <w:t>，以</w:t>
      </w:r>
      <w:r>
        <w:rPr>
          <w:rFonts w:hint="eastAsia"/>
        </w:rPr>
        <w:t>东西向</w:t>
      </w:r>
      <w:r>
        <w:t>的</w:t>
      </w:r>
      <w:r>
        <w:rPr>
          <w:rFonts w:hint="eastAsia"/>
        </w:rPr>
        <w:t>老通扬运河、周山河、生产河、南干河和南北向</w:t>
      </w:r>
      <w:r>
        <w:t>的</w:t>
      </w:r>
      <w:r>
        <w:rPr>
          <w:rFonts w:hint="eastAsia"/>
        </w:rPr>
        <w:t>泰州引江河、南官河、凤城河、西干河、中干河、西姜黄河等河道构成水网主骨架，其余乡村级河道与之栉比相接，</w:t>
      </w:r>
      <w:r>
        <w:t>整体上</w:t>
      </w:r>
      <w:r>
        <w:rPr>
          <w:rFonts w:hint="eastAsia"/>
        </w:rPr>
        <w:t>呈</w:t>
      </w:r>
      <w:r>
        <w:rPr>
          <w:rFonts w:hint="eastAsia" w:ascii="仿宋" w:hAnsi="仿宋"/>
        </w:rPr>
        <w:t>“</w:t>
      </w:r>
      <w:r>
        <w:rPr>
          <w:rFonts w:hint="eastAsia"/>
        </w:rPr>
        <w:t>格状</w:t>
      </w:r>
      <w:r>
        <w:rPr>
          <w:rFonts w:hint="eastAsia" w:ascii="仿宋" w:hAnsi="仿宋"/>
        </w:rPr>
        <w:t>”</w:t>
      </w:r>
      <w:r>
        <w:rPr>
          <w:rFonts w:hint="eastAsia"/>
        </w:rPr>
        <w:t>水网体系</w:t>
      </w:r>
      <w:r>
        <w:t>。</w:t>
      </w:r>
      <w:r>
        <w:rPr>
          <w:rFonts w:hint="eastAsia"/>
        </w:rPr>
        <w:t>沿江圩</w:t>
      </w:r>
      <w:r>
        <w:t>区</w:t>
      </w:r>
      <w:r>
        <w:rPr>
          <w:rFonts w:hint="eastAsia"/>
        </w:rPr>
        <w:t>总面积9</w:t>
      </w:r>
      <w:r>
        <w:t>07</w:t>
      </w:r>
      <w:r>
        <w:rPr>
          <w:rFonts w:hint="eastAsia"/>
        </w:rPr>
        <w:t>km²，包括泰兴市、靖江市，该区地势低洼，现状</w:t>
      </w:r>
      <w:r>
        <w:t>水系</w:t>
      </w:r>
      <w:r>
        <w:rPr>
          <w:rFonts w:hint="eastAsia"/>
        </w:rPr>
        <w:t>大体</w:t>
      </w:r>
      <w:r>
        <w:t>以</w:t>
      </w:r>
      <w:r>
        <w:rPr>
          <w:rFonts w:hint="eastAsia"/>
        </w:rPr>
        <w:t>文胜河、夹港、上六圩港、下圩港等骨干河道为主</w:t>
      </w:r>
      <w:r>
        <w:t>，</w:t>
      </w:r>
      <w:r>
        <w:rPr>
          <w:rFonts w:hint="eastAsia"/>
        </w:rPr>
        <w:t>其余支流大体彼此平行与干河相接，</w:t>
      </w:r>
      <w:r>
        <w:t>整体上</w:t>
      </w:r>
      <w:r>
        <w:rPr>
          <w:rFonts w:hint="eastAsia"/>
        </w:rPr>
        <w:t>呈</w:t>
      </w:r>
      <w:r>
        <w:rPr>
          <w:rFonts w:hint="eastAsia" w:ascii="仿宋" w:hAnsi="仿宋"/>
        </w:rPr>
        <w:t>“</w:t>
      </w:r>
      <w:r>
        <w:rPr>
          <w:rFonts w:hint="eastAsia"/>
        </w:rPr>
        <w:t>梳状</w:t>
      </w:r>
      <w:r>
        <w:rPr>
          <w:rFonts w:hint="eastAsia" w:ascii="仿宋" w:hAnsi="仿宋"/>
        </w:rPr>
        <w:t>”</w:t>
      </w:r>
      <w:r>
        <w:rPr>
          <w:rFonts w:hint="eastAsia"/>
        </w:rPr>
        <w:t>水网体系</w:t>
      </w:r>
      <w:r>
        <w:t>。</w:t>
      </w:r>
    </w:p>
    <w:p w14:paraId="38667A2B">
      <w:pPr>
        <w:pStyle w:val="4"/>
        <w:numPr>
          <w:ilvl w:val="0"/>
          <w:numId w:val="0"/>
        </w:numPr>
        <w:ind w:left="709"/>
      </w:pPr>
      <w:r>
        <w:t>（</w:t>
      </w:r>
      <w:r>
        <w:rPr>
          <w:rFonts w:hint="eastAsia"/>
        </w:rPr>
        <w:t>3</w:t>
      </w:r>
      <w:r>
        <w:t>）</w:t>
      </w:r>
      <w:r>
        <w:rPr>
          <w:rFonts w:hint="eastAsia"/>
        </w:rPr>
        <w:t>横跨江淮水系，洪涝情势复杂</w:t>
      </w:r>
    </w:p>
    <w:p w14:paraId="46E178E9">
      <w:pPr>
        <w:ind w:firstLine="480"/>
        <w:rPr>
          <w:rFonts w:cs="Times New Roman"/>
        </w:rPr>
      </w:pPr>
      <w:r>
        <w:rPr>
          <w:rStyle w:val="35"/>
          <w:rFonts w:hint="eastAsia"/>
        </w:rPr>
        <w:t>泰州里下河片</w:t>
      </w:r>
      <w:r>
        <w:rPr>
          <w:rFonts w:hint="eastAsia" w:cs="Times New Roman"/>
        </w:rPr>
        <w:t>是淮河流域洪泽湖下游重点防洪保护区里下河区的重要组成，里下河区</w:t>
      </w:r>
      <w:r>
        <w:rPr>
          <w:rFonts w:ascii="Segoe UI" w:hAnsi="Segoe UI" w:cs="Segoe UI"/>
          <w:shd w:val="clear" w:color="auto" w:fill="FFFFFF"/>
        </w:rPr>
        <w:t>地势低洼，以兴化市为最低点，形成了一个俗称</w:t>
      </w:r>
      <w:r>
        <w:rPr>
          <w:rFonts w:ascii="宋体" w:hAnsi="宋体" w:cs="Segoe UI"/>
          <w:shd w:val="clear" w:color="auto" w:fill="FFFFFF"/>
        </w:rPr>
        <w:t>“锅底洼”</w:t>
      </w:r>
      <w:r>
        <w:rPr>
          <w:rFonts w:ascii="Segoe UI" w:hAnsi="Segoe UI" w:cs="Segoe UI"/>
          <w:shd w:val="clear" w:color="auto" w:fill="FFFFFF"/>
        </w:rPr>
        <w:t>的地貌特征，</w:t>
      </w:r>
      <w:r>
        <w:rPr>
          <w:rFonts w:hint="eastAsia" w:ascii="Segoe UI" w:hAnsi="Segoe UI" w:cs="Segoe UI"/>
          <w:shd w:val="clear" w:color="auto" w:fill="FFFFFF"/>
        </w:rPr>
        <w:t>该区</w:t>
      </w:r>
      <w:r>
        <w:rPr>
          <w:rFonts w:hint="eastAsia" w:cs="Times New Roman"/>
        </w:rPr>
        <w:t>洪涝灾害频繁，历史上平均二三年出现一次洪涝灾害，新中国成立后曾出现1954、1991、2003等多次大洪大涝，</w:t>
      </w:r>
      <w:r>
        <w:rPr>
          <w:rFonts w:hint="eastAsia"/>
        </w:rPr>
        <w:t>经过多年</w:t>
      </w:r>
      <w:r>
        <w:t>以来持续的水利建设，区域外围形成了以总渠南堤、里运河西堤、老</w:t>
      </w:r>
      <w:r>
        <w:rPr>
          <w:rFonts w:hint="eastAsia"/>
        </w:rPr>
        <w:t>3</w:t>
      </w:r>
      <w:r>
        <w:t>28国道、海堤为抵御外部洪水的防洪布局，以</w:t>
      </w:r>
      <w:r>
        <w:rPr>
          <w:rFonts w:hint="eastAsia"/>
        </w:rPr>
        <w:t>江都站、宝应站、高港站等抽水外排，湖泊湖荡滞蓄，斗龙港、川东港等自排入海的“上抽、中滞、下排”的排水布局，该地区洪涝灾害时空分布复杂，梅雨是该区形成水灾的主要原因，受里下河腹部特殊的地理条件，遭遇大暴雨袭击后，河湖水位极易暴涨</w:t>
      </w:r>
      <w:r>
        <w:rPr>
          <w:rFonts w:hint="eastAsia" w:cs="Times New Roman"/>
        </w:rPr>
        <w:t>。</w:t>
      </w:r>
      <w:r>
        <w:rPr>
          <w:rStyle w:val="35"/>
          <w:rFonts w:hint="eastAsia"/>
        </w:rPr>
        <w:t>通南片</w:t>
      </w:r>
      <w:r>
        <w:rPr>
          <w:rFonts w:hint="eastAsia" w:cs="Times New Roman"/>
        </w:rPr>
        <w:t>属于长江流域，北高南低，其水位一般比里下河地区水位高</w:t>
      </w:r>
      <w:r>
        <w:rPr>
          <w:rFonts w:cs="Times New Roman"/>
        </w:rPr>
        <w:t>1</w:t>
      </w:r>
      <w:r>
        <w:rPr>
          <w:rFonts w:hint="eastAsia" w:cs="Times New Roman"/>
        </w:rPr>
        <w:t>～</w:t>
      </w:r>
      <w:r>
        <w:rPr>
          <w:rFonts w:cs="Times New Roman"/>
        </w:rPr>
        <w:t>2</w:t>
      </w:r>
      <w:r>
        <w:rPr>
          <w:rFonts w:hint="eastAsia" w:cs="Times New Roman"/>
        </w:rPr>
        <w:t>米，主要通过</w:t>
      </w:r>
      <w:r>
        <w:rPr>
          <w:rFonts w:hint="eastAsia"/>
        </w:rPr>
        <w:t>328国道、江平公路－靖泰界河南堤进行分区调控，从而保证里下河片、沿江圩区防洪安全，排涝通过口岸闸、马甸枢纽、过船港闸、夏仕港闸等口门自排入江。该区域外洪内涝相互影响，当长江高潮遭遇内部暴雨，外排不及，导致内河水位上涨，洪涝夹击，形成严重洪涝灾害。通南沿江圩区</w:t>
      </w:r>
      <w:r>
        <w:rPr>
          <w:rFonts w:hint="eastAsia" w:cs="Times New Roman"/>
          <w:iCs/>
        </w:rPr>
        <w:t>通过江堤挡洪，内部通过江平公路</w:t>
      </w:r>
      <w:r>
        <w:rPr>
          <w:rFonts w:hint="eastAsia"/>
        </w:rPr>
        <w:t>－</w:t>
      </w:r>
      <w:r>
        <w:rPr>
          <w:rFonts w:hint="eastAsia" w:cs="Times New Roman"/>
          <w:iCs/>
        </w:rPr>
        <w:t>靖泰界河南堤及高沙土片主要通江河道堤防防御高沙土片高水，保证高低分排。通南沿江圩区中的高港、泰兴沿江圩区涝水主要通过泵站抽排入江，长江低潮位时通过沿江涵闸相机自排；通南沿江圩区靖江片，通过东西向骨干河道横港与南北向上六圩港等骨干河道形成骨干引排河网，涝水经河网汇流调蓄后，主要通过夹港节制闸、上六圩港闸、下六圩港闸、十圩港闸、罗家桥港闸、安宁港闸等自排入江，辅以下六圩港站、新小桥港站等抽排。</w:t>
      </w:r>
    </w:p>
    <w:p w14:paraId="4D94995B">
      <w:pPr>
        <w:ind w:firstLine="480"/>
      </w:pPr>
    </w:p>
    <w:p w14:paraId="728157D4">
      <w:pPr>
        <w:ind w:firstLine="480"/>
      </w:pPr>
    </w:p>
    <w:p w14:paraId="57FEA545">
      <w:pPr>
        <w:pStyle w:val="11"/>
      </w:pPr>
      <w:r>
        <w:drawing>
          <wp:inline distT="0" distB="0" distL="0" distR="0">
            <wp:extent cx="5629910" cy="7705090"/>
            <wp:effectExtent l="0" t="0" r="8890" b="0"/>
            <wp:docPr id="7" name="图片 7" descr="I:\Talk\泰州水网20241021 (2)\泰州水网20241021\骨干水系2024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Talk\泰州水网20241021 (2)\泰州水网20241021\骨干水系2024102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629910" cy="7705249"/>
                    </a:xfrm>
                    <a:prstGeom prst="rect">
                      <a:avLst/>
                    </a:prstGeom>
                    <a:noFill/>
                    <a:ln>
                      <a:noFill/>
                    </a:ln>
                  </pic:spPr>
                </pic:pic>
              </a:graphicData>
            </a:graphic>
          </wp:inline>
        </w:drawing>
      </w:r>
    </w:p>
    <w:p w14:paraId="1B815AFF">
      <w:pPr>
        <w:pStyle w:val="11"/>
      </w:pPr>
      <w:r>
        <w:rPr>
          <w:rFonts w:hint="eastAsia"/>
        </w:rPr>
        <w:t>图1.1</w:t>
      </w:r>
      <w:r>
        <w:t>-</w:t>
      </w:r>
      <w:r>
        <w:rPr>
          <w:rFonts w:hint="eastAsia"/>
        </w:rPr>
        <w:t>2泰州市骨干水网图</w:t>
      </w:r>
    </w:p>
    <w:p w14:paraId="2557470C">
      <w:pPr>
        <w:ind w:firstLine="480"/>
      </w:pPr>
    </w:p>
    <w:p w14:paraId="571B9F5E">
      <w:pPr>
        <w:ind w:firstLine="480"/>
      </w:pPr>
    </w:p>
    <w:p w14:paraId="0360C9EC">
      <w:pPr>
        <w:pStyle w:val="4"/>
        <w:numPr>
          <w:ilvl w:val="0"/>
          <w:numId w:val="0"/>
        </w:numPr>
        <w:ind w:left="709"/>
      </w:pPr>
      <w:r>
        <w:t>（</w:t>
      </w:r>
      <w:r>
        <w:rPr>
          <w:rFonts w:hint="eastAsia"/>
        </w:rPr>
        <w:t>4</w:t>
      </w:r>
      <w:r>
        <w:t>）</w:t>
      </w:r>
      <w:r>
        <w:rPr>
          <w:rFonts w:hint="eastAsia"/>
        </w:rPr>
        <w:t>雨量分布不均，过境水量丰沛</w:t>
      </w:r>
    </w:p>
    <w:p w14:paraId="1A77A480">
      <w:pPr>
        <w:ind w:firstLine="480"/>
        <w:rPr>
          <w:rFonts w:cs="Times New Roman"/>
        </w:rPr>
      </w:pPr>
      <w:r>
        <w:rPr>
          <w:rFonts w:hint="eastAsia" w:cs="Times New Roman"/>
        </w:rPr>
        <w:t>泰州市全境属亚热带季风气候，四季分明，光照充足，多年平均气温15.0℃，雨量夏丰冬少，入汛以梅雨为主，汛中、汛末以暴雨台风危害最大。多年平均降水量</w:t>
      </w:r>
      <w:r>
        <w:rPr>
          <w:rFonts w:cs="Times New Roman"/>
        </w:rPr>
        <w:t>1027.0</w:t>
      </w:r>
      <w:r>
        <w:rPr>
          <w:rFonts w:hint="eastAsia" w:cs="Times New Roman"/>
        </w:rPr>
        <w:t>mm，降水年际变化较大，最大年降水量为</w:t>
      </w:r>
      <w:r>
        <w:rPr>
          <w:rFonts w:cs="Times New Roman"/>
        </w:rPr>
        <w:t>2075.5</w:t>
      </w:r>
      <w:r>
        <w:rPr>
          <w:rFonts w:hint="eastAsia" w:cs="Times New Roman"/>
        </w:rPr>
        <w:t>mm（</w:t>
      </w:r>
      <w:r>
        <w:rPr>
          <w:rFonts w:cs="Times New Roman"/>
        </w:rPr>
        <w:t>1991</w:t>
      </w:r>
      <w:r>
        <w:rPr>
          <w:rFonts w:hint="eastAsia" w:cs="Times New Roman"/>
        </w:rPr>
        <w:t>年兴化站），最小年降水量为</w:t>
      </w:r>
      <w:r>
        <w:rPr>
          <w:rFonts w:cs="Times New Roman"/>
        </w:rPr>
        <w:t>328.8</w:t>
      </w:r>
      <w:r>
        <w:rPr>
          <w:rFonts w:hint="eastAsia" w:cs="Times New Roman"/>
        </w:rPr>
        <w:t>mm（</w:t>
      </w:r>
      <w:r>
        <w:rPr>
          <w:rFonts w:cs="Times New Roman"/>
        </w:rPr>
        <w:t>1978</w:t>
      </w:r>
      <w:r>
        <w:rPr>
          <w:rFonts w:hint="eastAsia" w:cs="Times New Roman"/>
        </w:rPr>
        <w:t>年安丰站）；年内降水约</w:t>
      </w:r>
      <w:r>
        <w:rPr>
          <w:rFonts w:cs="Times New Roman"/>
        </w:rPr>
        <w:t>66.7%</w:t>
      </w:r>
      <w:r>
        <w:rPr>
          <w:rFonts w:hint="eastAsia" w:cs="Times New Roman"/>
        </w:rPr>
        <w:t>集中在汛期（</w:t>
      </w:r>
      <w:r>
        <w:rPr>
          <w:rFonts w:cs="Times New Roman"/>
        </w:rPr>
        <w:t>5～9</w:t>
      </w:r>
      <w:r>
        <w:rPr>
          <w:rFonts w:hint="eastAsia" w:cs="Times New Roman"/>
        </w:rPr>
        <w:t>月），汛期多年平均降水量为</w:t>
      </w:r>
      <w:r>
        <w:rPr>
          <w:rFonts w:cs="Times New Roman"/>
        </w:rPr>
        <w:t>684.7</w:t>
      </w:r>
      <w:r>
        <w:rPr>
          <w:rFonts w:hint="eastAsia" w:cs="Times New Roman"/>
        </w:rPr>
        <w:t>mm。泰州多年平均地表水资源量</w:t>
      </w:r>
      <w:r>
        <w:rPr>
          <w:rFonts w:cs="Times New Roman"/>
        </w:rPr>
        <w:t>15.13</w:t>
      </w:r>
      <w:r>
        <w:rPr>
          <w:rFonts w:hint="eastAsia" w:cs="Times New Roman"/>
        </w:rPr>
        <w:t>亿m³，相当于径流深</w:t>
      </w:r>
      <w:r>
        <w:rPr>
          <w:rFonts w:cs="Times New Roman"/>
        </w:rPr>
        <w:t>261.5</w:t>
      </w:r>
      <w:r>
        <w:rPr>
          <w:rFonts w:hint="eastAsia" w:cs="Times New Roman"/>
        </w:rPr>
        <w:t>mm，年径流深中部最多、南部次之、北部最少，里下河片地表水资源量占20%～30%左右，高沙土片及沿江圩区地表水资源量占70%～80%左右。</w:t>
      </w:r>
    </w:p>
    <w:p w14:paraId="6A93DC76">
      <w:pPr>
        <w:ind w:firstLine="480"/>
        <w:rPr>
          <w:rFonts w:cs="Times New Roman"/>
        </w:rPr>
      </w:pPr>
      <w:r>
        <w:rPr>
          <w:rFonts w:hint="eastAsia" w:cs="Times New Roman"/>
        </w:rPr>
        <w:t>泰州地处长江北岸，过境水量十分丰富，长江干流大通站多年（1</w:t>
      </w:r>
      <w:r>
        <w:rPr>
          <w:rFonts w:cs="Times New Roman"/>
        </w:rPr>
        <w:t>960</w:t>
      </w:r>
      <w:r>
        <w:rPr>
          <w:rFonts w:hint="eastAsia" w:cs="Times New Roman"/>
        </w:rPr>
        <w:t>～2</w:t>
      </w:r>
      <w:r>
        <w:rPr>
          <w:rFonts w:cs="Times New Roman"/>
        </w:rPr>
        <w:t>020年</w:t>
      </w:r>
      <w:r>
        <w:rPr>
          <w:rFonts w:hint="eastAsia" w:cs="Times New Roman"/>
        </w:rPr>
        <w:t>）平均径流量</w:t>
      </w:r>
      <w:r>
        <w:rPr>
          <w:rFonts w:cs="Times New Roman"/>
        </w:rPr>
        <w:t>8906亿m³（其中</w:t>
      </w:r>
      <w:r>
        <w:rPr>
          <w:rFonts w:hint="eastAsia" w:cs="Times New Roman"/>
        </w:rPr>
        <w:t>2</w:t>
      </w:r>
      <w:r>
        <w:rPr>
          <w:rFonts w:cs="Times New Roman"/>
        </w:rPr>
        <w:t>003</w:t>
      </w:r>
      <w:r>
        <w:rPr>
          <w:rFonts w:hint="eastAsia" w:cs="Times New Roman"/>
        </w:rPr>
        <w:t>～2</w:t>
      </w:r>
      <w:r>
        <w:rPr>
          <w:rFonts w:cs="Times New Roman"/>
        </w:rPr>
        <w:t>020年平均径流量</w:t>
      </w:r>
      <w:r>
        <w:rPr>
          <w:rFonts w:hint="eastAsia" w:cs="Times New Roman"/>
        </w:rPr>
        <w:t>8</w:t>
      </w:r>
      <w:r>
        <w:rPr>
          <w:rFonts w:cs="Times New Roman"/>
        </w:rPr>
        <w:t>742亿m³）</w:t>
      </w:r>
      <w:r>
        <w:rPr>
          <w:rFonts w:hint="eastAsia" w:cs="Times New Roman"/>
        </w:rPr>
        <w:t>。泰州市</w:t>
      </w:r>
      <w:r>
        <w:rPr>
          <w:rFonts w:hint="eastAsia"/>
        </w:rPr>
        <w:t>水资源供给坚持扎根长江，其中里下河片依托区域“两河引水、三线输水”的供水布局，通过新通扬运河、泰州引江河引水，经三阳河、卤汀河、泰东河向内部河网送水；通南片依托“多口门引水、多线输水、河网调蓄、泵站补水”的供水布局，主要经各通江支流自流引江，辅以抽引。泰州</w:t>
      </w:r>
      <w:r>
        <w:rPr>
          <w:rFonts w:hint="eastAsia" w:cs="Times New Roman"/>
        </w:rPr>
        <w:t>沿江</w:t>
      </w:r>
      <w:r>
        <w:rPr>
          <w:rFonts w:cs="Times New Roman"/>
        </w:rPr>
        <w:t>13</w:t>
      </w:r>
      <w:r>
        <w:rPr>
          <w:rFonts w:hint="eastAsia" w:cs="Times New Roman"/>
        </w:rPr>
        <w:t>座重点闸站可控制</w:t>
      </w:r>
      <w:r>
        <w:rPr>
          <w:rFonts w:cs="Times New Roman"/>
        </w:rPr>
        <w:t>90%</w:t>
      </w:r>
      <w:r>
        <w:rPr>
          <w:rFonts w:hint="eastAsia" w:cs="Times New Roman"/>
        </w:rPr>
        <w:t>以上引排水量，近1</w:t>
      </w:r>
      <w:r>
        <w:rPr>
          <w:rFonts w:cs="Times New Roman"/>
        </w:rPr>
        <w:t>0年</w:t>
      </w:r>
      <w:r>
        <w:rPr>
          <w:rFonts w:hint="eastAsia" w:cs="Times New Roman"/>
        </w:rPr>
        <w:t>全市重点通江口门平均引长江水量</w:t>
      </w:r>
      <w:r>
        <w:rPr>
          <w:rFonts w:cs="Times New Roman"/>
        </w:rPr>
        <w:t>62.14</w:t>
      </w:r>
      <w:r>
        <w:rPr>
          <w:rFonts w:hint="eastAsia" w:cs="Times New Roman"/>
        </w:rPr>
        <w:t>亿m³，其中高港枢纽跨流域调水（进入淮河流域）</w:t>
      </w:r>
      <w:r>
        <w:rPr>
          <w:rFonts w:cs="Times New Roman"/>
        </w:rPr>
        <w:t>41.26</w:t>
      </w:r>
      <w:r>
        <w:rPr>
          <w:rFonts w:hint="eastAsia" w:cs="Times New Roman"/>
        </w:rPr>
        <w:t>亿m³，通南片引水</w:t>
      </w:r>
      <w:r>
        <w:rPr>
          <w:rFonts w:cs="Times New Roman"/>
        </w:rPr>
        <w:t>21.66</w:t>
      </w:r>
      <w:r>
        <w:rPr>
          <w:rFonts w:hint="eastAsia" w:cs="Times New Roman"/>
        </w:rPr>
        <w:t>亿m³。</w:t>
      </w:r>
    </w:p>
    <w:p w14:paraId="6B92D9DF">
      <w:pPr>
        <w:pStyle w:val="4"/>
        <w:numPr>
          <w:ilvl w:val="0"/>
          <w:numId w:val="0"/>
        </w:numPr>
        <w:ind w:left="709"/>
      </w:pPr>
      <w:r>
        <w:t>（</w:t>
      </w:r>
      <w:r>
        <w:rPr>
          <w:rFonts w:hint="eastAsia"/>
        </w:rPr>
        <w:t>5</w:t>
      </w:r>
      <w:r>
        <w:t>）</w:t>
      </w:r>
      <w:r>
        <w:rPr>
          <w:rFonts w:hint="eastAsia"/>
        </w:rPr>
        <w:t>苏中历史名城，文化底蕴深厚</w:t>
      </w:r>
    </w:p>
    <w:p w14:paraId="551EB5C4">
      <w:pPr>
        <w:ind w:firstLine="480"/>
      </w:pPr>
      <w:r>
        <w:rPr>
          <w:rFonts w:hint="eastAsia"/>
          <w:shd w:val="clear" w:color="auto" w:fill="FFFFFF"/>
        </w:rPr>
        <w:t>泰州古称海阳、海陵，南唐建州，取“国泰民安”之意，泰州之名从此而始。</w:t>
      </w:r>
      <w:r>
        <w:rPr>
          <w:rFonts w:hint="eastAsia"/>
        </w:rPr>
        <w:t>泰州市是江苏省首批公布的省级历史文化名城，</w:t>
      </w:r>
      <w:r>
        <w:t>2013年被国务院公布为全国历史文化名城，文物古迹众多。有长江以北地区首次发现的大型良渚文化聚落蒋庄遗址、新石器时代晚期至商周的古文化遗址</w:t>
      </w:r>
      <w:r>
        <w:rPr>
          <w:rFonts w:hint="eastAsia"/>
        </w:rPr>
        <w:t>，</w:t>
      </w:r>
      <w:r>
        <w:t>西汉初年开凿的古运盐河遗址等</w:t>
      </w:r>
      <w:r>
        <w:rPr>
          <w:rFonts w:hint="eastAsia"/>
        </w:rPr>
        <w:t>。</w:t>
      </w:r>
    </w:p>
    <w:p w14:paraId="5000DB9F">
      <w:pPr>
        <w:ind w:firstLine="480"/>
        <w:rPr>
          <w:rFonts w:cs="Times New Roman"/>
        </w:rPr>
      </w:pPr>
      <w:r>
        <w:t>近年来，</w:t>
      </w:r>
      <w:r>
        <w:rPr>
          <w:rFonts w:hint="eastAsia"/>
        </w:rPr>
        <w:t>泰州积极弘扬红色文化，保护文化遗址遗产，重塑江海文化内核，充分展现长江文化、古盐运河文化的时代价值，着力构建</w:t>
      </w:r>
      <w:r>
        <w:rPr>
          <w:rFonts w:ascii="宋体" w:hAnsi="宋体"/>
        </w:rPr>
        <w:t>“</w:t>
      </w:r>
      <w:r>
        <w:rPr>
          <w:rFonts w:hint="eastAsia" w:ascii="宋体" w:hAnsi="宋体"/>
        </w:rPr>
        <w:t>水城一体、城水相依</w:t>
      </w:r>
      <w:r>
        <w:rPr>
          <w:rFonts w:ascii="宋体" w:hAnsi="宋体"/>
        </w:rPr>
        <w:t>”</w:t>
      </w:r>
      <w:r>
        <w:rPr>
          <w:rFonts w:hint="eastAsia"/>
        </w:rPr>
        <w:t>的城址环境格局。重点保护长江沿线现有文物古迹、非物质文化遗产，推进长江国家文化公园泰州段建设。保护泰州古盐运河全线的水利工程设施、历史文化聚落及其遗产等，分功能、分级保护盐运历史河道，构建以古盐运河为主线，稻河、卤汀河等盐运相关历史河道为支撑的保护体系。</w:t>
      </w:r>
    </w:p>
    <w:p w14:paraId="733EFFBB">
      <w:pPr>
        <w:pStyle w:val="3"/>
        <w:spacing w:before="163"/>
      </w:pPr>
      <w:bookmarkStart w:id="3" w:name="_Toc181109835"/>
      <w:r>
        <w:rPr>
          <w:rFonts w:hint="eastAsia"/>
        </w:rPr>
        <w:t>建设基础</w:t>
      </w:r>
      <w:bookmarkEnd w:id="3"/>
    </w:p>
    <w:p w14:paraId="3A16B0BF">
      <w:pPr>
        <w:ind w:firstLine="480"/>
      </w:pPr>
      <w:r>
        <w:rPr>
          <w:rFonts w:hint="eastAsia" w:cs="Times New Roman"/>
        </w:rPr>
        <w:t>泰州市水系发达，建国至今，泰州经历了四次治水高潮，五十年代末</w:t>
      </w:r>
      <w:r>
        <w:rPr>
          <w:rFonts w:hint="eastAsia"/>
        </w:rPr>
        <w:t>以治理水系为主、六七十年代以发展机电灌排为主、七八十年代以建设旱涝保收高产稳产农田为主，二十世纪以建设和完善防洪减灾体系、水资源供给配置体系和水环境保护体系为综合目标，疏浚原有河沟水系、加固了长江堤防、推进了湖泊湖荡治理，全市防洪排涝能力、供水安全保障水平、水生态环境质量等得到全面提升和改善，水利行业能力水平明显提高，为新阶段建设现代水网打下了坚实基础。</w:t>
      </w:r>
    </w:p>
    <w:p w14:paraId="0918BE39">
      <w:pPr>
        <w:pStyle w:val="4"/>
        <w:numPr>
          <w:ilvl w:val="0"/>
          <w:numId w:val="0"/>
        </w:numPr>
        <w:ind w:left="709"/>
      </w:pPr>
      <w:r>
        <w:rPr>
          <w:rFonts w:hint="eastAsia"/>
        </w:rPr>
        <w:t>（1）固本强基，防灾减灾体系逐步完善</w:t>
      </w:r>
    </w:p>
    <w:p w14:paraId="38D2D91B">
      <w:pPr>
        <w:ind w:firstLine="480"/>
      </w:pPr>
      <w:bookmarkStart w:id="4" w:name="_Hlk32150827"/>
      <w:bookmarkStart w:id="5" w:name="_Hlk32584680"/>
      <w:bookmarkStart w:id="6" w:name="_Hlk32584616"/>
      <w:r>
        <w:rPr>
          <w:rFonts w:hint="eastAsia"/>
        </w:rPr>
        <w:t>经过多年持续水利建设，全市已基本形成较为完善的防洪除涝工程体系。</w:t>
      </w:r>
    </w:p>
    <w:bookmarkEnd w:id="4"/>
    <w:bookmarkEnd w:id="5"/>
    <w:bookmarkEnd w:id="6"/>
    <w:p w14:paraId="03C56D19">
      <w:pPr>
        <w:ind w:firstLine="480"/>
      </w:pPr>
      <w:r>
        <w:rPr>
          <w:rStyle w:val="35"/>
          <w:rFonts w:hint="eastAsia"/>
        </w:rPr>
        <w:t>流域防洪方面，</w:t>
      </w:r>
      <w:r>
        <w:rPr>
          <w:rFonts w:hint="eastAsia"/>
        </w:rPr>
        <w:t>实施了长江堤防达标建设、长江永长圩和杨湾易坍险段河势治理，现状长江堤防防洪能力达到抵御“长流规”1954年型洪水能力。</w:t>
      </w:r>
    </w:p>
    <w:p w14:paraId="6547A5A4">
      <w:pPr>
        <w:ind w:firstLine="480"/>
      </w:pPr>
      <w:r>
        <w:rPr>
          <w:rStyle w:val="35"/>
          <w:rFonts w:hint="eastAsia"/>
        </w:rPr>
        <w:t>区域防洪方面，</w:t>
      </w:r>
      <w:r>
        <w:rPr>
          <w:rFonts w:hint="eastAsia"/>
        </w:rPr>
        <w:t>里下河片近年来先后实施了328国道沿线病险涵闸除险加固、川东港整治（含车路河）、陈堡草荡退圩还湖等工程，现状老328国道控制线防洪标准达100年一遇，区域骨干河湖防洪标准基本达到20年一遇，除涝标准5～10年一遇；通南</w:t>
      </w:r>
      <w:r>
        <w:t>片</w:t>
      </w:r>
      <w:r>
        <w:rPr>
          <w:rFonts w:hint="eastAsia"/>
        </w:rPr>
        <w:t>近年来先后古马干河、宣堡港、姜溱河等中小河流整治，洋思港闸站、马甸枢纽建设等工程，江平公路－靖泰界河南堤控制线防洪标准基本达到50年一遇，区域排涝标准达到10～20年一遇。</w:t>
      </w:r>
    </w:p>
    <w:p w14:paraId="43164909">
      <w:pPr>
        <w:ind w:firstLine="480"/>
        <w:rPr>
          <w:rFonts w:cs="Times New Roman"/>
        </w:rPr>
      </w:pPr>
      <w:r>
        <w:rPr>
          <w:rStyle w:val="35"/>
          <w:rFonts w:hint="eastAsia"/>
        </w:rPr>
        <w:t>城市防洪方面</w:t>
      </w:r>
      <w:r>
        <w:rPr>
          <w:rFonts w:hint="eastAsia"/>
        </w:rPr>
        <w:t>完成了老通扬运河、周山河、凤凰河南延、前进河等河道整治工程，完成了宣堡港和许庄河控制工程、太平闸站、高港排涝站等主要控制建筑物工程，泰州市中心城区防洪标准达到50年一遇，泰兴、靖江、兴化中心城区防洪标准达到2</w:t>
      </w:r>
      <w:r>
        <w:t>0</w:t>
      </w:r>
      <w:r>
        <w:rPr>
          <w:rFonts w:hint="eastAsia"/>
        </w:rPr>
        <w:t>～50年一遇，排涝标准10～20年一遇。</w:t>
      </w:r>
    </w:p>
    <w:p w14:paraId="69C56F87">
      <w:pPr>
        <w:pStyle w:val="4"/>
        <w:numPr>
          <w:ilvl w:val="0"/>
          <w:numId w:val="0"/>
        </w:numPr>
        <w:ind w:left="709"/>
      </w:pPr>
      <w:r>
        <w:rPr>
          <w:rFonts w:hint="eastAsia"/>
        </w:rPr>
        <w:t>（2）节水优先，资源利用效率显著提升</w:t>
      </w:r>
    </w:p>
    <w:p w14:paraId="0AE969AB">
      <w:pPr>
        <w:ind w:firstLine="480"/>
      </w:pPr>
      <w:r>
        <w:rPr>
          <w:rFonts w:hint="eastAsia"/>
        </w:rPr>
        <w:t>全域引江体系逐步健全，里下河片按照苏北引江工程总体布局，先后实施了泰州引江河工程，卤汀河、泰东河整治等工程，通南高沙土片及沿江圩区先后实施了古马干河、天星港、南干河、宣堡港等河道整治，水资源保障能力稳步提升。城乡供水一体化格局基本形成，全域供水实现城乡全覆盖，全面迈入“长江水”时代；饮用水源地达标建设全面完成，备用水源地建设稳步推进；城市管网改造有序推进，区域供水入户率达到100%，城乡供水保证率达到97%，重点工业用水保证率达到95%以上。持续推进农田水利重点县、大中型灌区节水改造和续建配套、农村生态河道整治等项目，全市农田灌溉保证率达到</w:t>
      </w:r>
      <w:r>
        <w:t>85%</w:t>
      </w:r>
      <w:r>
        <w:rPr>
          <w:rFonts w:hint="eastAsia"/>
        </w:rPr>
        <w:t>左右，灌溉水有效利用系数达到0.636，农田水利工程取得新成效。</w:t>
      </w:r>
      <w:r>
        <w:rPr>
          <w:rFonts w:hint="eastAsia" w:cs="Times New Roman"/>
        </w:rPr>
        <w:t>水资源双控目标基本实现，全市用水总量、用水效率控制指标全面实现目标要求。节水型社会建设全面推进，国家级节水达标县实现全覆盖，泰州市创成国家节水型城市。</w:t>
      </w:r>
    </w:p>
    <w:p w14:paraId="118D375B">
      <w:pPr>
        <w:pStyle w:val="4"/>
        <w:numPr>
          <w:ilvl w:val="0"/>
          <w:numId w:val="0"/>
        </w:numPr>
        <w:ind w:left="709"/>
      </w:pPr>
      <w:r>
        <w:rPr>
          <w:rFonts w:hint="eastAsia"/>
        </w:rPr>
        <w:t>（3）绿色生态，水环境水生态不断向好</w:t>
      </w:r>
    </w:p>
    <w:p w14:paraId="50DA7391">
      <w:pPr>
        <w:ind w:firstLine="480"/>
      </w:pPr>
      <w:r>
        <w:rPr>
          <w:rFonts w:hint="eastAsia"/>
        </w:rPr>
        <w:t>水生态保护和修复工程有效推进，</w:t>
      </w:r>
      <w:r>
        <w:rPr>
          <w:rFonts w:hint="eastAsia" w:cs="Times New Roman"/>
        </w:rPr>
        <w:t>全面完成长江干流岸线清理整治，持续保持长江非法采砂高压态势，严厉打击长江非法采砂；</w:t>
      </w:r>
      <w:r>
        <w:rPr>
          <w:rFonts w:hint="eastAsia"/>
        </w:rPr>
        <w:t>实施陈堡草荡、得胜湖、平旺湖、蜈蚣湖部分退圩还湖，恢复自由水面</w:t>
      </w:r>
      <w:r>
        <w:t>40.73</w:t>
      </w:r>
      <w:r>
        <w:rPr>
          <w:rFonts w:hint="eastAsia"/>
        </w:rPr>
        <w:t>km²；持续开展城市河道生态修复、水系连通和活水保水调度控制等工程，形成“双水绕城”水生态格局；持续开展</w:t>
      </w:r>
      <w:bookmarkStart w:id="7" w:name="_Hlk32506073"/>
      <w:r>
        <w:rPr>
          <w:rFonts w:hint="eastAsia"/>
        </w:rPr>
        <w:t>水土保持建设，近三年治理水土流失面积</w:t>
      </w:r>
      <w:r>
        <w:t>133.31</w:t>
      </w:r>
      <w:r>
        <w:rPr>
          <w:rFonts w:hint="eastAsia"/>
        </w:rPr>
        <w:t>km²，建成生态清洁型小流域</w:t>
      </w:r>
      <w:r>
        <w:t>13</w:t>
      </w:r>
      <w:r>
        <w:rPr>
          <w:rFonts w:hint="eastAsia"/>
        </w:rPr>
        <w:t>条</w:t>
      </w:r>
      <w:bookmarkEnd w:id="7"/>
      <w:r>
        <w:rPr>
          <w:rFonts w:hint="eastAsia"/>
        </w:rPr>
        <w:t>和6个小流域水土保持综合治理重点工程；积极推进各市（区）水系连通整治和黑臭河道治理</w:t>
      </w:r>
      <w:bookmarkStart w:id="8" w:name="_Hlk32507996"/>
      <w:r>
        <w:rPr>
          <w:rFonts w:hint="eastAsia"/>
        </w:rPr>
        <w:t>，完成泰州市通南片区水生态调度控制工程，城乡水生态环境不断改善，重点水功能区水质达标率明显提升，</w:t>
      </w:r>
      <w:bookmarkEnd w:id="8"/>
      <w:r>
        <w:rPr>
          <w:rFonts w:cs="Times New Roman"/>
        </w:rPr>
        <w:t>2023</w:t>
      </w:r>
      <w:r>
        <w:rPr>
          <w:rFonts w:hint="eastAsia" w:cs="Times New Roman"/>
        </w:rPr>
        <w:t>年，泰州</w:t>
      </w:r>
      <w:r>
        <w:rPr>
          <w:rFonts w:cs="Times New Roman"/>
        </w:rPr>
        <w:t>39</w:t>
      </w:r>
      <w:r>
        <w:rPr>
          <w:rFonts w:hint="eastAsia" w:cs="Times New Roman"/>
        </w:rPr>
        <w:t>个省考以上断面水质优Ⅲ类比例均为</w:t>
      </w:r>
      <w:r>
        <w:rPr>
          <w:rFonts w:cs="Times New Roman"/>
        </w:rPr>
        <w:t>100%</w:t>
      </w:r>
      <w:r>
        <w:rPr>
          <w:rFonts w:hint="eastAsia" w:cs="Times New Roman"/>
        </w:rPr>
        <w:t>，区级以上集中式饮用水源地达标率稳定保持在</w:t>
      </w:r>
      <w:r>
        <w:rPr>
          <w:rFonts w:cs="Times New Roman"/>
        </w:rPr>
        <w:t>100%</w:t>
      </w:r>
      <w:r>
        <w:rPr>
          <w:rFonts w:hint="eastAsia" w:cs="Times New Roman"/>
        </w:rPr>
        <w:t>，水土流失得到有效控制和有效治理，水土保持率达到99.8</w:t>
      </w:r>
      <w:r>
        <w:rPr>
          <w:rFonts w:cs="Times New Roman"/>
        </w:rPr>
        <w:t>5</w:t>
      </w:r>
      <w:r>
        <w:rPr>
          <w:rFonts w:hint="eastAsia" w:cs="Times New Roman"/>
        </w:rPr>
        <w:t>%；建设农村生态河道</w:t>
      </w:r>
      <w:r>
        <w:rPr>
          <w:rFonts w:cs="Times New Roman"/>
        </w:rPr>
        <w:t>881条2643km</w:t>
      </w:r>
      <w:r>
        <w:rPr>
          <w:rFonts w:hint="eastAsia" w:cs="Times New Roman"/>
        </w:rPr>
        <w:t>，农村生态河道覆盖率达</w:t>
      </w:r>
      <w:r>
        <w:rPr>
          <w:rFonts w:cs="Times New Roman"/>
        </w:rPr>
        <w:t>50.4</w:t>
      </w:r>
      <w:r>
        <w:rPr>
          <w:rFonts w:hint="eastAsia" w:cs="Times New Roman"/>
        </w:rPr>
        <w:t>%，骨干河道和省管湖泊湖荡生态水位保障目标满足程度达90%。</w:t>
      </w:r>
    </w:p>
    <w:p w14:paraId="35F0CD9E">
      <w:pPr>
        <w:pStyle w:val="4"/>
        <w:numPr>
          <w:ilvl w:val="0"/>
          <w:numId w:val="0"/>
        </w:numPr>
        <w:ind w:left="709"/>
      </w:pPr>
      <w:r>
        <w:rPr>
          <w:rFonts w:hint="eastAsia"/>
        </w:rPr>
        <w:t>（</w:t>
      </w:r>
      <w:r>
        <w:rPr>
          <w:rFonts w:eastAsiaTheme="minorEastAsia"/>
        </w:rPr>
        <w:t>4</w:t>
      </w:r>
      <w:r>
        <w:rPr>
          <w:rFonts w:hint="eastAsia"/>
        </w:rPr>
        <w:t>）智慧赋能，数字孪生科技稳步推进</w:t>
      </w:r>
    </w:p>
    <w:p w14:paraId="73B5DCFA">
      <w:pPr>
        <w:ind w:firstLine="480"/>
        <w:rPr>
          <w:rFonts w:cs="Times New Roman"/>
        </w:rPr>
      </w:pPr>
      <w:r>
        <w:rPr>
          <w:rFonts w:hint="eastAsia" w:cs="Times New Roman"/>
        </w:rPr>
        <w:t>近年来，泰州积极推进数据底板建设，在全省率先建成了基于水利一张图的全要素展示平台，集成水情、雨情、工情数据总数超过</w:t>
      </w:r>
      <w:r>
        <w:rPr>
          <w:rFonts w:cs="Times New Roman"/>
        </w:rPr>
        <w:t>11</w:t>
      </w:r>
      <w:r>
        <w:rPr>
          <w:rFonts w:hint="eastAsia" w:cs="Times New Roman"/>
        </w:rPr>
        <w:t>亿条，为全面完成数字孪生水网数据底板建设奠定了基础；稳步推进数字孪生场景应用，建成全省首个江堤视频监控和崩岸预警系统，建成通南片封闭工程无人值守自动化运行系统、“智守长江”水行政执法信息化平台、河长制信息管理平台，完成各市（区）防汛系统信息化改造和农村基层防汛预报预警系统。姜堰整合智慧防汛、智慧灌区、智慧河湖等业务，建成智慧水利信息系统。靖江研制开发了“靖江市智慧水利信息管理平台”，打造了靖江水利数字化一张图，可对湖泊、水闸、堤防、防汛、采砂等全方位动态监测和信息集成，进一步提高了水利业务应用智能化和决策科学化水平。</w:t>
      </w:r>
    </w:p>
    <w:p w14:paraId="3BB4CA01">
      <w:pPr>
        <w:pStyle w:val="4"/>
        <w:numPr>
          <w:ilvl w:val="0"/>
          <w:numId w:val="0"/>
        </w:numPr>
        <w:ind w:left="709"/>
      </w:pPr>
      <w:r>
        <w:rPr>
          <w:rFonts w:hint="eastAsia"/>
        </w:rPr>
        <w:t>（</w:t>
      </w:r>
      <w:r>
        <w:rPr>
          <w:rFonts w:eastAsiaTheme="minorEastAsia"/>
        </w:rPr>
        <w:t>5</w:t>
      </w:r>
      <w:r>
        <w:rPr>
          <w:rFonts w:hint="eastAsia"/>
        </w:rPr>
        <w:t>）法治护航，河湖管理掀开崭新篇章</w:t>
      </w:r>
    </w:p>
    <w:p w14:paraId="5F9CBD62">
      <w:pPr>
        <w:ind w:firstLine="480"/>
        <w:rPr>
          <w:rFonts w:ascii="仿宋" w:hAnsi="仿宋" w:eastAsia="仿宋" w:cs="仿宋"/>
          <w:sz w:val="32"/>
        </w:rPr>
      </w:pPr>
      <w:r>
        <w:rPr>
          <w:rFonts w:hint="eastAsia" w:cs="Times New Roman"/>
        </w:rPr>
        <w:t>坚持规划引领，组织编制泰州市城市防洪规划、水系规划、水资源综合规划、水土保持规划、水利基础设施空间布局规划、河道保护规划、幸福河湖建设规划等一批综合规划、专业规划和专项规划，完善了科学治水的规划体系，划定了水利空间范围。与此同时</w:t>
      </w:r>
      <w:r>
        <w:rPr>
          <w:rFonts w:hint="eastAsia" w:ascii="仿宋" w:hAnsi="仿宋" w:eastAsia="仿宋" w:cs="仿宋"/>
          <w:sz w:val="32"/>
        </w:rPr>
        <w:t>，</w:t>
      </w:r>
      <w:r>
        <w:rPr>
          <w:rFonts w:hint="eastAsia" w:cs="Times New Roman"/>
        </w:rPr>
        <w:t>先后制定了地方性法规《泰州市水利局重大行政决策程序规定》《泰州市河长制工作条例》《泰州市水环境保护条例》《泰州市水资源管理办法》《泰州市水土保持管理办法》《泰州市节约用水办法》等规范性文件，水利法规体系进一步完善，依法行政和综合执法能力持续增强，简政放权逐步落实。着力提升水行政审批服务效能，</w:t>
      </w:r>
      <w:r>
        <w:rPr>
          <w:rFonts w:hint="eastAsia"/>
        </w:rPr>
        <w:t>积极推进农业水价综合改革，基本形成“产权明晰、权责落实、经费保障、管用得当、持续发展”的农业灌溉水价体系。</w:t>
      </w:r>
      <w:r>
        <w:rPr>
          <w:rFonts w:hint="eastAsia" w:cs="Times New Roman"/>
        </w:rPr>
        <w:t>全面推行河（湖）长制，落实各级河（湖）长</w:t>
      </w:r>
      <w:r>
        <w:rPr>
          <w:rFonts w:cs="Times New Roman"/>
        </w:rPr>
        <w:t>6000</w:t>
      </w:r>
      <w:r>
        <w:rPr>
          <w:rFonts w:hint="eastAsia" w:cs="Times New Roman"/>
        </w:rPr>
        <w:t>余名，民间河（湖）长</w:t>
      </w:r>
      <w:r>
        <w:rPr>
          <w:rFonts w:cs="Times New Roman"/>
        </w:rPr>
        <w:t>2300</w:t>
      </w:r>
      <w:r>
        <w:rPr>
          <w:rFonts w:hint="eastAsia" w:cs="Times New Roman"/>
        </w:rPr>
        <w:t>余名，推动河（湖）长制工作规范化、制度化、长效化建设，深入开展河湖“两违”专项整治，扎实开展“健康长江泰州行动”，创新开展幸福河湖“积分银行”，积极推进生态样板河湖建设，为泰州市水网建设与管理提供了制度基础。</w:t>
      </w:r>
    </w:p>
    <w:p w14:paraId="57E0B33C">
      <w:pPr>
        <w:pStyle w:val="3"/>
        <w:spacing w:before="163"/>
      </w:pPr>
      <w:bookmarkStart w:id="9" w:name="_Toc181109836"/>
      <w:r>
        <w:rPr>
          <w:rFonts w:hint="eastAsia"/>
        </w:rPr>
        <w:t>存在问题</w:t>
      </w:r>
      <w:bookmarkEnd w:id="9"/>
    </w:p>
    <w:p w14:paraId="7F31876E">
      <w:pPr>
        <w:ind w:firstLine="480"/>
        <w:rPr>
          <w:rFonts w:cs="Times New Roman"/>
        </w:rPr>
      </w:pPr>
      <w:r>
        <w:rPr>
          <w:rFonts w:hint="eastAsia" w:cs="Times New Roman"/>
        </w:rPr>
        <w:t>经过新中国成立</w:t>
      </w:r>
      <w:r>
        <w:rPr>
          <w:rFonts w:cs="Times New Roman"/>
        </w:rPr>
        <w:t>74</w:t>
      </w:r>
      <w:r>
        <w:rPr>
          <w:rFonts w:hint="eastAsia" w:cs="Times New Roman"/>
        </w:rPr>
        <w:t>年、泰州建市</w:t>
      </w:r>
      <w:r>
        <w:rPr>
          <w:rFonts w:cs="Times New Roman"/>
        </w:rPr>
        <w:t>27年</w:t>
      </w:r>
      <w:r>
        <w:rPr>
          <w:rFonts w:hint="eastAsia" w:cs="Times New Roman"/>
        </w:rPr>
        <w:t>来的各类水利工程持续建设，泰州建成了较为完善的基础水网，有力保障了经济社会发展。对照服务于泰州高质量发展和“强富美高”新泰州建设目标，对标构建现代化、高质量的水利基础设施网络体系要求，泰州市现代水网在防洪减灾、水资源配置、水生态保护修复等方面还存在一些发展不平衡不充分的问题。</w:t>
      </w:r>
    </w:p>
    <w:p w14:paraId="397E3744">
      <w:pPr>
        <w:pStyle w:val="4"/>
        <w:numPr>
          <w:ilvl w:val="0"/>
          <w:numId w:val="0"/>
        </w:numPr>
        <w:ind w:left="709"/>
      </w:pPr>
      <w:r>
        <w:rPr>
          <w:rFonts w:hint="eastAsia"/>
        </w:rPr>
        <w:t>（1）防洪减灾体系有待完善与提升</w:t>
      </w:r>
    </w:p>
    <w:p w14:paraId="48EFB0B1">
      <w:pPr>
        <w:ind w:firstLine="480"/>
        <w:rPr>
          <w:rFonts w:cs="Times New Roman"/>
          <w:kern w:val="0"/>
        </w:rPr>
      </w:pPr>
      <w:r>
        <w:rPr>
          <w:rStyle w:val="35"/>
          <w:rFonts w:hint="eastAsia"/>
        </w:rPr>
        <w:t>长江防洪能力有待进一步提升。</w:t>
      </w:r>
      <w:r>
        <w:rPr>
          <w:rFonts w:hint="eastAsia"/>
        </w:rPr>
        <w:t>基于</w:t>
      </w:r>
      <w:r>
        <w:t>《长江流域综合利用规划报告》（1990年修订）（以下简称</w:t>
      </w:r>
      <w:r>
        <w:rPr>
          <w:rFonts w:hint="eastAsia"/>
        </w:rPr>
        <w:t>“</w:t>
      </w:r>
      <w:r>
        <w:t>长流规</w:t>
      </w:r>
      <w:r>
        <w:rPr>
          <w:rFonts w:hint="eastAsia"/>
        </w:rPr>
        <w:t>”</w:t>
      </w:r>
      <w:r>
        <w:t>）</w:t>
      </w:r>
      <w:r>
        <w:rPr>
          <w:rFonts w:hint="eastAsia"/>
        </w:rPr>
        <w:t>等要求</w:t>
      </w:r>
      <w:r>
        <w:t>，泰州实施了</w:t>
      </w:r>
      <w:r>
        <w:rPr>
          <w:rFonts w:hint="eastAsia"/>
        </w:rPr>
        <w:t>长江堤防达标建设</w:t>
      </w:r>
      <w:r>
        <w:t>，</w:t>
      </w:r>
      <w:r>
        <w:rPr>
          <w:rFonts w:hint="eastAsia"/>
        </w:rPr>
        <w:t>长江堤防泰州段具备防御1954年型洪水能力，现状防洪能力基本达到“长流规”无台风标准，约3</w:t>
      </w:r>
      <w:r>
        <w:t>2%</w:t>
      </w:r>
      <w:r>
        <w:rPr>
          <w:rFonts w:hint="eastAsia"/>
        </w:rPr>
        <w:t>堤段基本达到或接近“长流规”有台风标准；干流河势和险工段得到一定程度的控制，中等洪水年份能够保持大部分河段的基本稳定，基本达到规划的河势控制目标。</w:t>
      </w:r>
      <w:r>
        <w:rPr>
          <w:rFonts w:cs="Times New Roman"/>
          <w:bCs/>
          <w:lang w:bidi="en-US"/>
        </w:rPr>
        <w:t>但泰州段长江干流均处于感潮河段，洪水位受上游洪水、下游海潮顶托和台风增水的共同影响</w:t>
      </w:r>
      <w:r>
        <w:rPr>
          <w:rFonts w:hint="eastAsia" w:cs="Times New Roman"/>
          <w:bCs/>
          <w:lang w:bidi="en-US"/>
        </w:rPr>
        <w:t>，</w:t>
      </w:r>
      <w:r>
        <w:rPr>
          <w:rFonts w:cs="Times New Roman"/>
          <w:bCs/>
          <w:lang w:bidi="en-US"/>
        </w:rPr>
        <w:t>现在堤防防洪能力</w:t>
      </w:r>
      <w:r>
        <w:rPr>
          <w:rFonts w:cs="Times New Roman"/>
          <w:kern w:val="0"/>
        </w:rPr>
        <w:t>距离考虑台风影响、适应区域经济社会发展的《长流规》有台风标准，仍有相当的差距。</w:t>
      </w:r>
    </w:p>
    <w:p w14:paraId="31E8B0E9">
      <w:pPr>
        <w:ind w:firstLine="480"/>
        <w:rPr>
          <w:rFonts w:cs="Times New Roman"/>
        </w:rPr>
      </w:pPr>
      <w:r>
        <w:rPr>
          <w:rStyle w:val="35"/>
          <w:rFonts w:hint="eastAsia"/>
        </w:rPr>
        <w:t>区域防洪除涝仍是短板。</w:t>
      </w:r>
      <w:r>
        <w:rPr>
          <w:rFonts w:hint="eastAsia"/>
          <w:iCs/>
        </w:rPr>
        <w:t>近年来，</w:t>
      </w:r>
      <w:r>
        <w:rPr>
          <w:rFonts w:hint="eastAsia"/>
        </w:rPr>
        <w:t>里下河片区</w:t>
      </w:r>
      <w:r>
        <w:t>工情</w:t>
      </w:r>
      <w:r>
        <w:rPr>
          <w:rFonts w:hint="eastAsia"/>
        </w:rPr>
        <w:t>、</w:t>
      </w:r>
      <w:r>
        <w:t>水情发生</w:t>
      </w:r>
      <w:r>
        <w:rPr>
          <w:rFonts w:hint="eastAsia"/>
        </w:rPr>
        <w:t>了</w:t>
      </w:r>
      <w:r>
        <w:t>较大变化，城市化进程加快，区域不透水地面增加，径流系数加大，圩区动力显著增强且排水更加集中，圩口站</w:t>
      </w:r>
      <w:r>
        <w:rPr>
          <w:rFonts w:hint="eastAsia"/>
        </w:rPr>
        <w:t>统一</w:t>
      </w:r>
      <w:r>
        <w:t>调度机制尚未成熟，</w:t>
      </w:r>
      <w:r>
        <w:rPr>
          <w:rFonts w:hint="eastAsia"/>
          <w:iCs/>
        </w:rPr>
        <w:t>中部湖泊湖荡萎缩、调蓄滞蓄能力下降，</w:t>
      </w:r>
      <w:r>
        <w:rPr>
          <w:rFonts w:hint="eastAsia"/>
        </w:rPr>
        <w:t>滞涝圩内人口、产业、基础设施不断集聚，</w:t>
      </w:r>
      <w:r>
        <w:t>滞涝圩</w:t>
      </w:r>
      <w:r>
        <w:rPr>
          <w:rFonts w:hint="eastAsia"/>
        </w:rPr>
        <w:t>启用</w:t>
      </w:r>
      <w:r>
        <w:rPr>
          <w:rFonts w:hint="eastAsia"/>
          <w:iCs/>
        </w:rPr>
        <w:t>难度大，涝水外排路线长、外排能力不足，部分区域骨干排涝河道标准不足、水利工程老化较多等问题，</w:t>
      </w:r>
      <w:r>
        <w:rPr>
          <w:rFonts w:hint="eastAsia" w:cs="Times New Roman"/>
        </w:rPr>
        <w:t>现状排涝标准不足</w:t>
      </w:r>
      <w:r>
        <w:rPr>
          <w:rFonts w:cs="Times New Roman"/>
        </w:rPr>
        <w:t>10年一遇</w:t>
      </w:r>
      <w:r>
        <w:rPr>
          <w:rFonts w:hint="eastAsia"/>
          <w:iCs/>
        </w:rPr>
        <w:t>。</w:t>
      </w:r>
      <w:r>
        <w:rPr>
          <w:rFonts w:hint="eastAsia"/>
        </w:rPr>
        <w:t>通南地区</w:t>
      </w:r>
      <w:r>
        <w:rPr>
          <w:rFonts w:hint="eastAsia" w:cs="Times New Roman"/>
        </w:rPr>
        <w:t>中小河流尚未全面系统治理，河道治理受土地、投资等因素制约，局部未能按规划断面实施到位，</w:t>
      </w:r>
      <w:r>
        <w:rPr>
          <w:rFonts w:hint="eastAsia"/>
        </w:rPr>
        <w:t>部分河道</w:t>
      </w:r>
      <w:r>
        <w:t>、沟渠被无序占用，</w:t>
      </w:r>
      <w:r>
        <w:rPr>
          <w:rFonts w:hint="eastAsia"/>
        </w:rPr>
        <w:t>加之</w:t>
      </w:r>
      <w:r>
        <w:rPr>
          <w:rFonts w:hint="eastAsia" w:cs="Times New Roman"/>
        </w:rPr>
        <w:t>沿江高潮顶托，排涝水面线落差小，区域排涝效率不高，</w:t>
      </w:r>
      <w:r>
        <w:rPr>
          <w:rFonts w:cs="Times New Roman"/>
        </w:rPr>
        <w:t>高沙土片排涝标准</w:t>
      </w:r>
      <w:r>
        <w:rPr>
          <w:rFonts w:hint="eastAsia" w:cs="Times New Roman"/>
        </w:rPr>
        <w:t>不足2</w:t>
      </w:r>
      <w:r>
        <w:rPr>
          <w:rFonts w:cs="Times New Roman"/>
        </w:rPr>
        <w:t>0年一遇</w:t>
      </w:r>
      <w:r>
        <w:rPr>
          <w:rFonts w:hint="eastAsia" w:cs="Times New Roman"/>
        </w:rPr>
        <w:t>。</w:t>
      </w:r>
      <w:r>
        <w:rPr>
          <w:rFonts w:cs="Times New Roman"/>
        </w:rPr>
        <w:t>沿江圩区现状主要通江河道堤防尚未全面达标、内部抽排动力仍有待巩固提升，区域排涝标准不足</w:t>
      </w:r>
      <w:r>
        <w:rPr>
          <w:rFonts w:hint="eastAsia" w:cs="Times New Roman"/>
        </w:rPr>
        <w:t>2</w:t>
      </w:r>
      <w:r>
        <w:rPr>
          <w:rFonts w:cs="Times New Roman"/>
        </w:rPr>
        <w:t>0年一遇。</w:t>
      </w:r>
      <w:r>
        <w:rPr>
          <w:rFonts w:hint="eastAsia" w:cs="Times New Roman"/>
        </w:rPr>
        <w:t>近年来全球气候变化、海平面上升、极端暴雨多发频发，区域洪水风险仍然存在、内涝灾情时有发生，区域现状防洪排涝能力尚不能满足区域社会经济高质量发展需求。</w:t>
      </w:r>
    </w:p>
    <w:p w14:paraId="20F62BF1">
      <w:pPr>
        <w:overflowPunct w:val="0"/>
        <w:ind w:firstLine="480"/>
        <w:rPr>
          <w:rFonts w:cs="Times New Roman"/>
        </w:rPr>
      </w:pPr>
      <w:bookmarkStart w:id="10" w:name="_Hlk60588715"/>
      <w:r>
        <w:rPr>
          <w:rStyle w:val="35"/>
          <w:rFonts w:hint="eastAsia"/>
        </w:rPr>
        <w:t>城市防洪排涝体系与城市规模和发展速度不相适应</w:t>
      </w:r>
      <w:bookmarkEnd w:id="10"/>
      <w:r>
        <w:rPr>
          <w:rStyle w:val="35"/>
          <w:rFonts w:hint="eastAsia"/>
        </w:rPr>
        <w:t>。</w:t>
      </w:r>
      <w:r>
        <w:rPr>
          <w:rFonts w:hint="eastAsia" w:cs="Times New Roman"/>
        </w:rPr>
        <w:t>经过多年的高速发展，泰州城市人口、经济规模和建成区范围均大幅增长，城市开发建设和防洪排涝设施建设存在不同步问题，局部圩堤、河堤仍未达标；局部引排河道不畅、河坡坍塌等影响河道引排功能的充分发挥；城市外排能力有待进一步提升；兴化、靖江等县城城市防洪标准仅</w:t>
      </w:r>
      <w:r>
        <w:rPr>
          <w:rFonts w:cs="Times New Roman"/>
        </w:rPr>
        <w:t>20</w:t>
      </w:r>
      <w:r>
        <w:rPr>
          <w:rFonts w:hint="eastAsia"/>
        </w:rPr>
        <w:t>～</w:t>
      </w:r>
      <w:r>
        <w:rPr>
          <w:rFonts w:cs="Times New Roman"/>
        </w:rPr>
        <w:t>50</w:t>
      </w:r>
      <w:r>
        <w:rPr>
          <w:rFonts w:hint="eastAsia" w:cs="Times New Roman"/>
        </w:rPr>
        <w:t>年一遇左右，城市防洪排涝体系与城市规模及发展速度不相适应。近年来，极端强降水事件频数和强度呈增加趋势，给城市防洪排涝建设带来了巨大挑战，对人民生命财产安全、城市基础设施安全、生态环境和经济发展构成了较大威胁，因而建设韧性城市，进一步提升城市应对极端降雨事件的能力，成为城市防洪排涝建设的关键。</w:t>
      </w:r>
    </w:p>
    <w:p w14:paraId="299F6A55">
      <w:pPr>
        <w:pStyle w:val="4"/>
        <w:numPr>
          <w:ilvl w:val="0"/>
          <w:numId w:val="0"/>
        </w:numPr>
        <w:ind w:left="709"/>
      </w:pPr>
      <w:r>
        <w:rPr>
          <w:rFonts w:hint="eastAsia"/>
        </w:rPr>
        <w:t>（2）水资源配置与管理需持续强化</w:t>
      </w:r>
    </w:p>
    <w:p w14:paraId="70B19964">
      <w:pPr>
        <w:ind w:firstLine="480"/>
        <w:rPr>
          <w:rFonts w:cs="Times New Roman"/>
        </w:rPr>
      </w:pPr>
      <w:r>
        <w:rPr>
          <w:rStyle w:val="35"/>
          <w:rFonts w:hint="eastAsia"/>
        </w:rPr>
        <w:t>水资源调配体系仍有薄弱环节。</w:t>
      </w:r>
      <w:r>
        <w:rPr>
          <w:rFonts w:hint="eastAsia"/>
          <w:iCs/>
        </w:rPr>
        <w:t>里下河地区</w:t>
      </w:r>
      <w:r>
        <w:rPr>
          <w:rFonts w:ascii="宋体" w:hAnsi="宋体"/>
        </w:rPr>
        <w:t>“两河引水、三线输水”</w:t>
      </w:r>
      <w:r>
        <w:t>的总体</w:t>
      </w:r>
      <w:r>
        <w:rPr>
          <w:rFonts w:hint="eastAsia"/>
        </w:rPr>
        <w:t>布局</w:t>
      </w:r>
      <w:r>
        <w:t>基本形成，但受</w:t>
      </w:r>
      <w:r>
        <w:rPr>
          <w:rFonts w:hint="eastAsia"/>
        </w:rPr>
        <w:t>腹部河网不畅、湖荡严重萎缩、输水支线配套尚未到位等因素影响，引江效益未能充分发挥。通南片主要依靠自流引江，由于自流引江受长江潮位制约，现状灌溉保证率仅8</w:t>
      </w:r>
      <w:r>
        <w:t>5</w:t>
      </w:r>
      <w:r>
        <w:rPr>
          <w:rFonts w:hint="eastAsia"/>
        </w:rPr>
        <w:t>%左右，加之内部河网也尚未完全配套，导致水资源供给相对不足，在长江潮位低的干旱年份灌溉高峰期及冬春枯水季节问题更为突出，区域应对长江极端干旱情况下应急供水能力不足。城乡城市管网有待进一步改造提升。</w:t>
      </w:r>
    </w:p>
    <w:p w14:paraId="241FAC17">
      <w:pPr>
        <w:overflowPunct w:val="0"/>
        <w:ind w:firstLine="480"/>
        <w:rPr>
          <w:rFonts w:cs="Times New Roman"/>
        </w:rPr>
      </w:pPr>
      <w:r>
        <w:rPr>
          <w:rStyle w:val="35"/>
          <w:rFonts w:hint="eastAsia"/>
        </w:rPr>
        <w:t>水资源管理模式有待完善。</w:t>
      </w:r>
      <w:r>
        <w:rPr>
          <w:rFonts w:hint="eastAsia" w:cs="Times New Roman"/>
        </w:rPr>
        <w:t>节水投入保障机制不健全，节水潜力有待深入挖掘，节水内生动力、节水长效模式还未完全形成，节水意识仍需加强，非常规水源利用不足。水资源管理对经济社会高质量发展的指导和约束作用需要进一步提升。泰州市农业用水占总用水量的</w:t>
      </w:r>
      <w:r>
        <w:rPr>
          <w:rFonts w:cs="Times New Roman"/>
        </w:rPr>
        <w:t>40</w:t>
      </w:r>
      <w:r>
        <w:rPr>
          <w:rFonts w:hint="eastAsia" w:cs="Times New Roman"/>
        </w:rPr>
        <w:t>%以上，近年来全省大力发展农业节水灌溉，但高效节水灌溉面积率仍有提升空间，202</w:t>
      </w:r>
      <w:r>
        <w:rPr>
          <w:rFonts w:cs="Times New Roman"/>
        </w:rPr>
        <w:t>3</w:t>
      </w:r>
      <w:r>
        <w:rPr>
          <w:rFonts w:hint="eastAsia" w:cs="Times New Roman"/>
        </w:rPr>
        <w:t>年全市农田灌溉水有效利用系数</w:t>
      </w:r>
      <w:r>
        <w:t>0.636</w:t>
      </w:r>
      <w:r>
        <w:rPr>
          <w:rFonts w:hint="eastAsia" w:cs="Times New Roman"/>
        </w:rPr>
        <w:t>，相对2</w:t>
      </w:r>
      <w:r>
        <w:rPr>
          <w:rFonts w:cs="Times New Roman"/>
        </w:rPr>
        <w:t>035年0.65的目标</w:t>
      </w:r>
      <w:r>
        <w:rPr>
          <w:rFonts w:hint="eastAsia" w:cs="Times New Roman"/>
        </w:rPr>
        <w:t>还有一定差距。随着泰州市城市的不断发展，工业、城镇用水量不断增加，工业节水减排、城镇节水降损能力有待进一步提升。</w:t>
      </w:r>
    </w:p>
    <w:p w14:paraId="1B6E1A55">
      <w:pPr>
        <w:pStyle w:val="4"/>
        <w:numPr>
          <w:ilvl w:val="0"/>
          <w:numId w:val="0"/>
        </w:numPr>
        <w:ind w:left="709"/>
      </w:pPr>
      <w:bookmarkStart w:id="11" w:name="_Toc142902818"/>
      <w:r>
        <w:rPr>
          <w:rFonts w:hint="eastAsia"/>
        </w:rPr>
        <w:t>（3）河湖生态治理与保护有待加强</w:t>
      </w:r>
      <w:bookmarkEnd w:id="11"/>
    </w:p>
    <w:p w14:paraId="0CAEB406">
      <w:pPr>
        <w:ind w:firstLine="480"/>
      </w:pPr>
      <w:r>
        <w:rPr>
          <w:rFonts w:hint="eastAsia"/>
        </w:rPr>
        <w:t>经过多年持续水利投入，泰州市的水网骨干框架体系基本形成，较好地发挥了水网支撑保障作用，但水网连通性还不完善，河坡坍塌仍未全面消除。受用地、资金等因素影响，里下河湖泊湖荡退圩还湖进展缓慢，河流、湖泊湖荡堤岸水景观建设仍然较为单薄，水文化、水景观建设体系不完整。水土保持监督管理体系和能力建设仍有待加强，河湖水域空间保护、生态水位保障、水质维护改善等面临挑战，水网水动力条件不足，河湖生态系统极易受干扰，生态退化问题突出。</w:t>
      </w:r>
    </w:p>
    <w:p w14:paraId="2A9BFAEA">
      <w:pPr>
        <w:pStyle w:val="4"/>
        <w:numPr>
          <w:ilvl w:val="0"/>
          <w:numId w:val="0"/>
        </w:numPr>
        <w:ind w:left="709"/>
      </w:pPr>
      <w:bookmarkStart w:id="12" w:name="_Toc142902819"/>
      <w:r>
        <w:rPr>
          <w:rFonts w:hint="eastAsia"/>
        </w:rPr>
        <w:t>（</w:t>
      </w:r>
      <w:r>
        <w:t>4</w:t>
      </w:r>
      <w:r>
        <w:rPr>
          <w:rFonts w:hint="eastAsia"/>
        </w:rPr>
        <w:t>）水利工程信息化水平有待提高</w:t>
      </w:r>
      <w:bookmarkEnd w:id="12"/>
    </w:p>
    <w:p w14:paraId="7923F6B3">
      <w:pPr>
        <w:ind w:firstLine="480"/>
        <w:rPr>
          <w:rFonts w:cs="Times New Roman"/>
        </w:rPr>
      </w:pPr>
      <w:r>
        <w:rPr>
          <w:rFonts w:hint="eastAsia" w:cs="Times New Roman"/>
        </w:rPr>
        <w:t>泰州数字孪生水网建设仍处于初级阶段，智慧水利监测感知能力不够系统全面，感知效率、精度、可靠性有待提升；</w:t>
      </w:r>
      <w:r>
        <w:rPr>
          <w:rFonts w:cs="Times New Roman"/>
        </w:rPr>
        <w:t>5G</w:t>
      </w:r>
      <w:r>
        <w:rPr>
          <w:rFonts w:hint="eastAsia" w:cs="Times New Roman"/>
        </w:rPr>
        <w:t>、物联网、卫星通讯、卫星遥感、无人机、无人船、视频测流、高清视频、雨量雷达和大数据、云计算、人工智能等新技术新手段应用程度仍然偏低；数字孪生水利智慧应用还不够广泛；水利管理服务智慧能力尚待提升，防范化解洪涝、干旱和水污染等重大风险智慧应用需要加强，数字孪生水平、智慧水利程度尚不适应新时代管理需求，水治理体系与治理能力数字化、智能化任重道远。</w:t>
      </w:r>
    </w:p>
    <w:p w14:paraId="6B6373E6">
      <w:pPr>
        <w:pStyle w:val="4"/>
        <w:numPr>
          <w:ilvl w:val="0"/>
          <w:numId w:val="0"/>
        </w:numPr>
        <w:ind w:left="709"/>
      </w:pPr>
      <w:r>
        <w:rPr>
          <w:rFonts w:hint="eastAsia"/>
        </w:rPr>
        <w:t>（</w:t>
      </w:r>
      <w:r>
        <w:rPr>
          <w:rFonts w:eastAsiaTheme="minorEastAsia"/>
        </w:rPr>
        <w:t>5</w:t>
      </w:r>
      <w:r>
        <w:rPr>
          <w:rFonts w:hint="eastAsia"/>
        </w:rPr>
        <w:t>）水利现代管理能力有待加强</w:t>
      </w:r>
    </w:p>
    <w:p w14:paraId="67561F48">
      <w:pPr>
        <w:ind w:firstLine="480"/>
        <w:rPr>
          <w:rFonts w:cs="Times New Roman"/>
        </w:rPr>
      </w:pPr>
      <w:r>
        <w:rPr>
          <w:rFonts w:hint="eastAsia" w:cs="Times New Roman"/>
        </w:rPr>
        <w:t>经过多年改革发展，泰州市水利发展的体制机制不断健全完善，但水利一体化管理体制尚未完全理顺，协调高效的工作机制还没有完全建立，河湖管理相关制度有待细化，与各部门的协调协商机制有待完善，尤其要与自然资源、生态环境、市政建设等部门建立完善的协商共建机制，基层水利行业能力建设和队伍建设有待提高。</w:t>
      </w:r>
    </w:p>
    <w:p w14:paraId="6A8200B2">
      <w:pPr>
        <w:pStyle w:val="3"/>
        <w:spacing w:before="163"/>
      </w:pPr>
      <w:bookmarkStart w:id="13" w:name="_Toc181109837"/>
      <w:r>
        <w:rPr>
          <w:rFonts w:hint="eastAsia"/>
        </w:rPr>
        <w:t>形势需求</w:t>
      </w:r>
      <w:bookmarkEnd w:id="13"/>
    </w:p>
    <w:p w14:paraId="6240C9A9">
      <w:pPr>
        <w:pStyle w:val="4"/>
        <w:numPr>
          <w:ilvl w:val="0"/>
          <w:numId w:val="0"/>
        </w:numPr>
        <w:ind w:left="709"/>
      </w:pPr>
      <w:r>
        <w:rPr>
          <w:rFonts w:hint="eastAsia"/>
        </w:rPr>
        <w:t>（1）是深入贯彻党中央决策部署，积极融入国家和省级水网建设的迫切需求</w:t>
      </w:r>
    </w:p>
    <w:p w14:paraId="78224F2E">
      <w:pPr>
        <w:ind w:firstLine="480"/>
      </w:pPr>
      <w:r>
        <w:rPr>
          <w:rFonts w:hint="eastAsia"/>
        </w:rPr>
        <w:t>实施国家水网重大工程，是全面贯彻落实党的二十大精神的战略部署，是践行总体国家安全观，立足保障国家防洪、供水、粮食、能源及生态安全，系统性解决水资源、水生态、水环境、水灾害问题，强化国家水安全防线的重要举措。2022年以来，水利部、省水利厅先后发布《关于实施国家水网重大工程的指导意见》《关于加快推进省级水网建设的指导意见》《江苏省水利厅关于加快推进市、县级水网规划编制工作的通知》，将现代水网建设视为推动水利高质量发展的核心路径之一。泰州，作为江苏省中部的重要地级市，南临长江、北接淮水，其独特的地理位置赋予了泰州水网在全省水网中举足轻重的作用。基于省级水网建设的蓝图，开展市级水网建设，谋划市级水网的“纲目结”总体布局，进一步完善市域水利基础设施网络，是积极融入国家和省级水网建设的迫切需求。</w:t>
      </w:r>
    </w:p>
    <w:p w14:paraId="596C1BE1">
      <w:pPr>
        <w:pStyle w:val="4"/>
        <w:numPr>
          <w:ilvl w:val="0"/>
          <w:numId w:val="0"/>
        </w:numPr>
        <w:ind w:left="709"/>
      </w:pPr>
      <w:r>
        <w:rPr>
          <w:rFonts w:hint="eastAsia"/>
        </w:rPr>
        <w:t>（2）是统筹应对新老水问题，推动水利事业高质量发展的必然要求</w:t>
      </w:r>
    </w:p>
    <w:p w14:paraId="3ABE352D">
      <w:pPr>
        <w:ind w:firstLine="480"/>
        <w:rPr>
          <w:rFonts w:cs="Times New Roman"/>
        </w:rPr>
      </w:pPr>
      <w:r>
        <w:rPr>
          <w:rFonts w:hint="eastAsia" w:cs="Times New Roman"/>
        </w:rPr>
        <w:t>泰州地处“一带一路”与长三角的核心交汇区域，同时也是扬子江城市群与江淮生态经济区的关键节点，地理位置、气候条件独特。进入新发展阶段，泰州市水利面向现代化，在防洪除涝、水资源配置、水生态修复等方面存在短板，防洪除涝方面，长江堤防防洪能力仍需进一步完善与提升，需要持续开展中小河流治理，畅通内部河网；水资源配置方面，需要进一步强化水资源刚性约束，巩固和扩大引江能力，提高区域应急供水能力；水生态修复方面，水的生态功能、文化功能和水价值的全面挖掘还不充分，需要持续开展湖泊湖荡生态治理，恢复湖泊湖荡调蓄能力。泰州市现代水网建设需进一步统筹洪涝灾害防御、水资源调配、水生态保护和水运交通等多功能需求，巩固水网防洪、排涝、灌溉、供水、航运功能，提升生态、文化功能，推动水利事业高质量发展。</w:t>
      </w:r>
    </w:p>
    <w:p w14:paraId="75007179">
      <w:pPr>
        <w:pStyle w:val="4"/>
        <w:numPr>
          <w:ilvl w:val="0"/>
          <w:numId w:val="0"/>
        </w:numPr>
        <w:ind w:left="709"/>
      </w:pPr>
      <w:r>
        <w:rPr>
          <w:rFonts w:hint="eastAsia"/>
        </w:rPr>
        <w:t>（3）是抓住历史重大发展机遇，支撑区域经济社会发展的重要举措</w:t>
      </w:r>
    </w:p>
    <w:p w14:paraId="78C448FE">
      <w:pPr>
        <w:ind w:firstLine="480"/>
      </w:pPr>
      <w:r>
        <w:rPr>
          <w:rFonts w:hint="eastAsia"/>
        </w:rPr>
        <w:t>习近平总书记对江苏发展寄予厚望，强调要推动高质量发展与可持续发展。随着“一带一路”建设、长江经济带发展、长三角区域一体化发展等重大战略的交汇叠加和深入实施，需要更坚实的水安全支撑和保障，迫切需要以水网为切入点，加强顶层谋划，进一步提高区域防洪排涝标准，提升水资源保障能力，强化节水保供，助力乡村振兴，为“强富美高”新泰州及“五个泰州”建设奠定基础，积极融入长三角一体化发展大局，构建安全、资源、生态、农村、智慧、法治并重的现代水网体系，强化水利基础设施与综合监管制度，提升水利综合保障能力与公共服务水平，为区域经济社会高质量发展提供坚实支撑。</w:t>
      </w:r>
    </w:p>
    <w:p w14:paraId="5E78515A">
      <w:pPr>
        <w:ind w:left="480" w:firstLine="0" w:firstLineChars="0"/>
      </w:pPr>
    </w:p>
    <w:p w14:paraId="162541CC">
      <w:pPr>
        <w:pStyle w:val="2"/>
      </w:pPr>
      <w:bookmarkStart w:id="14" w:name="_Toc181109838"/>
      <w:r>
        <w:rPr>
          <w:rFonts w:hint="eastAsia"/>
        </w:rPr>
        <w:t>总体要求</w:t>
      </w:r>
      <w:bookmarkEnd w:id="14"/>
    </w:p>
    <w:p w14:paraId="017A3150">
      <w:pPr>
        <w:pStyle w:val="3"/>
        <w:spacing w:before="163"/>
      </w:pPr>
      <w:bookmarkStart w:id="15" w:name="_Toc181109839"/>
      <w:r>
        <w:rPr>
          <w:rFonts w:hint="eastAsia"/>
        </w:rPr>
        <w:t>指导思想</w:t>
      </w:r>
      <w:bookmarkEnd w:id="15"/>
    </w:p>
    <w:p w14:paraId="4560950B">
      <w:pPr>
        <w:ind w:firstLine="480"/>
        <w:rPr>
          <w:rFonts w:cs="Times New Roman"/>
        </w:rPr>
      </w:pPr>
      <w:r>
        <w:rPr>
          <w:rFonts w:hint="eastAsia" w:cs="Times New Roman"/>
        </w:rPr>
        <w:t>以习近平新时代中国特色社会主义思想为指导，立足新发展阶段，完整、准确、全面贯彻新发展理念，构建新发展格局，推动高质量发展，全面贯彻落实“节水优先，空间均衡，系统治理，两手发力”治水思路，围绕“强富美高”新泰州建设要求，以国家、省级骨干网为依托，以区域自然河湖水系为基础、引调排水工程为通道、调蓄控制</w:t>
      </w:r>
      <w:r>
        <w:rPr>
          <w:rFonts w:hint="eastAsia"/>
        </w:rPr>
        <w:t>工程为节点、智能化调控为手段、体制机制法治管理为支撑，统筹谋划市级水网“纲、目、结”，加快推进市级水网建设，完善防洪减灾体系，优化水资源配置格局，加强河湖生态保护，健全智慧水网工程、打造高效管理体系，全面建成“系统完备、安全可靠，集约高效、绿色智能，循环通畅、调控有序”的泰州市现代水网体系，为泰州市经济社会高质量发展提供更加坚实的水安全保障。</w:t>
      </w:r>
    </w:p>
    <w:p w14:paraId="56EC8B07">
      <w:pPr>
        <w:pStyle w:val="3"/>
        <w:spacing w:before="163"/>
      </w:pPr>
      <w:bookmarkStart w:id="16" w:name="_Toc181109840"/>
      <w:r>
        <w:rPr>
          <w:rFonts w:hint="eastAsia"/>
        </w:rPr>
        <w:t>基本原则</w:t>
      </w:r>
      <w:bookmarkEnd w:id="16"/>
    </w:p>
    <w:p w14:paraId="4BD126F7">
      <w:pPr>
        <w:ind w:firstLine="480"/>
        <w:rPr>
          <w:rFonts w:cs="Times New Roman"/>
          <w:iCs/>
        </w:rPr>
      </w:pPr>
      <w:r>
        <w:rPr>
          <w:rStyle w:val="35"/>
          <w:rFonts w:hint="eastAsia"/>
        </w:rPr>
        <w:t>坚持系统谋划，服务全局。</w:t>
      </w:r>
      <w:r>
        <w:rPr>
          <w:rFonts w:hint="eastAsia" w:cs="Times New Roman"/>
          <w:iCs/>
        </w:rPr>
        <w:t>坚持全国、全省、全域水网一体化布局，兴利除害结合，系统解决水资源、水生态、水环境、水灾害问题，着力保障防洪安全、供水安全、粮食安全、生态安全，</w:t>
      </w:r>
      <w:r>
        <w:rPr>
          <w:rFonts w:hint="eastAsia" w:cs="Times New Roman"/>
        </w:rPr>
        <w:t>实现一网多效</w:t>
      </w:r>
      <w:r>
        <w:rPr>
          <w:rFonts w:hint="eastAsia" w:cs="Times New Roman"/>
          <w:iCs/>
        </w:rPr>
        <w:t>。</w:t>
      </w:r>
      <w:r>
        <w:rPr>
          <w:rFonts w:hint="eastAsia" w:cs="Times New Roman"/>
        </w:rPr>
        <w:t>立足长远，适度超前，</w:t>
      </w:r>
      <w:r>
        <w:rPr>
          <w:rFonts w:hint="eastAsia" w:cs="Times New Roman"/>
          <w:iCs/>
        </w:rPr>
        <w:t>支撑国土空间开发保护、生产力布局和国家及省市重大战略实施，把联网、补网、强链作为泰州水网建设的重点，统筹推进省市县各级水网融合畅通，加强水利、航道、生态、文化等各水网相互融合，着力提升各级水网整体效能和全生命周期综合效益，满足人民对美好生活的向往，不断增强人民获得感、幸福感、安全感。</w:t>
      </w:r>
    </w:p>
    <w:p w14:paraId="2C6FA0C9">
      <w:pPr>
        <w:ind w:firstLine="480"/>
      </w:pPr>
      <w:r>
        <w:rPr>
          <w:rStyle w:val="35"/>
          <w:rFonts w:hint="eastAsia" w:ascii="Times New Roman" w:cs="Times New Roman"/>
        </w:rPr>
        <w:t>坚持节水优先、空间均衡。</w:t>
      </w:r>
      <w:r>
        <w:rPr>
          <w:rFonts w:hint="eastAsia"/>
        </w:rPr>
        <w:t>把节水作为实施泰州水网规划的基本前提，坚持以水定城、以水定地、以水定人、以水定产，按照“确有需要、生态安全、可以持续”的要求，推进水资源总量管理、全面节约、均衡配置、循环利用，大力推动农业、工业、城镇重点领域节水，充分发挥水资源刚性约束作用，在高效用好本地水的前提下进一步完善江水东引体系，提高重要区域水资源承载能力，促进经济社会全面向节约集约发展，促进人口经济与资源环境相均衡。</w:t>
      </w:r>
    </w:p>
    <w:p w14:paraId="1781FDF3">
      <w:pPr>
        <w:ind w:firstLine="480"/>
        <w:rPr>
          <w:rFonts w:cs="Times New Roman"/>
          <w:iCs/>
        </w:rPr>
      </w:pPr>
      <w:r>
        <w:rPr>
          <w:rStyle w:val="35"/>
          <w:rFonts w:hint="eastAsia" w:ascii="Times New Roman" w:cs="Times New Roman"/>
        </w:rPr>
        <w:t>坚持风险防控、确保安全。</w:t>
      </w:r>
      <w:r>
        <w:rPr>
          <w:rFonts w:hint="eastAsia" w:cs="Times New Roman"/>
        </w:rPr>
        <w:t>坚持底线思维，增强忧患意识，牢牢把握市级骨干水网风险防控主动性和有效性，科学提升洪涝防御标准，统筹安排洪涝水出路，蓄泄兼筹，系统治理，充分发挥流域区域防洪体系综合效益；加强区域引水能力建设，恢复巩固湖荡调蓄能力，有效防范化解水旱灾害风险，筑牢安全底线。</w:t>
      </w:r>
    </w:p>
    <w:p w14:paraId="5183A013">
      <w:pPr>
        <w:ind w:firstLine="480"/>
        <w:rPr>
          <w:rFonts w:cs="Times New Roman"/>
        </w:rPr>
      </w:pPr>
      <w:r>
        <w:rPr>
          <w:rStyle w:val="35"/>
          <w:rFonts w:hint="eastAsia" w:ascii="Times New Roman" w:cs="Times New Roman"/>
        </w:rPr>
        <w:t>坚持绿色生态、人水和谐。</w:t>
      </w:r>
      <w:r>
        <w:rPr>
          <w:rFonts w:hint="eastAsia" w:cs="Times New Roman"/>
        </w:rPr>
        <w:t>牢固树立生态文明理念，深入践行“绿水青山就是金山银山”，坚持山水林田湖草沙系统治理，坚持走生态优先、绿色发展道路，把生态优先、保护优先的原则贯穿水网建设和运行管理全过程，努力打造生态低碳水利工程，持续改善河湖生态环境，维护生态系统完整性和稳定性，实现人水和谐共生，促进可持续发展。</w:t>
      </w:r>
    </w:p>
    <w:p w14:paraId="17781940">
      <w:pPr>
        <w:ind w:firstLine="480"/>
        <w:rPr>
          <w:rFonts w:cs="Times New Roman"/>
        </w:rPr>
      </w:pPr>
      <w:r>
        <w:rPr>
          <w:rStyle w:val="35"/>
          <w:rFonts w:hint="eastAsia" w:ascii="Times New Roman" w:cs="Times New Roman"/>
        </w:rPr>
        <w:t>坚持数字赋能、创新驱动。</w:t>
      </w:r>
      <w:r>
        <w:rPr>
          <w:rFonts w:hint="eastAsia" w:cs="Times New Roman"/>
        </w:rPr>
        <w:t>发挥科技创新对数字水网建设的引领推动作用，强化新一代信息技术在水利业务领域的应用研究，着力构建数字孪生水利，实现数字化场景、智慧化模拟、精准化决策，提升水网工程效能。创新水网建管体制和投融资机制，充分发挥市场在资源配置中的决定性作用，进一步强化政府服务属性，创新创造水网建管样板。</w:t>
      </w:r>
    </w:p>
    <w:p w14:paraId="4F040D4E">
      <w:pPr>
        <w:pStyle w:val="3"/>
        <w:spacing w:before="163"/>
      </w:pPr>
      <w:bookmarkStart w:id="17" w:name="_Toc181109841"/>
      <w:r>
        <w:rPr>
          <w:rFonts w:hint="eastAsia"/>
        </w:rPr>
        <w:t>发展目标</w:t>
      </w:r>
      <w:bookmarkEnd w:id="17"/>
    </w:p>
    <w:p w14:paraId="70FA79B4">
      <w:pPr>
        <w:pStyle w:val="4"/>
        <w:numPr>
          <w:ilvl w:val="0"/>
          <w:numId w:val="0"/>
        </w:numPr>
        <w:ind w:left="709"/>
      </w:pPr>
      <w:r>
        <w:rPr>
          <w:rFonts w:hint="eastAsia"/>
        </w:rPr>
        <w:t>（1）规划范围</w:t>
      </w:r>
    </w:p>
    <w:p w14:paraId="425F1060">
      <w:pPr>
        <w:ind w:firstLine="480"/>
      </w:pPr>
      <w:r>
        <w:rPr>
          <w:rFonts w:hint="eastAsia"/>
        </w:rPr>
        <w:t>泰州市行政辖区范围全域，包括海陵、高港、姜堰</w:t>
      </w:r>
      <w:r>
        <w:t>3</w:t>
      </w:r>
      <w:r>
        <w:rPr>
          <w:rFonts w:hint="eastAsia"/>
        </w:rPr>
        <w:t>个市辖区，兴化、泰兴、靖江</w:t>
      </w:r>
      <w:r>
        <w:t>3</w:t>
      </w:r>
      <w:r>
        <w:rPr>
          <w:rFonts w:hint="eastAsia"/>
        </w:rPr>
        <w:t>个县级市，总面积</w:t>
      </w:r>
      <w:r>
        <w:rPr>
          <w:rFonts w:cs="Times New Roman"/>
        </w:rPr>
        <w:t>5787.98</w:t>
      </w:r>
      <w:r>
        <w:rPr>
          <w:rFonts w:hint="eastAsia" w:cs="Times New Roman"/>
        </w:rPr>
        <w:t>km²</w:t>
      </w:r>
      <w:r>
        <w:rPr>
          <w:rFonts w:hint="eastAsia"/>
        </w:rPr>
        <w:t>。</w:t>
      </w:r>
    </w:p>
    <w:p w14:paraId="0AB6A2BD">
      <w:pPr>
        <w:pStyle w:val="4"/>
        <w:numPr>
          <w:ilvl w:val="0"/>
          <w:numId w:val="0"/>
        </w:numPr>
        <w:ind w:left="709"/>
      </w:pPr>
      <w:r>
        <w:rPr>
          <w:rFonts w:hint="eastAsia"/>
        </w:rPr>
        <w:t>（2）规划水平年</w:t>
      </w:r>
    </w:p>
    <w:p w14:paraId="5DB84F36">
      <w:pPr>
        <w:ind w:firstLine="480"/>
        <w:rPr>
          <w:rFonts w:cs="Times New Roman"/>
        </w:rPr>
      </w:pPr>
      <w:r>
        <w:rPr>
          <w:rFonts w:hint="eastAsia" w:cs="Times New Roman"/>
        </w:rPr>
        <w:t>规划基准年</w:t>
      </w:r>
      <w:r>
        <w:rPr>
          <w:rFonts w:cs="Times New Roman"/>
        </w:rPr>
        <w:t>2023</w:t>
      </w:r>
      <w:r>
        <w:rPr>
          <w:rFonts w:hint="eastAsia" w:cs="Times New Roman"/>
        </w:rPr>
        <w:t>年，规划水平年</w:t>
      </w:r>
      <w:r>
        <w:rPr>
          <w:rFonts w:cs="Times New Roman"/>
        </w:rPr>
        <w:t>2035</w:t>
      </w:r>
      <w:r>
        <w:rPr>
          <w:rFonts w:hint="eastAsia" w:cs="Times New Roman"/>
        </w:rPr>
        <w:t>年，远景展望至</w:t>
      </w:r>
      <w:r>
        <w:rPr>
          <w:rFonts w:cs="Times New Roman"/>
        </w:rPr>
        <w:t>2050</w:t>
      </w:r>
      <w:r>
        <w:rPr>
          <w:rFonts w:hint="eastAsia" w:cs="Times New Roman"/>
        </w:rPr>
        <w:t>年。</w:t>
      </w:r>
    </w:p>
    <w:p w14:paraId="66912921">
      <w:pPr>
        <w:pStyle w:val="4"/>
        <w:numPr>
          <w:ilvl w:val="0"/>
          <w:numId w:val="0"/>
        </w:numPr>
        <w:ind w:left="709"/>
      </w:pPr>
      <w:r>
        <w:rPr>
          <w:rFonts w:hint="eastAsia"/>
        </w:rPr>
        <w:t>（3）总体目标</w:t>
      </w:r>
    </w:p>
    <w:p w14:paraId="34BAEAE2">
      <w:pPr>
        <w:ind w:firstLine="480"/>
      </w:pPr>
      <w:r>
        <w:rPr>
          <w:rFonts w:hint="eastAsia"/>
        </w:rPr>
        <w:t>对标中央“三新一高”</w:t>
      </w:r>
      <w:r>
        <w:rPr>
          <w:rStyle w:val="38"/>
          <w:rFonts w:cs="Times New Roman"/>
        </w:rPr>
        <w:footnoteReference w:id="0"/>
      </w:r>
      <w:r>
        <w:rPr>
          <w:rFonts w:hint="eastAsia"/>
        </w:rPr>
        <w:t>要求和锚定</w:t>
      </w:r>
      <w:r>
        <w:t>2035</w:t>
      </w:r>
      <w:r>
        <w:rPr>
          <w:rFonts w:hint="eastAsia"/>
        </w:rPr>
        <w:t>年基本实现社会主义现代化目标，依托国家、省级骨干网，立足水利改革发展实际，</w:t>
      </w:r>
      <w:r>
        <w:rPr>
          <w:rFonts w:hint="eastAsia" w:cs="Times New Roman"/>
        </w:rPr>
        <w:t>以联网、补网、强链作为水网建设</w:t>
      </w:r>
      <w:r>
        <w:rPr>
          <w:rFonts w:hint="eastAsia"/>
        </w:rPr>
        <w:t>的</w:t>
      </w:r>
      <w:r>
        <w:rPr>
          <w:rFonts w:hint="eastAsia" w:cs="Times New Roman"/>
        </w:rPr>
        <w:t>重点，</w:t>
      </w:r>
      <w:r>
        <w:rPr>
          <w:rFonts w:hint="eastAsia"/>
        </w:rPr>
        <w:t>着力提高水网洪涝灾害防御能力、水资源调配能力、城乡供水保障能力、河湖生态保护治理能力、水网智慧化水平、体制机制法治管理水平，推动新时代水利高质量发展。</w:t>
      </w:r>
    </w:p>
    <w:p w14:paraId="5CB6696E">
      <w:pPr>
        <w:ind w:firstLine="480"/>
        <w:rPr>
          <w:rFonts w:cs="Times New Roman"/>
        </w:rPr>
      </w:pPr>
      <w:r>
        <w:rPr>
          <w:rFonts w:hint="eastAsia" w:cs="Times New Roman"/>
        </w:rPr>
        <w:t>至</w:t>
      </w:r>
      <w:r>
        <w:rPr>
          <w:rFonts w:cs="Times New Roman"/>
        </w:rPr>
        <w:t>2035</w:t>
      </w:r>
      <w:r>
        <w:rPr>
          <w:rFonts w:hint="eastAsia" w:cs="Times New Roman"/>
        </w:rPr>
        <w:t>年，泰州水网现代化升级取得系统性成效，基本形成泰州水网总体格局，与国家、省级骨干网高效联通，县级水网衔接配套。洪涝安全保障水平、水资源节约集约高效利用水平显著提高，农田灌排设施逐步完备，河湖健康、空间有序的水生态空间有效保护，安全实用、高效共享的数字化、网络化、智能化调度运用基本实现，水网工程良性运行管护机制健全，水网风险防控和应急能力明显增强。</w:t>
      </w:r>
    </w:p>
    <w:p w14:paraId="77BBD64B">
      <w:pPr>
        <w:ind w:firstLine="480"/>
        <w:rPr>
          <w:rFonts w:cs="Times New Roman"/>
        </w:rPr>
      </w:pPr>
      <w:r>
        <w:rPr>
          <w:rFonts w:hint="eastAsia" w:cs="Times New Roman"/>
        </w:rPr>
        <w:t>展望到本世纪中叶（</w:t>
      </w:r>
      <w:r>
        <w:rPr>
          <w:rFonts w:cs="Times New Roman"/>
        </w:rPr>
        <w:t>2050</w:t>
      </w:r>
      <w:r>
        <w:rPr>
          <w:rFonts w:hint="eastAsia" w:cs="Times New Roman"/>
        </w:rPr>
        <w:t>年），全面建成与美丽繁荣、开放协同、特色彰显、宜居宜业宜游的泰州市相适应的高质量现代水网；上承国家、省级水网，下衔县级水网的协同融合共享格局全面形成，水旱灾害防御能力全面增强，资源节约利用和优化配置水平全面提高，水网绿色生态低碳基本实现，智慧管理手段全面高效应用，现代水网体制机制法治管理体系全面建立，全市水安全得到全面保障。</w:t>
      </w:r>
      <w:bookmarkStart w:id="18" w:name="_Hlk68869936"/>
    </w:p>
    <w:p w14:paraId="1476696D">
      <w:pPr>
        <w:pStyle w:val="4"/>
        <w:numPr>
          <w:ilvl w:val="0"/>
          <w:numId w:val="0"/>
        </w:numPr>
        <w:ind w:left="709"/>
      </w:pPr>
      <w:r>
        <w:rPr>
          <w:rFonts w:hint="eastAsia"/>
        </w:rPr>
        <w:t>（4）目标指标</w:t>
      </w:r>
    </w:p>
    <w:p w14:paraId="4AC8433B">
      <w:pPr>
        <w:ind w:firstLine="480"/>
      </w:pPr>
      <w:r>
        <w:rPr>
          <w:rFonts w:hint="eastAsia"/>
        </w:rPr>
        <w:t>流域防洪能力巩固提升，区域防洪排涝能力显著增强，城市防洪排涝基本达到国家标准。流域防洪方面，长江堤防防洪标准</w:t>
      </w:r>
      <w:r>
        <w:t>100</w:t>
      </w:r>
      <w:r>
        <w:rPr>
          <w:rFonts w:hint="eastAsia"/>
        </w:rPr>
        <w:t>年一遇，长江河势稳定；区域防洪方面，老328国道控制线、江平公路—靖泰界河南堤沿线防洪标准达到50~100年一遇，里下河片圩区防洪标准</w:t>
      </w:r>
      <w:r>
        <w:t>20</w:t>
      </w:r>
      <w:r>
        <w:rPr>
          <w:rFonts w:hint="eastAsia"/>
        </w:rPr>
        <w:t>年一遇；区域排涝方面，里下河片排涝标准</w:t>
      </w:r>
      <w:r>
        <w:t>10</w:t>
      </w:r>
      <w:r>
        <w:rPr>
          <w:rFonts w:hint="eastAsia"/>
        </w:rPr>
        <w:t>年一遇，通南片排涝标准</w:t>
      </w:r>
      <w:r>
        <w:t>10～20</w:t>
      </w:r>
      <w:r>
        <w:rPr>
          <w:rFonts w:hint="eastAsia"/>
        </w:rPr>
        <w:t>年一遇；城市防洪方面，泰州中心城区防洪标准</w:t>
      </w:r>
      <w:r>
        <w:t>100</w:t>
      </w:r>
      <w:r>
        <w:rPr>
          <w:rFonts w:hint="eastAsia"/>
        </w:rPr>
        <w:t>年一遇，泰兴、靖江、兴化中心城区和重点城镇防洪标准</w:t>
      </w:r>
      <w:r>
        <w:t>50</w:t>
      </w:r>
      <w:r>
        <w:rPr>
          <w:rFonts w:hint="eastAsia"/>
        </w:rPr>
        <w:t>年一遇，其他乡镇（街道）防洪标准</w:t>
      </w:r>
      <w:r>
        <w:t>20</w:t>
      </w:r>
      <w:r>
        <w:rPr>
          <w:rFonts w:hint="eastAsia"/>
        </w:rPr>
        <w:t>年一遇；中心城区河道、闸站排涝标准</w:t>
      </w:r>
      <w:r>
        <w:t>20</w:t>
      </w:r>
      <w:r>
        <w:rPr>
          <w:rFonts w:hint="eastAsia"/>
        </w:rPr>
        <w:t>年一遇。</w:t>
      </w:r>
    </w:p>
    <w:p w14:paraId="4B3182E4">
      <w:pPr>
        <w:ind w:firstLine="480"/>
        <w:rPr>
          <w:rFonts w:cs="Times New Roman"/>
        </w:rPr>
      </w:pPr>
      <w:r>
        <w:rPr>
          <w:rFonts w:hint="eastAsia" w:cs="Times New Roman"/>
        </w:rPr>
        <w:t>全市生活供水保证率达到</w:t>
      </w:r>
      <w:r>
        <w:rPr>
          <w:rFonts w:cs="Times New Roman"/>
        </w:rPr>
        <w:t>97%</w:t>
      </w:r>
      <w:r>
        <w:rPr>
          <w:rFonts w:hint="eastAsia" w:cs="Times New Roman"/>
        </w:rPr>
        <w:t>以上，重点工业供水保证率达到</w:t>
      </w:r>
      <w:r>
        <w:rPr>
          <w:rFonts w:cs="Times New Roman"/>
        </w:rPr>
        <w:t>95%</w:t>
      </w:r>
      <w:r>
        <w:rPr>
          <w:rFonts w:hint="eastAsia" w:cs="Times New Roman"/>
        </w:rPr>
        <w:t>以上，农业灌溉用水保证率达到</w:t>
      </w:r>
      <w:r>
        <w:rPr>
          <w:rFonts w:cs="Times New Roman"/>
        </w:rPr>
        <w:t>95%</w:t>
      </w:r>
      <w:r>
        <w:rPr>
          <w:rFonts w:hint="eastAsia" w:cs="Times New Roman"/>
        </w:rPr>
        <w:t>；农田灌溉水有效利用系数达到</w:t>
      </w:r>
      <w:r>
        <w:rPr>
          <w:rFonts w:cs="Times New Roman"/>
        </w:rPr>
        <w:t>0.65</w:t>
      </w:r>
      <w:r>
        <w:rPr>
          <w:rFonts w:hint="eastAsia" w:cs="Times New Roman"/>
        </w:rPr>
        <w:t>以上；水资源管理能力进一步提升。全市集中式饮用水水源地达标建设完成率达到</w:t>
      </w:r>
      <w:r>
        <w:rPr>
          <w:rFonts w:cs="Times New Roman"/>
        </w:rPr>
        <w:t>100%</w:t>
      </w:r>
      <w:r>
        <w:rPr>
          <w:rFonts w:hint="eastAsia" w:cs="Times New Roman"/>
        </w:rPr>
        <w:t>；主要河湖水生态环境明显改善，全市水域面积率不降低且有所提升；全市水土保持率不低于</w:t>
      </w:r>
      <w:r>
        <w:rPr>
          <w:rFonts w:cs="Times New Roman"/>
        </w:rPr>
        <w:t>99.98%</w:t>
      </w:r>
      <w:r>
        <w:rPr>
          <w:rFonts w:hint="eastAsia" w:cs="Times New Roman"/>
        </w:rPr>
        <w:t>。全市灌溉面积率达到</w:t>
      </w:r>
      <w:r>
        <w:rPr>
          <w:rFonts w:cs="Times New Roman"/>
        </w:rPr>
        <w:t>98%</w:t>
      </w:r>
      <w:r>
        <w:rPr>
          <w:rFonts w:hint="eastAsia" w:cs="Times New Roman"/>
        </w:rPr>
        <w:t>，节水灌溉工程面积率达到</w:t>
      </w:r>
      <w:r>
        <w:rPr>
          <w:rFonts w:cs="Times New Roman"/>
        </w:rPr>
        <w:t>70%</w:t>
      </w:r>
      <w:r>
        <w:rPr>
          <w:rFonts w:hint="eastAsia" w:cs="Times New Roman"/>
        </w:rPr>
        <w:t>；农村河道引排能力不断提升，农村生态河道覆盖率达</w:t>
      </w:r>
      <w:r>
        <w:rPr>
          <w:rFonts w:cs="Times New Roman"/>
        </w:rPr>
        <w:t>80</w:t>
      </w:r>
      <w:r>
        <w:rPr>
          <w:rFonts w:hint="eastAsia" w:cs="Times New Roman"/>
        </w:rPr>
        <w:t>%。</w:t>
      </w:r>
    </w:p>
    <w:p w14:paraId="714CCFD2">
      <w:pPr>
        <w:spacing w:line="500" w:lineRule="exact"/>
        <w:ind w:firstLine="480"/>
        <w:rPr>
          <w:rFonts w:cs="Times New Roman"/>
        </w:rPr>
      </w:pPr>
      <w:r>
        <w:rPr>
          <w:rFonts w:hint="eastAsia" w:cs="Times New Roman"/>
        </w:rPr>
        <w:t>水利数字化和网络化水平全面提升，水网监测与感知能力不断完善，重点领域智能化水平显著提升，支撑强监管的能力明显提高。</w:t>
      </w:r>
    </w:p>
    <w:p w14:paraId="7E15C83E">
      <w:pPr>
        <w:ind w:firstLine="480"/>
        <w:rPr>
          <w:rFonts w:cs="Times New Roman"/>
        </w:rPr>
      </w:pPr>
      <w:r>
        <w:rPr>
          <w:rFonts w:hint="eastAsia" w:cs="Times New Roman"/>
        </w:rPr>
        <w:t>河长制管理从全面建立向全面见效转变，河湖空间更加有序；水利工程运行安全、调度规范，工程效益充分发挥；综合管理能力不断增强，工程管理智慧智能。</w:t>
      </w:r>
    </w:p>
    <w:tbl>
      <w:tblPr>
        <w:tblStyle w:val="29"/>
        <w:tblW w:w="5000" w:type="pct"/>
        <w:jc w:val="center"/>
        <w:tblLayout w:type="autofit"/>
        <w:tblCellMar>
          <w:top w:w="0" w:type="dxa"/>
          <w:left w:w="0" w:type="dxa"/>
          <w:bottom w:w="0" w:type="dxa"/>
          <w:right w:w="0" w:type="dxa"/>
        </w:tblCellMar>
      </w:tblPr>
      <w:tblGrid>
        <w:gridCol w:w="626"/>
        <w:gridCol w:w="4198"/>
        <w:gridCol w:w="1012"/>
        <w:gridCol w:w="1014"/>
        <w:gridCol w:w="1014"/>
        <w:gridCol w:w="1012"/>
      </w:tblGrid>
      <w:tr w14:paraId="7EB60796">
        <w:tblPrEx>
          <w:tblCellMar>
            <w:top w:w="0" w:type="dxa"/>
            <w:left w:w="0" w:type="dxa"/>
            <w:bottom w:w="0" w:type="dxa"/>
            <w:right w:w="0" w:type="dxa"/>
          </w:tblCellMar>
        </w:tblPrEx>
        <w:trPr>
          <w:trHeight w:val="454" w:hRule="atLeast"/>
          <w:jc w:val="center"/>
        </w:trPr>
        <w:tc>
          <w:tcPr>
            <w:tcW w:w="5000" w:type="pct"/>
            <w:gridSpan w:val="6"/>
            <w:tcBorders>
              <w:top w:val="single" w:color="000000" w:sz="4" w:space="0"/>
              <w:left w:val="single" w:color="000000" w:sz="4" w:space="0"/>
              <w:bottom w:val="single" w:color="000000" w:sz="4" w:space="0"/>
              <w:right w:val="single" w:color="000000" w:sz="4" w:space="0"/>
            </w:tcBorders>
            <w:vAlign w:val="center"/>
          </w:tcPr>
          <w:p w14:paraId="3860995D">
            <w:pPr>
              <w:pStyle w:val="64"/>
            </w:pPr>
            <w:r>
              <w:rPr>
                <w:rFonts w:hint="eastAsia"/>
              </w:rPr>
              <w:t>专栏</w:t>
            </w:r>
            <w:r>
              <w:t>2.3-1</w:t>
            </w:r>
            <w:r>
              <w:rPr>
                <w:rFonts w:hint="eastAsia"/>
              </w:rPr>
              <w:t>泰州市现代水网规划主要指标</w:t>
            </w:r>
          </w:p>
        </w:tc>
      </w:tr>
      <w:tr w14:paraId="644E45B2">
        <w:tblPrEx>
          <w:tblCellMar>
            <w:top w:w="0" w:type="dxa"/>
            <w:left w:w="0" w:type="dxa"/>
            <w:bottom w:w="0" w:type="dxa"/>
            <w:right w:w="0" w:type="dxa"/>
          </w:tblCellMar>
        </w:tblPrEx>
        <w:trPr>
          <w:trHeight w:val="454" w:hRule="atLeast"/>
          <w:jc w:val="center"/>
        </w:trPr>
        <w:tc>
          <w:tcPr>
            <w:tcW w:w="353" w:type="pct"/>
            <w:tcBorders>
              <w:top w:val="single" w:color="000000" w:sz="4" w:space="0"/>
              <w:left w:val="single" w:color="000000" w:sz="4" w:space="0"/>
              <w:bottom w:val="single" w:color="000000" w:sz="4" w:space="0"/>
              <w:right w:val="single" w:color="000000" w:sz="4" w:space="0"/>
            </w:tcBorders>
            <w:vAlign w:val="center"/>
          </w:tcPr>
          <w:p w14:paraId="3E7674A0">
            <w:pPr>
              <w:pStyle w:val="57"/>
              <w:jc w:val="center"/>
              <w:rPr>
                <w:b/>
              </w:rPr>
            </w:pPr>
            <w:r>
              <w:rPr>
                <w:rFonts w:hint="eastAsia"/>
                <w:b/>
              </w:rPr>
              <w:t>序号</w:t>
            </w:r>
          </w:p>
        </w:tc>
        <w:tc>
          <w:tcPr>
            <w:tcW w:w="2365" w:type="pct"/>
            <w:tcBorders>
              <w:top w:val="single" w:color="000000" w:sz="4" w:space="0"/>
              <w:left w:val="single" w:color="000000" w:sz="4" w:space="0"/>
              <w:bottom w:val="single" w:color="000000" w:sz="4" w:space="0"/>
              <w:right w:val="single" w:color="000000" w:sz="4" w:space="0"/>
            </w:tcBorders>
            <w:vAlign w:val="center"/>
          </w:tcPr>
          <w:p w14:paraId="422EDF28">
            <w:pPr>
              <w:pStyle w:val="57"/>
              <w:jc w:val="center"/>
              <w:rPr>
                <w:b/>
              </w:rPr>
            </w:pPr>
            <w:r>
              <w:rPr>
                <w:rFonts w:hint="eastAsia"/>
                <w:b/>
              </w:rPr>
              <w:t>指标</w:t>
            </w:r>
          </w:p>
        </w:tc>
        <w:tc>
          <w:tcPr>
            <w:tcW w:w="570" w:type="pct"/>
            <w:tcBorders>
              <w:top w:val="single" w:color="000000" w:sz="4" w:space="0"/>
              <w:left w:val="single" w:color="000000" w:sz="4" w:space="0"/>
              <w:bottom w:val="single" w:color="000000" w:sz="4" w:space="0"/>
              <w:right w:val="single" w:color="000000" w:sz="4" w:space="0"/>
            </w:tcBorders>
            <w:vAlign w:val="center"/>
          </w:tcPr>
          <w:p w14:paraId="1907846E">
            <w:pPr>
              <w:pStyle w:val="57"/>
              <w:jc w:val="center"/>
              <w:rPr>
                <w:b/>
              </w:rPr>
            </w:pPr>
            <w:r>
              <w:rPr>
                <w:rFonts w:hint="eastAsia"/>
                <w:b/>
              </w:rPr>
              <w:t>单位</w:t>
            </w:r>
          </w:p>
        </w:tc>
        <w:tc>
          <w:tcPr>
            <w:tcW w:w="571" w:type="pct"/>
            <w:tcBorders>
              <w:top w:val="single" w:color="000000" w:sz="4" w:space="0"/>
              <w:left w:val="single" w:color="000000" w:sz="4" w:space="0"/>
              <w:bottom w:val="single" w:color="000000" w:sz="4" w:space="0"/>
              <w:right w:val="single" w:color="000000" w:sz="4" w:space="0"/>
            </w:tcBorders>
            <w:vAlign w:val="center"/>
          </w:tcPr>
          <w:p w14:paraId="3E5678C6">
            <w:pPr>
              <w:pStyle w:val="57"/>
              <w:jc w:val="center"/>
              <w:rPr>
                <w:b/>
              </w:rPr>
            </w:pPr>
            <w:r>
              <w:rPr>
                <w:rFonts w:hint="eastAsia"/>
                <w:b/>
              </w:rPr>
              <w:t>现状</w:t>
            </w:r>
          </w:p>
        </w:tc>
        <w:tc>
          <w:tcPr>
            <w:tcW w:w="571" w:type="pct"/>
            <w:tcBorders>
              <w:top w:val="single" w:color="000000" w:sz="4" w:space="0"/>
              <w:left w:val="single" w:color="000000" w:sz="4" w:space="0"/>
              <w:bottom w:val="single" w:color="000000" w:sz="4" w:space="0"/>
              <w:right w:val="single" w:color="000000" w:sz="4" w:space="0"/>
            </w:tcBorders>
            <w:vAlign w:val="center"/>
          </w:tcPr>
          <w:p w14:paraId="1F99CBE2">
            <w:pPr>
              <w:pStyle w:val="57"/>
              <w:jc w:val="center"/>
              <w:rPr>
                <w:b/>
              </w:rPr>
            </w:pPr>
            <w:r>
              <w:rPr>
                <w:b/>
              </w:rPr>
              <w:t>2035</w:t>
            </w:r>
            <w:r>
              <w:rPr>
                <w:rFonts w:hint="eastAsia"/>
                <w:b/>
              </w:rPr>
              <w:t>年</w:t>
            </w:r>
          </w:p>
        </w:tc>
        <w:tc>
          <w:tcPr>
            <w:tcW w:w="570" w:type="pct"/>
            <w:tcBorders>
              <w:top w:val="single" w:color="000000" w:sz="4" w:space="0"/>
              <w:left w:val="single" w:color="000000" w:sz="4" w:space="0"/>
              <w:bottom w:val="single" w:color="000000" w:sz="4" w:space="0"/>
              <w:right w:val="single" w:color="000000" w:sz="4" w:space="0"/>
            </w:tcBorders>
            <w:vAlign w:val="center"/>
          </w:tcPr>
          <w:p w14:paraId="71012BE5">
            <w:pPr>
              <w:pStyle w:val="57"/>
              <w:jc w:val="center"/>
              <w:rPr>
                <w:b/>
              </w:rPr>
            </w:pPr>
            <w:r>
              <w:rPr>
                <w:rFonts w:hint="eastAsia"/>
                <w:b/>
              </w:rPr>
              <w:t>属性</w:t>
            </w:r>
          </w:p>
        </w:tc>
      </w:tr>
      <w:tr w14:paraId="6D42968E">
        <w:tblPrEx>
          <w:tblCellMar>
            <w:top w:w="0" w:type="dxa"/>
            <w:left w:w="0" w:type="dxa"/>
            <w:bottom w:w="0" w:type="dxa"/>
            <w:right w:w="0" w:type="dxa"/>
          </w:tblCellMar>
        </w:tblPrEx>
        <w:trPr>
          <w:trHeight w:val="454" w:hRule="atLeast"/>
          <w:jc w:val="center"/>
        </w:trPr>
        <w:tc>
          <w:tcPr>
            <w:tcW w:w="353" w:type="pct"/>
            <w:tcBorders>
              <w:top w:val="single" w:color="000000" w:sz="4" w:space="0"/>
              <w:left w:val="single" w:color="000000" w:sz="4" w:space="0"/>
              <w:bottom w:val="single" w:color="000000" w:sz="4" w:space="0"/>
              <w:right w:val="single" w:color="000000" w:sz="4" w:space="0"/>
            </w:tcBorders>
            <w:vAlign w:val="center"/>
          </w:tcPr>
          <w:p w14:paraId="52E2FA55">
            <w:pPr>
              <w:pStyle w:val="57"/>
              <w:jc w:val="center"/>
            </w:pPr>
            <w:r>
              <w:t>1</w:t>
            </w:r>
          </w:p>
        </w:tc>
        <w:tc>
          <w:tcPr>
            <w:tcW w:w="2365" w:type="pct"/>
            <w:tcBorders>
              <w:top w:val="single" w:color="000000" w:sz="4" w:space="0"/>
              <w:left w:val="single" w:color="000000" w:sz="4" w:space="0"/>
              <w:bottom w:val="single" w:color="000000" w:sz="4" w:space="0"/>
              <w:right w:val="single" w:color="000000" w:sz="4" w:space="0"/>
            </w:tcBorders>
            <w:vAlign w:val="center"/>
          </w:tcPr>
          <w:p w14:paraId="01810D62">
            <w:pPr>
              <w:pStyle w:val="57"/>
              <w:jc w:val="center"/>
            </w:pPr>
            <w:r>
              <w:rPr>
                <w:rFonts w:hint="eastAsia"/>
              </w:rPr>
              <w:t>市级水网覆盖范围</w:t>
            </w:r>
            <w:r>
              <w:rPr>
                <w:vertAlign w:val="superscript"/>
              </w:rPr>
              <w:t>1</w:t>
            </w:r>
          </w:p>
        </w:tc>
        <w:tc>
          <w:tcPr>
            <w:tcW w:w="570" w:type="pct"/>
            <w:tcBorders>
              <w:top w:val="single" w:color="000000" w:sz="4" w:space="0"/>
              <w:left w:val="single" w:color="000000" w:sz="4" w:space="0"/>
              <w:bottom w:val="single" w:color="000000" w:sz="4" w:space="0"/>
              <w:right w:val="single" w:color="000000" w:sz="4" w:space="0"/>
            </w:tcBorders>
            <w:vAlign w:val="center"/>
          </w:tcPr>
          <w:p w14:paraId="3905F5AA">
            <w:pPr>
              <w:pStyle w:val="57"/>
              <w:jc w:val="center"/>
            </w:pPr>
            <w:r>
              <w:t>%</w:t>
            </w:r>
          </w:p>
        </w:tc>
        <w:tc>
          <w:tcPr>
            <w:tcW w:w="571" w:type="pct"/>
            <w:tcBorders>
              <w:top w:val="single" w:color="000000" w:sz="4" w:space="0"/>
              <w:left w:val="single" w:color="000000" w:sz="4" w:space="0"/>
              <w:bottom w:val="single" w:color="000000" w:sz="4" w:space="0"/>
              <w:right w:val="single" w:color="000000" w:sz="4" w:space="0"/>
            </w:tcBorders>
            <w:vAlign w:val="center"/>
          </w:tcPr>
          <w:p w14:paraId="5AB5A213">
            <w:pPr>
              <w:pStyle w:val="57"/>
              <w:jc w:val="center"/>
            </w:pPr>
            <w:r>
              <w:t>96</w:t>
            </w:r>
          </w:p>
        </w:tc>
        <w:tc>
          <w:tcPr>
            <w:tcW w:w="571" w:type="pct"/>
            <w:tcBorders>
              <w:top w:val="single" w:color="000000" w:sz="4" w:space="0"/>
              <w:left w:val="single" w:color="000000" w:sz="4" w:space="0"/>
              <w:bottom w:val="single" w:color="000000" w:sz="4" w:space="0"/>
              <w:right w:val="single" w:color="000000" w:sz="4" w:space="0"/>
            </w:tcBorders>
            <w:vAlign w:val="center"/>
          </w:tcPr>
          <w:p w14:paraId="4C2D44DD">
            <w:pPr>
              <w:pStyle w:val="57"/>
              <w:jc w:val="center"/>
            </w:pPr>
            <w:r>
              <w:t>100</w:t>
            </w:r>
          </w:p>
        </w:tc>
        <w:tc>
          <w:tcPr>
            <w:tcW w:w="570" w:type="pct"/>
            <w:tcBorders>
              <w:top w:val="single" w:color="000000" w:sz="4" w:space="0"/>
              <w:left w:val="single" w:color="000000" w:sz="4" w:space="0"/>
              <w:bottom w:val="single" w:color="000000" w:sz="4" w:space="0"/>
              <w:right w:val="single" w:color="000000" w:sz="4" w:space="0"/>
            </w:tcBorders>
            <w:vAlign w:val="center"/>
          </w:tcPr>
          <w:p w14:paraId="1EB5579C">
            <w:pPr>
              <w:pStyle w:val="57"/>
              <w:jc w:val="center"/>
            </w:pPr>
            <w:r>
              <w:rPr>
                <w:rFonts w:hint="eastAsia"/>
              </w:rPr>
              <w:t>预期</w:t>
            </w:r>
          </w:p>
        </w:tc>
      </w:tr>
      <w:tr w14:paraId="2BF1B991">
        <w:tblPrEx>
          <w:tblCellMar>
            <w:top w:w="0" w:type="dxa"/>
            <w:left w:w="0" w:type="dxa"/>
            <w:bottom w:w="0" w:type="dxa"/>
            <w:right w:w="0" w:type="dxa"/>
          </w:tblCellMar>
        </w:tblPrEx>
        <w:trPr>
          <w:trHeight w:val="454" w:hRule="atLeast"/>
          <w:jc w:val="center"/>
        </w:trPr>
        <w:tc>
          <w:tcPr>
            <w:tcW w:w="353" w:type="pct"/>
            <w:tcBorders>
              <w:top w:val="single" w:color="000000" w:sz="4" w:space="0"/>
              <w:left w:val="single" w:color="000000" w:sz="4" w:space="0"/>
              <w:bottom w:val="single" w:color="000000" w:sz="4" w:space="0"/>
              <w:right w:val="single" w:color="000000" w:sz="4" w:space="0"/>
            </w:tcBorders>
            <w:vAlign w:val="center"/>
          </w:tcPr>
          <w:p w14:paraId="74A4E4AE">
            <w:pPr>
              <w:pStyle w:val="57"/>
              <w:jc w:val="center"/>
            </w:pPr>
            <w:r>
              <w:t>2</w:t>
            </w:r>
          </w:p>
        </w:tc>
        <w:tc>
          <w:tcPr>
            <w:tcW w:w="2365" w:type="pct"/>
            <w:tcBorders>
              <w:top w:val="single" w:color="000000" w:sz="4" w:space="0"/>
              <w:left w:val="single" w:color="000000" w:sz="4" w:space="0"/>
              <w:bottom w:val="single" w:color="000000" w:sz="4" w:space="0"/>
              <w:right w:val="single" w:color="000000" w:sz="4" w:space="0"/>
            </w:tcBorders>
            <w:vAlign w:val="center"/>
          </w:tcPr>
          <w:p w14:paraId="6D78E800">
            <w:pPr>
              <w:pStyle w:val="57"/>
              <w:jc w:val="center"/>
            </w:pPr>
            <w:r>
              <w:rPr>
                <w:rFonts w:hint="eastAsia"/>
              </w:rPr>
              <w:t>市级水网水流调控能力</w:t>
            </w:r>
            <w:r>
              <w:rPr>
                <w:vertAlign w:val="superscript"/>
              </w:rPr>
              <w:t>2</w:t>
            </w:r>
          </w:p>
        </w:tc>
        <w:tc>
          <w:tcPr>
            <w:tcW w:w="570" w:type="pct"/>
            <w:tcBorders>
              <w:top w:val="single" w:color="000000" w:sz="4" w:space="0"/>
              <w:left w:val="single" w:color="000000" w:sz="4" w:space="0"/>
              <w:bottom w:val="single" w:color="000000" w:sz="4" w:space="0"/>
              <w:right w:val="single" w:color="000000" w:sz="4" w:space="0"/>
            </w:tcBorders>
            <w:vAlign w:val="center"/>
          </w:tcPr>
          <w:p w14:paraId="2BDC204F">
            <w:pPr>
              <w:pStyle w:val="57"/>
              <w:jc w:val="center"/>
            </w:pPr>
            <w:r>
              <w:t>%</w:t>
            </w:r>
          </w:p>
        </w:tc>
        <w:tc>
          <w:tcPr>
            <w:tcW w:w="571" w:type="pct"/>
            <w:tcBorders>
              <w:top w:val="single" w:color="000000" w:sz="4" w:space="0"/>
              <w:left w:val="single" w:color="000000" w:sz="4" w:space="0"/>
              <w:bottom w:val="single" w:color="000000" w:sz="4" w:space="0"/>
              <w:right w:val="single" w:color="000000" w:sz="4" w:space="0"/>
            </w:tcBorders>
            <w:vAlign w:val="center"/>
          </w:tcPr>
          <w:p w14:paraId="0FA6468B">
            <w:pPr>
              <w:pStyle w:val="57"/>
              <w:jc w:val="center"/>
            </w:pPr>
            <w:r>
              <w:t>85</w:t>
            </w:r>
          </w:p>
        </w:tc>
        <w:tc>
          <w:tcPr>
            <w:tcW w:w="571" w:type="pct"/>
            <w:tcBorders>
              <w:top w:val="single" w:color="000000" w:sz="4" w:space="0"/>
              <w:left w:val="single" w:color="000000" w:sz="4" w:space="0"/>
              <w:bottom w:val="single" w:color="000000" w:sz="4" w:space="0"/>
              <w:right w:val="single" w:color="000000" w:sz="4" w:space="0"/>
            </w:tcBorders>
            <w:vAlign w:val="center"/>
          </w:tcPr>
          <w:p w14:paraId="75146DFC">
            <w:pPr>
              <w:pStyle w:val="57"/>
              <w:jc w:val="center"/>
            </w:pPr>
            <w:r>
              <w:t>91</w:t>
            </w:r>
          </w:p>
        </w:tc>
        <w:tc>
          <w:tcPr>
            <w:tcW w:w="570" w:type="pct"/>
            <w:tcBorders>
              <w:top w:val="single" w:color="000000" w:sz="4" w:space="0"/>
              <w:left w:val="single" w:color="000000" w:sz="4" w:space="0"/>
              <w:bottom w:val="single" w:color="000000" w:sz="4" w:space="0"/>
              <w:right w:val="single" w:color="000000" w:sz="4" w:space="0"/>
            </w:tcBorders>
            <w:vAlign w:val="center"/>
          </w:tcPr>
          <w:p w14:paraId="1679B769">
            <w:pPr>
              <w:pStyle w:val="57"/>
              <w:jc w:val="center"/>
            </w:pPr>
            <w:r>
              <w:rPr>
                <w:rFonts w:hint="eastAsia"/>
              </w:rPr>
              <w:t>预期</w:t>
            </w:r>
          </w:p>
        </w:tc>
      </w:tr>
      <w:tr w14:paraId="299FAE27">
        <w:tblPrEx>
          <w:tblCellMar>
            <w:top w:w="0" w:type="dxa"/>
            <w:left w:w="0" w:type="dxa"/>
            <w:bottom w:w="0" w:type="dxa"/>
            <w:right w:w="0" w:type="dxa"/>
          </w:tblCellMar>
        </w:tblPrEx>
        <w:trPr>
          <w:trHeight w:val="454" w:hRule="atLeast"/>
          <w:jc w:val="center"/>
        </w:trPr>
        <w:tc>
          <w:tcPr>
            <w:tcW w:w="353" w:type="pct"/>
            <w:tcBorders>
              <w:top w:val="single" w:color="000000" w:sz="4" w:space="0"/>
              <w:left w:val="single" w:color="000000" w:sz="4" w:space="0"/>
              <w:right w:val="single" w:color="000000" w:sz="4" w:space="0"/>
            </w:tcBorders>
            <w:vAlign w:val="center"/>
          </w:tcPr>
          <w:p w14:paraId="5F9CFDED">
            <w:pPr>
              <w:pStyle w:val="57"/>
              <w:jc w:val="center"/>
            </w:pPr>
            <w:r>
              <w:t>3</w:t>
            </w:r>
          </w:p>
        </w:tc>
        <w:tc>
          <w:tcPr>
            <w:tcW w:w="2365" w:type="pct"/>
            <w:tcBorders>
              <w:top w:val="single" w:color="000000" w:sz="4" w:space="0"/>
              <w:left w:val="single" w:color="000000" w:sz="4" w:space="0"/>
              <w:bottom w:val="single" w:color="000000" w:sz="4" w:space="0"/>
              <w:right w:val="single" w:color="000000" w:sz="4" w:space="0"/>
            </w:tcBorders>
            <w:vAlign w:val="center"/>
          </w:tcPr>
          <w:p w14:paraId="57B1E615">
            <w:pPr>
              <w:pStyle w:val="57"/>
              <w:jc w:val="center"/>
            </w:pPr>
            <w:r>
              <w:rPr>
                <w:rFonts w:hint="eastAsia"/>
              </w:rPr>
              <w:t>河湖堤防达标率</w:t>
            </w:r>
            <w:r>
              <w:rPr>
                <w:vertAlign w:val="superscript"/>
              </w:rPr>
              <w:t>3</w:t>
            </w:r>
          </w:p>
        </w:tc>
        <w:tc>
          <w:tcPr>
            <w:tcW w:w="570" w:type="pct"/>
            <w:tcBorders>
              <w:top w:val="single" w:color="000000" w:sz="4" w:space="0"/>
              <w:left w:val="single" w:color="000000" w:sz="4" w:space="0"/>
              <w:bottom w:val="single" w:color="000000" w:sz="4" w:space="0"/>
              <w:right w:val="single" w:color="000000" w:sz="4" w:space="0"/>
            </w:tcBorders>
            <w:vAlign w:val="center"/>
          </w:tcPr>
          <w:p w14:paraId="6EF01EE0">
            <w:pPr>
              <w:pStyle w:val="57"/>
              <w:jc w:val="center"/>
            </w:pPr>
            <w:r>
              <w:t>%</w:t>
            </w:r>
          </w:p>
        </w:tc>
        <w:tc>
          <w:tcPr>
            <w:tcW w:w="571" w:type="pct"/>
            <w:tcBorders>
              <w:top w:val="single" w:color="000000" w:sz="4" w:space="0"/>
              <w:left w:val="single" w:color="000000" w:sz="4" w:space="0"/>
              <w:bottom w:val="single" w:color="000000" w:sz="4" w:space="0"/>
              <w:right w:val="single" w:color="000000" w:sz="4" w:space="0"/>
            </w:tcBorders>
            <w:vAlign w:val="center"/>
          </w:tcPr>
          <w:p w14:paraId="2ADDA8C9">
            <w:pPr>
              <w:pStyle w:val="57"/>
              <w:jc w:val="center"/>
            </w:pPr>
            <w:r>
              <w:t>68.8</w:t>
            </w:r>
          </w:p>
        </w:tc>
        <w:tc>
          <w:tcPr>
            <w:tcW w:w="571" w:type="pct"/>
            <w:tcBorders>
              <w:top w:val="single" w:color="000000" w:sz="4" w:space="0"/>
              <w:left w:val="single" w:color="000000" w:sz="4" w:space="0"/>
              <w:bottom w:val="single" w:color="000000" w:sz="4" w:space="0"/>
              <w:right w:val="single" w:color="000000" w:sz="4" w:space="0"/>
            </w:tcBorders>
            <w:vAlign w:val="center"/>
          </w:tcPr>
          <w:p w14:paraId="286E33C2">
            <w:pPr>
              <w:pStyle w:val="57"/>
              <w:jc w:val="center"/>
            </w:pPr>
            <w:r>
              <w:t>99</w:t>
            </w:r>
          </w:p>
        </w:tc>
        <w:tc>
          <w:tcPr>
            <w:tcW w:w="570" w:type="pct"/>
            <w:tcBorders>
              <w:top w:val="single" w:color="000000" w:sz="4" w:space="0"/>
              <w:left w:val="single" w:color="000000" w:sz="4" w:space="0"/>
              <w:bottom w:val="single" w:color="000000" w:sz="4" w:space="0"/>
              <w:right w:val="single" w:color="000000" w:sz="4" w:space="0"/>
            </w:tcBorders>
            <w:vAlign w:val="center"/>
          </w:tcPr>
          <w:p w14:paraId="429F6EFC">
            <w:pPr>
              <w:pStyle w:val="57"/>
              <w:jc w:val="center"/>
            </w:pPr>
            <w:r>
              <w:rPr>
                <w:rFonts w:hint="eastAsia"/>
              </w:rPr>
              <w:t>预期</w:t>
            </w:r>
          </w:p>
        </w:tc>
      </w:tr>
      <w:tr w14:paraId="2D2CBA42">
        <w:tblPrEx>
          <w:tblCellMar>
            <w:top w:w="0" w:type="dxa"/>
            <w:left w:w="0" w:type="dxa"/>
            <w:bottom w:w="0" w:type="dxa"/>
            <w:right w:w="0" w:type="dxa"/>
          </w:tblCellMar>
        </w:tblPrEx>
        <w:trPr>
          <w:trHeight w:val="454" w:hRule="atLeast"/>
          <w:jc w:val="center"/>
        </w:trPr>
        <w:tc>
          <w:tcPr>
            <w:tcW w:w="353" w:type="pct"/>
            <w:tcBorders>
              <w:top w:val="single" w:color="000000" w:sz="4" w:space="0"/>
              <w:left w:val="single" w:color="000000" w:sz="4" w:space="0"/>
              <w:bottom w:val="single" w:color="000000" w:sz="4" w:space="0"/>
              <w:right w:val="single" w:color="000000" w:sz="4" w:space="0"/>
            </w:tcBorders>
            <w:vAlign w:val="center"/>
          </w:tcPr>
          <w:p w14:paraId="4FD67C5D">
            <w:pPr>
              <w:pStyle w:val="57"/>
              <w:jc w:val="center"/>
            </w:pPr>
            <w:r>
              <w:t>4</w:t>
            </w:r>
          </w:p>
        </w:tc>
        <w:tc>
          <w:tcPr>
            <w:tcW w:w="2365" w:type="pct"/>
            <w:tcBorders>
              <w:top w:val="single" w:color="000000" w:sz="4" w:space="0"/>
              <w:left w:val="single" w:color="000000" w:sz="4" w:space="0"/>
              <w:bottom w:val="single" w:color="000000" w:sz="4" w:space="0"/>
              <w:right w:val="single" w:color="000000" w:sz="4" w:space="0"/>
            </w:tcBorders>
            <w:vAlign w:val="center"/>
          </w:tcPr>
          <w:p w14:paraId="2B62E1BE">
            <w:pPr>
              <w:pStyle w:val="57"/>
              <w:jc w:val="center"/>
            </w:pPr>
            <w:r>
              <w:rPr>
                <w:rFonts w:hint="eastAsia"/>
              </w:rPr>
              <w:t>城乡供水保证率</w:t>
            </w:r>
            <w:r>
              <w:rPr>
                <w:vertAlign w:val="superscript"/>
              </w:rPr>
              <w:t>4</w:t>
            </w:r>
          </w:p>
        </w:tc>
        <w:tc>
          <w:tcPr>
            <w:tcW w:w="570" w:type="pct"/>
            <w:tcBorders>
              <w:top w:val="single" w:color="000000" w:sz="4" w:space="0"/>
              <w:left w:val="single" w:color="000000" w:sz="4" w:space="0"/>
              <w:bottom w:val="single" w:color="000000" w:sz="4" w:space="0"/>
              <w:right w:val="single" w:color="000000" w:sz="4" w:space="0"/>
            </w:tcBorders>
            <w:vAlign w:val="center"/>
          </w:tcPr>
          <w:p w14:paraId="09D59322">
            <w:pPr>
              <w:pStyle w:val="57"/>
              <w:jc w:val="center"/>
            </w:pPr>
            <w:r>
              <w:t>%</w:t>
            </w:r>
          </w:p>
        </w:tc>
        <w:tc>
          <w:tcPr>
            <w:tcW w:w="571" w:type="pct"/>
            <w:tcBorders>
              <w:top w:val="single" w:color="000000" w:sz="4" w:space="0"/>
              <w:left w:val="single" w:color="000000" w:sz="4" w:space="0"/>
              <w:bottom w:val="single" w:color="000000" w:sz="4" w:space="0"/>
              <w:right w:val="single" w:color="000000" w:sz="4" w:space="0"/>
            </w:tcBorders>
            <w:vAlign w:val="center"/>
          </w:tcPr>
          <w:p w14:paraId="532DE23C">
            <w:pPr>
              <w:pStyle w:val="57"/>
              <w:jc w:val="center"/>
            </w:pPr>
            <w:r>
              <w:t>97</w:t>
            </w:r>
          </w:p>
        </w:tc>
        <w:tc>
          <w:tcPr>
            <w:tcW w:w="571" w:type="pct"/>
            <w:tcBorders>
              <w:top w:val="single" w:color="000000" w:sz="4" w:space="0"/>
              <w:left w:val="single" w:color="000000" w:sz="4" w:space="0"/>
              <w:bottom w:val="single" w:color="000000" w:sz="4" w:space="0"/>
              <w:right w:val="single" w:color="000000" w:sz="4" w:space="0"/>
            </w:tcBorders>
            <w:vAlign w:val="center"/>
          </w:tcPr>
          <w:p w14:paraId="24EC8A6A">
            <w:pPr>
              <w:pStyle w:val="57"/>
              <w:jc w:val="center"/>
            </w:pPr>
            <w:r>
              <w:rPr>
                <w:rFonts w:hint="eastAsia"/>
              </w:rPr>
              <w:t>≥</w:t>
            </w:r>
            <w:r>
              <w:t>97</w:t>
            </w:r>
          </w:p>
        </w:tc>
        <w:tc>
          <w:tcPr>
            <w:tcW w:w="570" w:type="pct"/>
            <w:tcBorders>
              <w:top w:val="single" w:color="000000" w:sz="4" w:space="0"/>
              <w:left w:val="single" w:color="000000" w:sz="4" w:space="0"/>
              <w:bottom w:val="single" w:color="000000" w:sz="4" w:space="0"/>
              <w:right w:val="single" w:color="000000" w:sz="4" w:space="0"/>
            </w:tcBorders>
            <w:vAlign w:val="center"/>
          </w:tcPr>
          <w:p w14:paraId="54BF3900">
            <w:pPr>
              <w:pStyle w:val="57"/>
              <w:jc w:val="center"/>
            </w:pPr>
            <w:r>
              <w:rPr>
                <w:rFonts w:hint="eastAsia"/>
              </w:rPr>
              <w:t>预期</w:t>
            </w:r>
          </w:p>
        </w:tc>
      </w:tr>
      <w:tr w14:paraId="56666758">
        <w:tblPrEx>
          <w:tblCellMar>
            <w:top w:w="0" w:type="dxa"/>
            <w:left w:w="0" w:type="dxa"/>
            <w:bottom w:w="0" w:type="dxa"/>
            <w:right w:w="0" w:type="dxa"/>
          </w:tblCellMar>
        </w:tblPrEx>
        <w:trPr>
          <w:trHeight w:val="454" w:hRule="atLeast"/>
          <w:jc w:val="center"/>
        </w:trPr>
        <w:tc>
          <w:tcPr>
            <w:tcW w:w="353" w:type="pct"/>
            <w:tcBorders>
              <w:top w:val="single" w:color="000000" w:sz="4" w:space="0"/>
              <w:left w:val="single" w:color="000000" w:sz="4" w:space="0"/>
              <w:bottom w:val="single" w:color="000000" w:sz="4" w:space="0"/>
              <w:right w:val="single" w:color="000000" w:sz="4" w:space="0"/>
            </w:tcBorders>
            <w:vAlign w:val="center"/>
          </w:tcPr>
          <w:p w14:paraId="0A4D120F">
            <w:pPr>
              <w:pStyle w:val="57"/>
              <w:jc w:val="center"/>
            </w:pPr>
            <w:r>
              <w:t>5</w:t>
            </w:r>
          </w:p>
        </w:tc>
        <w:tc>
          <w:tcPr>
            <w:tcW w:w="2365" w:type="pct"/>
            <w:tcBorders>
              <w:top w:val="single" w:color="000000" w:sz="4" w:space="0"/>
              <w:left w:val="single" w:color="000000" w:sz="4" w:space="0"/>
              <w:bottom w:val="single" w:color="000000" w:sz="4" w:space="0"/>
              <w:right w:val="single" w:color="000000" w:sz="4" w:space="0"/>
            </w:tcBorders>
            <w:vAlign w:val="center"/>
          </w:tcPr>
          <w:p w14:paraId="37159E9B">
            <w:pPr>
              <w:pStyle w:val="57"/>
              <w:jc w:val="center"/>
            </w:pPr>
            <w:r>
              <w:rPr>
                <w:rFonts w:hint="eastAsia"/>
              </w:rPr>
              <w:t>集中式饮用水水源地达标建设完成率</w:t>
            </w:r>
            <w:r>
              <w:rPr>
                <w:vertAlign w:val="superscript"/>
              </w:rPr>
              <w:t>5</w:t>
            </w:r>
          </w:p>
        </w:tc>
        <w:tc>
          <w:tcPr>
            <w:tcW w:w="570" w:type="pct"/>
            <w:tcBorders>
              <w:top w:val="single" w:color="000000" w:sz="4" w:space="0"/>
              <w:left w:val="single" w:color="000000" w:sz="4" w:space="0"/>
              <w:bottom w:val="single" w:color="000000" w:sz="4" w:space="0"/>
              <w:right w:val="single" w:color="000000" w:sz="4" w:space="0"/>
            </w:tcBorders>
            <w:vAlign w:val="center"/>
          </w:tcPr>
          <w:p w14:paraId="541FCB4A">
            <w:pPr>
              <w:pStyle w:val="57"/>
              <w:jc w:val="center"/>
            </w:pPr>
            <w:r>
              <w:t>%</w:t>
            </w:r>
          </w:p>
        </w:tc>
        <w:tc>
          <w:tcPr>
            <w:tcW w:w="571" w:type="pct"/>
            <w:tcBorders>
              <w:top w:val="single" w:color="000000" w:sz="4" w:space="0"/>
              <w:left w:val="single" w:color="000000" w:sz="4" w:space="0"/>
              <w:bottom w:val="single" w:color="000000" w:sz="4" w:space="0"/>
              <w:right w:val="single" w:color="000000" w:sz="4" w:space="0"/>
            </w:tcBorders>
            <w:vAlign w:val="center"/>
          </w:tcPr>
          <w:p w14:paraId="4DF2D33D">
            <w:pPr>
              <w:pStyle w:val="57"/>
              <w:jc w:val="center"/>
            </w:pPr>
            <w:r>
              <w:t>100</w:t>
            </w:r>
          </w:p>
        </w:tc>
        <w:tc>
          <w:tcPr>
            <w:tcW w:w="571" w:type="pct"/>
            <w:tcBorders>
              <w:top w:val="single" w:color="000000" w:sz="4" w:space="0"/>
              <w:left w:val="single" w:color="000000" w:sz="4" w:space="0"/>
              <w:bottom w:val="single" w:color="000000" w:sz="4" w:space="0"/>
              <w:right w:val="single" w:color="000000" w:sz="4" w:space="0"/>
            </w:tcBorders>
            <w:vAlign w:val="center"/>
          </w:tcPr>
          <w:p w14:paraId="34676207">
            <w:pPr>
              <w:pStyle w:val="57"/>
              <w:jc w:val="center"/>
            </w:pPr>
            <w:r>
              <w:t>100</w:t>
            </w:r>
          </w:p>
        </w:tc>
        <w:tc>
          <w:tcPr>
            <w:tcW w:w="570" w:type="pct"/>
            <w:tcBorders>
              <w:top w:val="single" w:color="000000" w:sz="4" w:space="0"/>
              <w:left w:val="single" w:color="000000" w:sz="4" w:space="0"/>
              <w:bottom w:val="single" w:color="000000" w:sz="4" w:space="0"/>
              <w:right w:val="single" w:color="000000" w:sz="4" w:space="0"/>
            </w:tcBorders>
            <w:vAlign w:val="center"/>
          </w:tcPr>
          <w:p w14:paraId="6C58236D">
            <w:pPr>
              <w:pStyle w:val="57"/>
              <w:jc w:val="center"/>
              <w:rPr>
                <w:b/>
              </w:rPr>
            </w:pPr>
            <w:r>
              <w:rPr>
                <w:rFonts w:hint="eastAsia"/>
                <w:b/>
              </w:rPr>
              <w:t>约束</w:t>
            </w:r>
          </w:p>
        </w:tc>
      </w:tr>
      <w:tr w14:paraId="2C686602">
        <w:tblPrEx>
          <w:tblCellMar>
            <w:top w:w="0" w:type="dxa"/>
            <w:left w:w="0" w:type="dxa"/>
            <w:bottom w:w="0" w:type="dxa"/>
            <w:right w:w="0" w:type="dxa"/>
          </w:tblCellMar>
        </w:tblPrEx>
        <w:trPr>
          <w:trHeight w:val="454" w:hRule="atLeast"/>
          <w:jc w:val="center"/>
        </w:trPr>
        <w:tc>
          <w:tcPr>
            <w:tcW w:w="353" w:type="pct"/>
            <w:tcBorders>
              <w:top w:val="single" w:color="000000" w:sz="4" w:space="0"/>
              <w:left w:val="single" w:color="000000" w:sz="4" w:space="0"/>
              <w:bottom w:val="single" w:color="000000" w:sz="4" w:space="0"/>
              <w:right w:val="single" w:color="000000" w:sz="4" w:space="0"/>
            </w:tcBorders>
            <w:vAlign w:val="center"/>
          </w:tcPr>
          <w:p w14:paraId="19EB2FED">
            <w:pPr>
              <w:pStyle w:val="57"/>
              <w:jc w:val="center"/>
            </w:pPr>
            <w:r>
              <w:t>6</w:t>
            </w:r>
          </w:p>
        </w:tc>
        <w:tc>
          <w:tcPr>
            <w:tcW w:w="2365" w:type="pct"/>
            <w:tcBorders>
              <w:top w:val="single" w:color="000000" w:sz="4" w:space="0"/>
              <w:left w:val="single" w:color="000000" w:sz="4" w:space="0"/>
              <w:bottom w:val="single" w:color="000000" w:sz="4" w:space="0"/>
              <w:right w:val="single" w:color="000000" w:sz="4" w:space="0"/>
            </w:tcBorders>
            <w:vAlign w:val="center"/>
          </w:tcPr>
          <w:p w14:paraId="3F2DC53F">
            <w:pPr>
              <w:pStyle w:val="57"/>
              <w:jc w:val="center"/>
            </w:pPr>
            <w:r>
              <w:rPr>
                <w:rFonts w:hint="eastAsia"/>
              </w:rPr>
              <w:t>耕地灌溉面积率</w:t>
            </w:r>
          </w:p>
        </w:tc>
        <w:tc>
          <w:tcPr>
            <w:tcW w:w="570" w:type="pct"/>
            <w:tcBorders>
              <w:top w:val="single" w:color="000000" w:sz="4" w:space="0"/>
              <w:left w:val="single" w:color="000000" w:sz="4" w:space="0"/>
              <w:bottom w:val="single" w:color="000000" w:sz="4" w:space="0"/>
              <w:right w:val="single" w:color="000000" w:sz="4" w:space="0"/>
            </w:tcBorders>
            <w:vAlign w:val="center"/>
          </w:tcPr>
          <w:p w14:paraId="4D483DD5">
            <w:pPr>
              <w:pStyle w:val="57"/>
              <w:jc w:val="center"/>
            </w:pPr>
            <w:r>
              <w:t>%</w:t>
            </w:r>
          </w:p>
        </w:tc>
        <w:tc>
          <w:tcPr>
            <w:tcW w:w="571" w:type="pct"/>
            <w:tcBorders>
              <w:top w:val="single" w:color="000000" w:sz="4" w:space="0"/>
              <w:left w:val="single" w:color="000000" w:sz="4" w:space="0"/>
              <w:bottom w:val="single" w:color="000000" w:sz="4" w:space="0"/>
              <w:right w:val="single" w:color="000000" w:sz="4" w:space="0"/>
            </w:tcBorders>
            <w:vAlign w:val="center"/>
          </w:tcPr>
          <w:p w14:paraId="26AC1307">
            <w:pPr>
              <w:pStyle w:val="57"/>
              <w:jc w:val="center"/>
            </w:pPr>
            <w:r>
              <w:t>97.8</w:t>
            </w:r>
          </w:p>
        </w:tc>
        <w:tc>
          <w:tcPr>
            <w:tcW w:w="571" w:type="pct"/>
            <w:tcBorders>
              <w:top w:val="single" w:color="000000" w:sz="4" w:space="0"/>
              <w:left w:val="single" w:color="000000" w:sz="4" w:space="0"/>
              <w:bottom w:val="single" w:color="000000" w:sz="4" w:space="0"/>
              <w:right w:val="single" w:color="000000" w:sz="4" w:space="0"/>
            </w:tcBorders>
            <w:vAlign w:val="center"/>
          </w:tcPr>
          <w:p w14:paraId="419567BF">
            <w:pPr>
              <w:pStyle w:val="57"/>
              <w:jc w:val="center"/>
            </w:pPr>
            <w:r>
              <w:t>98</w:t>
            </w:r>
          </w:p>
        </w:tc>
        <w:tc>
          <w:tcPr>
            <w:tcW w:w="570" w:type="pct"/>
            <w:tcBorders>
              <w:top w:val="single" w:color="000000" w:sz="4" w:space="0"/>
              <w:left w:val="single" w:color="000000" w:sz="4" w:space="0"/>
              <w:bottom w:val="single" w:color="000000" w:sz="4" w:space="0"/>
              <w:right w:val="single" w:color="000000" w:sz="4" w:space="0"/>
            </w:tcBorders>
            <w:vAlign w:val="center"/>
          </w:tcPr>
          <w:p w14:paraId="2022A53D">
            <w:pPr>
              <w:pStyle w:val="57"/>
              <w:jc w:val="center"/>
            </w:pPr>
            <w:r>
              <w:rPr>
                <w:rFonts w:hint="eastAsia"/>
              </w:rPr>
              <w:t>预期</w:t>
            </w:r>
          </w:p>
        </w:tc>
      </w:tr>
      <w:tr w14:paraId="0CAB569A">
        <w:tblPrEx>
          <w:tblCellMar>
            <w:top w:w="0" w:type="dxa"/>
            <w:left w:w="0" w:type="dxa"/>
            <w:bottom w:w="0" w:type="dxa"/>
            <w:right w:w="0" w:type="dxa"/>
          </w:tblCellMar>
        </w:tblPrEx>
        <w:trPr>
          <w:trHeight w:val="454" w:hRule="atLeast"/>
          <w:jc w:val="center"/>
        </w:trPr>
        <w:tc>
          <w:tcPr>
            <w:tcW w:w="353" w:type="pct"/>
            <w:tcBorders>
              <w:top w:val="single" w:color="000000" w:sz="4" w:space="0"/>
              <w:left w:val="single" w:color="000000" w:sz="4" w:space="0"/>
              <w:bottom w:val="single" w:color="000000" w:sz="4" w:space="0"/>
              <w:right w:val="single" w:color="000000" w:sz="4" w:space="0"/>
            </w:tcBorders>
            <w:vAlign w:val="center"/>
          </w:tcPr>
          <w:p w14:paraId="4C6442E9">
            <w:pPr>
              <w:pStyle w:val="57"/>
              <w:jc w:val="center"/>
            </w:pPr>
            <w:r>
              <w:t>7</w:t>
            </w:r>
          </w:p>
        </w:tc>
        <w:tc>
          <w:tcPr>
            <w:tcW w:w="2365" w:type="pct"/>
            <w:tcBorders>
              <w:top w:val="single" w:color="000000" w:sz="4" w:space="0"/>
              <w:left w:val="single" w:color="000000" w:sz="4" w:space="0"/>
              <w:bottom w:val="single" w:color="000000" w:sz="4" w:space="0"/>
              <w:right w:val="single" w:color="000000" w:sz="4" w:space="0"/>
            </w:tcBorders>
            <w:vAlign w:val="center"/>
          </w:tcPr>
          <w:p w14:paraId="28BA582D">
            <w:pPr>
              <w:pStyle w:val="57"/>
              <w:jc w:val="center"/>
            </w:pPr>
            <w:r>
              <w:rPr>
                <w:rFonts w:hint="eastAsia"/>
              </w:rPr>
              <w:t>万元</w:t>
            </w:r>
            <w:r>
              <w:t>GDP</w:t>
            </w:r>
            <w:r>
              <w:rPr>
                <w:rFonts w:hint="eastAsia"/>
              </w:rPr>
              <w:t>用水量下降率</w:t>
            </w:r>
          </w:p>
        </w:tc>
        <w:tc>
          <w:tcPr>
            <w:tcW w:w="570" w:type="pct"/>
            <w:tcBorders>
              <w:top w:val="single" w:color="000000" w:sz="4" w:space="0"/>
              <w:left w:val="single" w:color="000000" w:sz="4" w:space="0"/>
              <w:bottom w:val="single" w:color="000000" w:sz="4" w:space="0"/>
              <w:right w:val="single" w:color="000000" w:sz="4" w:space="0"/>
            </w:tcBorders>
            <w:vAlign w:val="center"/>
          </w:tcPr>
          <w:p w14:paraId="079FDEBF">
            <w:pPr>
              <w:pStyle w:val="57"/>
              <w:jc w:val="center"/>
            </w:pPr>
            <w:r>
              <w:t>%</w:t>
            </w:r>
          </w:p>
        </w:tc>
        <w:tc>
          <w:tcPr>
            <w:tcW w:w="571" w:type="pct"/>
            <w:tcBorders>
              <w:top w:val="single" w:color="000000" w:sz="4" w:space="0"/>
              <w:left w:val="single" w:color="000000" w:sz="4" w:space="0"/>
              <w:bottom w:val="single" w:color="000000" w:sz="4" w:space="0"/>
              <w:right w:val="single" w:color="000000" w:sz="4" w:space="0"/>
            </w:tcBorders>
            <w:vAlign w:val="center"/>
          </w:tcPr>
          <w:p w14:paraId="1EA013C1">
            <w:pPr>
              <w:pStyle w:val="57"/>
              <w:jc w:val="center"/>
            </w:pPr>
            <w:r>
              <w:t>—</w:t>
            </w:r>
          </w:p>
        </w:tc>
        <w:tc>
          <w:tcPr>
            <w:tcW w:w="571" w:type="pct"/>
            <w:tcBorders>
              <w:top w:val="single" w:color="000000" w:sz="4" w:space="0"/>
              <w:left w:val="single" w:color="000000" w:sz="4" w:space="0"/>
              <w:bottom w:val="single" w:color="000000" w:sz="4" w:space="0"/>
              <w:right w:val="single" w:color="000000" w:sz="4" w:space="0"/>
            </w:tcBorders>
            <w:vAlign w:val="center"/>
          </w:tcPr>
          <w:p w14:paraId="0F0D38B7">
            <w:pPr>
              <w:pStyle w:val="57"/>
              <w:jc w:val="center"/>
            </w:pPr>
            <w:r>
              <w:rPr>
                <w:rFonts w:hint="eastAsia"/>
              </w:rPr>
              <w:t>省下达</w:t>
            </w:r>
          </w:p>
        </w:tc>
        <w:tc>
          <w:tcPr>
            <w:tcW w:w="570" w:type="pct"/>
            <w:tcBorders>
              <w:top w:val="single" w:color="000000" w:sz="4" w:space="0"/>
              <w:left w:val="single" w:color="000000" w:sz="4" w:space="0"/>
              <w:bottom w:val="single" w:color="000000" w:sz="4" w:space="0"/>
              <w:right w:val="single" w:color="000000" w:sz="4" w:space="0"/>
            </w:tcBorders>
            <w:vAlign w:val="center"/>
          </w:tcPr>
          <w:p w14:paraId="6AB22BC2">
            <w:pPr>
              <w:pStyle w:val="57"/>
              <w:jc w:val="center"/>
              <w:rPr>
                <w:b/>
              </w:rPr>
            </w:pPr>
            <w:r>
              <w:rPr>
                <w:rFonts w:hint="eastAsia"/>
                <w:b/>
              </w:rPr>
              <w:t>约束</w:t>
            </w:r>
          </w:p>
        </w:tc>
      </w:tr>
      <w:tr w14:paraId="31714E07">
        <w:tblPrEx>
          <w:tblCellMar>
            <w:top w:w="0" w:type="dxa"/>
            <w:left w:w="0" w:type="dxa"/>
            <w:bottom w:w="0" w:type="dxa"/>
            <w:right w:w="0" w:type="dxa"/>
          </w:tblCellMar>
        </w:tblPrEx>
        <w:trPr>
          <w:trHeight w:val="454" w:hRule="atLeast"/>
          <w:jc w:val="center"/>
        </w:trPr>
        <w:tc>
          <w:tcPr>
            <w:tcW w:w="353" w:type="pct"/>
            <w:tcBorders>
              <w:top w:val="single" w:color="000000" w:sz="4" w:space="0"/>
              <w:left w:val="single" w:color="000000" w:sz="4" w:space="0"/>
              <w:bottom w:val="single" w:color="000000" w:sz="4" w:space="0"/>
              <w:right w:val="single" w:color="000000" w:sz="4" w:space="0"/>
            </w:tcBorders>
            <w:vAlign w:val="center"/>
          </w:tcPr>
          <w:p w14:paraId="6E12C3F9">
            <w:pPr>
              <w:pStyle w:val="57"/>
              <w:jc w:val="center"/>
            </w:pPr>
            <w:r>
              <w:t>8</w:t>
            </w:r>
          </w:p>
        </w:tc>
        <w:tc>
          <w:tcPr>
            <w:tcW w:w="2365" w:type="pct"/>
            <w:tcBorders>
              <w:top w:val="single" w:color="000000" w:sz="4" w:space="0"/>
              <w:left w:val="single" w:color="000000" w:sz="4" w:space="0"/>
              <w:bottom w:val="single" w:color="000000" w:sz="4" w:space="0"/>
              <w:right w:val="single" w:color="000000" w:sz="4" w:space="0"/>
            </w:tcBorders>
            <w:vAlign w:val="center"/>
          </w:tcPr>
          <w:p w14:paraId="6D1BDCB8">
            <w:pPr>
              <w:pStyle w:val="57"/>
              <w:jc w:val="center"/>
            </w:pPr>
            <w:r>
              <w:rPr>
                <w:rFonts w:hint="eastAsia"/>
              </w:rPr>
              <w:t>农田灌溉水有效利用系数</w:t>
            </w:r>
          </w:p>
        </w:tc>
        <w:tc>
          <w:tcPr>
            <w:tcW w:w="570" w:type="pct"/>
            <w:tcBorders>
              <w:top w:val="single" w:color="000000" w:sz="4" w:space="0"/>
              <w:left w:val="single" w:color="000000" w:sz="4" w:space="0"/>
              <w:bottom w:val="single" w:color="000000" w:sz="4" w:space="0"/>
              <w:right w:val="single" w:color="000000" w:sz="4" w:space="0"/>
            </w:tcBorders>
            <w:vAlign w:val="center"/>
          </w:tcPr>
          <w:p w14:paraId="477D3F7E">
            <w:pPr>
              <w:pStyle w:val="57"/>
              <w:jc w:val="center"/>
            </w:pPr>
          </w:p>
        </w:tc>
        <w:tc>
          <w:tcPr>
            <w:tcW w:w="571" w:type="pct"/>
            <w:tcBorders>
              <w:top w:val="single" w:color="000000" w:sz="4" w:space="0"/>
              <w:left w:val="single" w:color="000000" w:sz="4" w:space="0"/>
              <w:bottom w:val="single" w:color="000000" w:sz="4" w:space="0"/>
              <w:right w:val="single" w:color="000000" w:sz="4" w:space="0"/>
            </w:tcBorders>
            <w:vAlign w:val="center"/>
          </w:tcPr>
          <w:p w14:paraId="67DF3EA9">
            <w:pPr>
              <w:pStyle w:val="57"/>
              <w:jc w:val="center"/>
            </w:pPr>
            <w:r>
              <w:t>0.636</w:t>
            </w:r>
          </w:p>
        </w:tc>
        <w:tc>
          <w:tcPr>
            <w:tcW w:w="571" w:type="pct"/>
            <w:tcBorders>
              <w:top w:val="single" w:color="000000" w:sz="4" w:space="0"/>
              <w:left w:val="single" w:color="000000" w:sz="4" w:space="0"/>
              <w:bottom w:val="single" w:color="000000" w:sz="4" w:space="0"/>
              <w:right w:val="single" w:color="000000" w:sz="4" w:space="0"/>
            </w:tcBorders>
            <w:vAlign w:val="center"/>
          </w:tcPr>
          <w:p w14:paraId="02322FD9">
            <w:pPr>
              <w:pStyle w:val="57"/>
              <w:jc w:val="center"/>
            </w:pPr>
            <w:r>
              <w:t>0.65</w:t>
            </w:r>
          </w:p>
        </w:tc>
        <w:tc>
          <w:tcPr>
            <w:tcW w:w="570" w:type="pct"/>
            <w:tcBorders>
              <w:top w:val="single" w:color="000000" w:sz="4" w:space="0"/>
              <w:left w:val="single" w:color="000000" w:sz="4" w:space="0"/>
              <w:bottom w:val="single" w:color="000000" w:sz="4" w:space="0"/>
              <w:right w:val="single" w:color="000000" w:sz="4" w:space="0"/>
            </w:tcBorders>
            <w:vAlign w:val="center"/>
          </w:tcPr>
          <w:p w14:paraId="12BA4684">
            <w:pPr>
              <w:pStyle w:val="57"/>
              <w:jc w:val="center"/>
            </w:pPr>
            <w:r>
              <w:rPr>
                <w:rFonts w:hint="eastAsia"/>
              </w:rPr>
              <w:t>预期</w:t>
            </w:r>
          </w:p>
        </w:tc>
      </w:tr>
      <w:tr w14:paraId="68199BF3">
        <w:tblPrEx>
          <w:tblCellMar>
            <w:top w:w="0" w:type="dxa"/>
            <w:left w:w="0" w:type="dxa"/>
            <w:bottom w:w="0" w:type="dxa"/>
            <w:right w:w="0" w:type="dxa"/>
          </w:tblCellMar>
        </w:tblPrEx>
        <w:trPr>
          <w:trHeight w:val="454" w:hRule="atLeast"/>
          <w:jc w:val="center"/>
        </w:trPr>
        <w:tc>
          <w:tcPr>
            <w:tcW w:w="353" w:type="pct"/>
            <w:tcBorders>
              <w:top w:val="single" w:color="000000" w:sz="4" w:space="0"/>
              <w:left w:val="single" w:color="000000" w:sz="4" w:space="0"/>
              <w:bottom w:val="single" w:color="000000" w:sz="4" w:space="0"/>
              <w:right w:val="single" w:color="000000" w:sz="4" w:space="0"/>
            </w:tcBorders>
            <w:vAlign w:val="center"/>
          </w:tcPr>
          <w:p w14:paraId="5CDD76BC">
            <w:pPr>
              <w:pStyle w:val="57"/>
              <w:jc w:val="center"/>
            </w:pPr>
            <w:r>
              <w:t>9</w:t>
            </w:r>
          </w:p>
        </w:tc>
        <w:tc>
          <w:tcPr>
            <w:tcW w:w="2365" w:type="pct"/>
            <w:tcBorders>
              <w:top w:val="single" w:color="000000" w:sz="4" w:space="0"/>
              <w:left w:val="single" w:color="000000" w:sz="4" w:space="0"/>
              <w:bottom w:val="single" w:color="000000" w:sz="4" w:space="0"/>
              <w:right w:val="single" w:color="000000" w:sz="4" w:space="0"/>
            </w:tcBorders>
            <w:vAlign w:val="center"/>
          </w:tcPr>
          <w:p w14:paraId="033F7C3D">
            <w:pPr>
              <w:pStyle w:val="57"/>
              <w:jc w:val="center"/>
            </w:pPr>
            <w:r>
              <w:rPr>
                <w:rFonts w:hint="eastAsia"/>
              </w:rPr>
              <w:t>重点水利工程</w:t>
            </w:r>
            <w:r>
              <w:rPr>
                <w:vertAlign w:val="superscript"/>
              </w:rPr>
              <w:t>6</w:t>
            </w:r>
            <w:r>
              <w:rPr>
                <w:rFonts w:hint="eastAsia"/>
              </w:rPr>
              <w:t>数字化率</w:t>
            </w:r>
          </w:p>
        </w:tc>
        <w:tc>
          <w:tcPr>
            <w:tcW w:w="570" w:type="pct"/>
            <w:tcBorders>
              <w:top w:val="single" w:color="000000" w:sz="4" w:space="0"/>
              <w:left w:val="single" w:color="000000" w:sz="4" w:space="0"/>
              <w:bottom w:val="single" w:color="000000" w:sz="4" w:space="0"/>
              <w:right w:val="single" w:color="000000" w:sz="4" w:space="0"/>
            </w:tcBorders>
            <w:vAlign w:val="center"/>
          </w:tcPr>
          <w:p w14:paraId="35C8D32D">
            <w:pPr>
              <w:pStyle w:val="57"/>
              <w:jc w:val="center"/>
            </w:pPr>
            <w:r>
              <w:t>%</w:t>
            </w:r>
          </w:p>
        </w:tc>
        <w:tc>
          <w:tcPr>
            <w:tcW w:w="571" w:type="pct"/>
            <w:tcBorders>
              <w:top w:val="single" w:color="000000" w:sz="4" w:space="0"/>
              <w:left w:val="single" w:color="000000" w:sz="4" w:space="0"/>
              <w:bottom w:val="single" w:color="000000" w:sz="4" w:space="0"/>
              <w:right w:val="single" w:color="000000" w:sz="4" w:space="0"/>
            </w:tcBorders>
            <w:vAlign w:val="center"/>
          </w:tcPr>
          <w:p w14:paraId="699DB045">
            <w:pPr>
              <w:pStyle w:val="57"/>
              <w:jc w:val="center"/>
            </w:pPr>
            <w:r>
              <w:t>—</w:t>
            </w:r>
          </w:p>
        </w:tc>
        <w:tc>
          <w:tcPr>
            <w:tcW w:w="571" w:type="pct"/>
            <w:tcBorders>
              <w:top w:val="single" w:color="000000" w:sz="4" w:space="0"/>
              <w:left w:val="single" w:color="000000" w:sz="4" w:space="0"/>
              <w:bottom w:val="single" w:color="000000" w:sz="4" w:space="0"/>
              <w:right w:val="single" w:color="000000" w:sz="4" w:space="0"/>
            </w:tcBorders>
            <w:vAlign w:val="center"/>
          </w:tcPr>
          <w:p w14:paraId="1E7FD99A">
            <w:pPr>
              <w:pStyle w:val="57"/>
              <w:jc w:val="center"/>
            </w:pPr>
            <w:r>
              <w:rPr>
                <w:rFonts w:hint="eastAsia"/>
              </w:rPr>
              <w:t>≥</w:t>
            </w:r>
            <w:r>
              <w:t>85</w:t>
            </w:r>
          </w:p>
        </w:tc>
        <w:tc>
          <w:tcPr>
            <w:tcW w:w="570" w:type="pct"/>
            <w:tcBorders>
              <w:top w:val="single" w:color="000000" w:sz="4" w:space="0"/>
              <w:left w:val="single" w:color="000000" w:sz="4" w:space="0"/>
              <w:bottom w:val="single" w:color="000000" w:sz="4" w:space="0"/>
              <w:right w:val="single" w:color="000000" w:sz="4" w:space="0"/>
            </w:tcBorders>
            <w:vAlign w:val="center"/>
          </w:tcPr>
          <w:p w14:paraId="20E510F5">
            <w:pPr>
              <w:pStyle w:val="57"/>
              <w:jc w:val="center"/>
            </w:pPr>
            <w:r>
              <w:rPr>
                <w:rFonts w:hint="eastAsia"/>
              </w:rPr>
              <w:t>预期</w:t>
            </w:r>
          </w:p>
        </w:tc>
      </w:tr>
      <w:tr w14:paraId="5E865DFA">
        <w:tblPrEx>
          <w:tblCellMar>
            <w:top w:w="0" w:type="dxa"/>
            <w:left w:w="0" w:type="dxa"/>
            <w:bottom w:w="0" w:type="dxa"/>
            <w:right w:w="0" w:type="dxa"/>
          </w:tblCellMar>
        </w:tblPrEx>
        <w:trPr>
          <w:trHeight w:val="454" w:hRule="atLeast"/>
          <w:jc w:val="center"/>
        </w:trPr>
        <w:tc>
          <w:tcPr>
            <w:tcW w:w="353" w:type="pct"/>
            <w:tcBorders>
              <w:top w:val="single" w:color="000000" w:sz="4" w:space="0"/>
              <w:left w:val="single" w:color="000000" w:sz="4" w:space="0"/>
              <w:bottom w:val="single" w:color="000000" w:sz="4" w:space="0"/>
              <w:right w:val="single" w:color="000000" w:sz="4" w:space="0"/>
            </w:tcBorders>
            <w:vAlign w:val="center"/>
          </w:tcPr>
          <w:p w14:paraId="7DF2E670">
            <w:pPr>
              <w:pStyle w:val="57"/>
              <w:jc w:val="center"/>
            </w:pPr>
            <w:r>
              <w:t>10</w:t>
            </w:r>
          </w:p>
        </w:tc>
        <w:tc>
          <w:tcPr>
            <w:tcW w:w="2365" w:type="pct"/>
            <w:tcBorders>
              <w:top w:val="single" w:color="000000" w:sz="4" w:space="0"/>
              <w:left w:val="single" w:color="000000" w:sz="4" w:space="0"/>
              <w:bottom w:val="single" w:color="000000" w:sz="4" w:space="0"/>
              <w:right w:val="single" w:color="000000" w:sz="4" w:space="0"/>
            </w:tcBorders>
            <w:vAlign w:val="center"/>
          </w:tcPr>
          <w:p w14:paraId="45A4825E">
            <w:pPr>
              <w:pStyle w:val="57"/>
              <w:jc w:val="center"/>
            </w:pPr>
            <w:r>
              <w:rPr>
                <w:rFonts w:hint="eastAsia"/>
              </w:rPr>
              <w:t>河网（区域）生态水位保证率</w:t>
            </w:r>
            <w:r>
              <w:rPr>
                <w:vertAlign w:val="superscript"/>
              </w:rPr>
              <w:t>7</w:t>
            </w:r>
          </w:p>
        </w:tc>
        <w:tc>
          <w:tcPr>
            <w:tcW w:w="570" w:type="pct"/>
            <w:tcBorders>
              <w:top w:val="single" w:color="000000" w:sz="4" w:space="0"/>
              <w:left w:val="single" w:color="000000" w:sz="4" w:space="0"/>
              <w:bottom w:val="single" w:color="000000" w:sz="4" w:space="0"/>
              <w:right w:val="single" w:color="000000" w:sz="4" w:space="0"/>
            </w:tcBorders>
            <w:vAlign w:val="center"/>
          </w:tcPr>
          <w:p w14:paraId="58AEB496">
            <w:pPr>
              <w:pStyle w:val="57"/>
              <w:jc w:val="center"/>
            </w:pPr>
            <w:r>
              <w:t>%</w:t>
            </w:r>
          </w:p>
        </w:tc>
        <w:tc>
          <w:tcPr>
            <w:tcW w:w="571" w:type="pct"/>
            <w:tcBorders>
              <w:top w:val="single" w:color="000000" w:sz="4" w:space="0"/>
              <w:left w:val="single" w:color="000000" w:sz="4" w:space="0"/>
              <w:bottom w:val="single" w:color="000000" w:sz="4" w:space="0"/>
              <w:right w:val="single" w:color="000000" w:sz="4" w:space="0"/>
            </w:tcBorders>
            <w:vAlign w:val="center"/>
          </w:tcPr>
          <w:p w14:paraId="30636028">
            <w:pPr>
              <w:pStyle w:val="57"/>
              <w:jc w:val="center"/>
            </w:pPr>
            <w:r>
              <w:t>90</w:t>
            </w:r>
          </w:p>
        </w:tc>
        <w:tc>
          <w:tcPr>
            <w:tcW w:w="571" w:type="pct"/>
            <w:tcBorders>
              <w:top w:val="single" w:color="000000" w:sz="4" w:space="0"/>
              <w:left w:val="single" w:color="000000" w:sz="4" w:space="0"/>
              <w:bottom w:val="single" w:color="000000" w:sz="4" w:space="0"/>
              <w:right w:val="single" w:color="000000" w:sz="4" w:space="0"/>
            </w:tcBorders>
            <w:vAlign w:val="center"/>
          </w:tcPr>
          <w:p w14:paraId="68C9AF98">
            <w:pPr>
              <w:pStyle w:val="57"/>
              <w:jc w:val="center"/>
            </w:pPr>
            <w:r>
              <w:rPr>
                <w:rFonts w:hint="eastAsia"/>
              </w:rPr>
              <w:t>≥</w:t>
            </w:r>
            <w:r>
              <w:t>90</w:t>
            </w:r>
          </w:p>
        </w:tc>
        <w:tc>
          <w:tcPr>
            <w:tcW w:w="570" w:type="pct"/>
            <w:tcBorders>
              <w:top w:val="single" w:color="000000" w:sz="4" w:space="0"/>
              <w:left w:val="single" w:color="000000" w:sz="4" w:space="0"/>
              <w:bottom w:val="single" w:color="000000" w:sz="4" w:space="0"/>
              <w:right w:val="single" w:color="000000" w:sz="4" w:space="0"/>
            </w:tcBorders>
            <w:vAlign w:val="center"/>
          </w:tcPr>
          <w:p w14:paraId="5E1E7C6A">
            <w:pPr>
              <w:pStyle w:val="57"/>
              <w:jc w:val="center"/>
              <w:rPr>
                <w:b/>
              </w:rPr>
            </w:pPr>
            <w:r>
              <w:rPr>
                <w:rFonts w:hint="eastAsia"/>
                <w:b/>
              </w:rPr>
              <w:t>约束</w:t>
            </w:r>
          </w:p>
        </w:tc>
      </w:tr>
      <w:tr w14:paraId="352D6451">
        <w:tblPrEx>
          <w:tblCellMar>
            <w:top w:w="0" w:type="dxa"/>
            <w:left w:w="0" w:type="dxa"/>
            <w:bottom w:w="0" w:type="dxa"/>
            <w:right w:w="0" w:type="dxa"/>
          </w:tblCellMar>
        </w:tblPrEx>
        <w:trPr>
          <w:trHeight w:val="454" w:hRule="atLeast"/>
          <w:jc w:val="center"/>
        </w:trPr>
        <w:tc>
          <w:tcPr>
            <w:tcW w:w="353" w:type="pct"/>
            <w:tcBorders>
              <w:top w:val="single" w:color="000000" w:sz="4" w:space="0"/>
              <w:left w:val="single" w:color="000000" w:sz="4" w:space="0"/>
              <w:bottom w:val="single" w:color="000000" w:sz="4" w:space="0"/>
              <w:right w:val="single" w:color="000000" w:sz="4" w:space="0"/>
            </w:tcBorders>
            <w:vAlign w:val="center"/>
          </w:tcPr>
          <w:p w14:paraId="37D0A578">
            <w:pPr>
              <w:pStyle w:val="57"/>
              <w:jc w:val="center"/>
            </w:pPr>
            <w:r>
              <w:t>11</w:t>
            </w:r>
          </w:p>
        </w:tc>
        <w:tc>
          <w:tcPr>
            <w:tcW w:w="2365" w:type="pct"/>
            <w:tcBorders>
              <w:top w:val="single" w:color="000000" w:sz="4" w:space="0"/>
              <w:left w:val="single" w:color="000000" w:sz="4" w:space="0"/>
              <w:bottom w:val="single" w:color="000000" w:sz="4" w:space="0"/>
              <w:right w:val="single" w:color="000000" w:sz="4" w:space="0"/>
            </w:tcBorders>
            <w:vAlign w:val="center"/>
          </w:tcPr>
          <w:p w14:paraId="1D248063">
            <w:pPr>
              <w:pStyle w:val="57"/>
              <w:jc w:val="center"/>
            </w:pPr>
            <w:r>
              <w:rPr>
                <w:rFonts w:hint="eastAsia"/>
              </w:rPr>
              <w:t>重点河湖</w:t>
            </w:r>
            <w:r>
              <w:rPr>
                <w:vertAlign w:val="superscript"/>
              </w:rPr>
              <w:t>8</w:t>
            </w:r>
            <w:r>
              <w:rPr>
                <w:rFonts w:hint="eastAsia"/>
              </w:rPr>
              <w:t>岸线功能区达标率</w:t>
            </w:r>
          </w:p>
        </w:tc>
        <w:tc>
          <w:tcPr>
            <w:tcW w:w="570" w:type="pct"/>
            <w:tcBorders>
              <w:top w:val="single" w:color="000000" w:sz="4" w:space="0"/>
              <w:left w:val="single" w:color="000000" w:sz="4" w:space="0"/>
              <w:bottom w:val="single" w:color="000000" w:sz="4" w:space="0"/>
              <w:right w:val="single" w:color="000000" w:sz="4" w:space="0"/>
            </w:tcBorders>
            <w:vAlign w:val="center"/>
          </w:tcPr>
          <w:p w14:paraId="705C0414">
            <w:pPr>
              <w:pStyle w:val="57"/>
              <w:jc w:val="center"/>
            </w:pPr>
            <w:r>
              <w:t>%</w:t>
            </w:r>
          </w:p>
        </w:tc>
        <w:tc>
          <w:tcPr>
            <w:tcW w:w="571" w:type="pct"/>
            <w:tcBorders>
              <w:top w:val="single" w:color="000000" w:sz="4" w:space="0"/>
              <w:left w:val="single" w:color="000000" w:sz="4" w:space="0"/>
              <w:bottom w:val="single" w:color="000000" w:sz="4" w:space="0"/>
              <w:right w:val="single" w:color="000000" w:sz="4" w:space="0"/>
            </w:tcBorders>
            <w:vAlign w:val="center"/>
          </w:tcPr>
          <w:p w14:paraId="4F433B02">
            <w:pPr>
              <w:pStyle w:val="57"/>
              <w:jc w:val="center"/>
            </w:pPr>
            <w:r>
              <w:t>80</w:t>
            </w:r>
          </w:p>
        </w:tc>
        <w:tc>
          <w:tcPr>
            <w:tcW w:w="571" w:type="pct"/>
            <w:tcBorders>
              <w:top w:val="single" w:color="000000" w:sz="4" w:space="0"/>
              <w:left w:val="single" w:color="000000" w:sz="4" w:space="0"/>
              <w:bottom w:val="single" w:color="000000" w:sz="4" w:space="0"/>
              <w:right w:val="single" w:color="000000" w:sz="4" w:space="0"/>
            </w:tcBorders>
            <w:vAlign w:val="center"/>
          </w:tcPr>
          <w:p w14:paraId="5B782D12">
            <w:pPr>
              <w:pStyle w:val="57"/>
              <w:jc w:val="center"/>
            </w:pPr>
            <w:r>
              <w:rPr>
                <w:rFonts w:hint="eastAsia"/>
              </w:rPr>
              <w:t>≥</w:t>
            </w:r>
            <w:r>
              <w:t>90</w:t>
            </w:r>
          </w:p>
        </w:tc>
        <w:tc>
          <w:tcPr>
            <w:tcW w:w="570" w:type="pct"/>
            <w:tcBorders>
              <w:top w:val="single" w:color="000000" w:sz="4" w:space="0"/>
              <w:left w:val="single" w:color="000000" w:sz="4" w:space="0"/>
              <w:bottom w:val="single" w:color="000000" w:sz="4" w:space="0"/>
              <w:right w:val="single" w:color="000000" w:sz="4" w:space="0"/>
            </w:tcBorders>
            <w:vAlign w:val="center"/>
          </w:tcPr>
          <w:p w14:paraId="509CAA05">
            <w:pPr>
              <w:pStyle w:val="57"/>
              <w:jc w:val="center"/>
            </w:pPr>
            <w:r>
              <w:rPr>
                <w:rFonts w:hint="eastAsia"/>
              </w:rPr>
              <w:t>预期</w:t>
            </w:r>
          </w:p>
        </w:tc>
      </w:tr>
      <w:tr w14:paraId="76A29AED">
        <w:tblPrEx>
          <w:tblCellMar>
            <w:top w:w="0" w:type="dxa"/>
            <w:left w:w="0" w:type="dxa"/>
            <w:bottom w:w="0" w:type="dxa"/>
            <w:right w:w="0" w:type="dxa"/>
          </w:tblCellMar>
        </w:tblPrEx>
        <w:trPr>
          <w:trHeight w:val="454" w:hRule="atLeast"/>
          <w:jc w:val="center"/>
        </w:trPr>
        <w:tc>
          <w:tcPr>
            <w:tcW w:w="353" w:type="pct"/>
            <w:tcBorders>
              <w:top w:val="single" w:color="000000" w:sz="4" w:space="0"/>
              <w:left w:val="single" w:color="000000" w:sz="4" w:space="0"/>
              <w:bottom w:val="single" w:color="000000" w:sz="4" w:space="0"/>
              <w:right w:val="single" w:color="000000" w:sz="4" w:space="0"/>
            </w:tcBorders>
            <w:vAlign w:val="center"/>
          </w:tcPr>
          <w:p w14:paraId="2F4D1E51">
            <w:pPr>
              <w:pStyle w:val="57"/>
              <w:jc w:val="center"/>
            </w:pPr>
            <w:r>
              <w:t>12</w:t>
            </w:r>
          </w:p>
        </w:tc>
        <w:tc>
          <w:tcPr>
            <w:tcW w:w="2365" w:type="pct"/>
            <w:tcBorders>
              <w:top w:val="single" w:color="000000" w:sz="4" w:space="0"/>
              <w:left w:val="single" w:color="000000" w:sz="4" w:space="0"/>
              <w:bottom w:val="single" w:color="000000" w:sz="4" w:space="0"/>
              <w:right w:val="single" w:color="000000" w:sz="4" w:space="0"/>
            </w:tcBorders>
            <w:vAlign w:val="center"/>
          </w:tcPr>
          <w:p w14:paraId="4C8E6EC6">
            <w:pPr>
              <w:pStyle w:val="57"/>
              <w:jc w:val="center"/>
            </w:pPr>
            <w:r>
              <w:rPr>
                <w:rFonts w:hint="eastAsia"/>
              </w:rPr>
              <w:t>水土保持率</w:t>
            </w:r>
          </w:p>
        </w:tc>
        <w:tc>
          <w:tcPr>
            <w:tcW w:w="570" w:type="pct"/>
            <w:tcBorders>
              <w:top w:val="single" w:color="000000" w:sz="4" w:space="0"/>
              <w:left w:val="single" w:color="000000" w:sz="4" w:space="0"/>
              <w:bottom w:val="single" w:color="000000" w:sz="4" w:space="0"/>
              <w:right w:val="single" w:color="000000" w:sz="4" w:space="0"/>
            </w:tcBorders>
            <w:vAlign w:val="center"/>
          </w:tcPr>
          <w:p w14:paraId="55B83E53">
            <w:pPr>
              <w:pStyle w:val="57"/>
              <w:jc w:val="center"/>
            </w:pPr>
            <w:r>
              <w:t>%</w:t>
            </w:r>
          </w:p>
        </w:tc>
        <w:tc>
          <w:tcPr>
            <w:tcW w:w="571" w:type="pct"/>
            <w:tcBorders>
              <w:top w:val="single" w:color="000000" w:sz="4" w:space="0"/>
              <w:left w:val="single" w:color="000000" w:sz="4" w:space="0"/>
              <w:bottom w:val="single" w:color="000000" w:sz="4" w:space="0"/>
              <w:right w:val="single" w:color="000000" w:sz="4" w:space="0"/>
            </w:tcBorders>
            <w:vAlign w:val="center"/>
          </w:tcPr>
          <w:p w14:paraId="651825E5">
            <w:pPr>
              <w:pStyle w:val="57"/>
              <w:jc w:val="center"/>
            </w:pPr>
            <w:r>
              <w:t>99.85</w:t>
            </w:r>
          </w:p>
        </w:tc>
        <w:tc>
          <w:tcPr>
            <w:tcW w:w="571" w:type="pct"/>
            <w:tcBorders>
              <w:top w:val="single" w:color="000000" w:sz="4" w:space="0"/>
              <w:left w:val="single" w:color="000000" w:sz="4" w:space="0"/>
              <w:bottom w:val="single" w:color="000000" w:sz="4" w:space="0"/>
              <w:right w:val="single" w:color="000000" w:sz="4" w:space="0"/>
            </w:tcBorders>
            <w:vAlign w:val="center"/>
          </w:tcPr>
          <w:p w14:paraId="63541537">
            <w:pPr>
              <w:pStyle w:val="57"/>
              <w:jc w:val="center"/>
            </w:pPr>
            <w:r>
              <w:rPr>
                <w:rFonts w:hint="eastAsia"/>
              </w:rPr>
              <w:t>≥</w:t>
            </w:r>
            <w:r>
              <w:t>99.98</w:t>
            </w:r>
          </w:p>
        </w:tc>
        <w:tc>
          <w:tcPr>
            <w:tcW w:w="570" w:type="pct"/>
            <w:tcBorders>
              <w:top w:val="single" w:color="000000" w:sz="4" w:space="0"/>
              <w:left w:val="single" w:color="000000" w:sz="4" w:space="0"/>
              <w:bottom w:val="single" w:color="000000" w:sz="4" w:space="0"/>
              <w:right w:val="single" w:color="000000" w:sz="4" w:space="0"/>
            </w:tcBorders>
            <w:vAlign w:val="center"/>
          </w:tcPr>
          <w:p w14:paraId="312A2E4E">
            <w:pPr>
              <w:pStyle w:val="57"/>
              <w:jc w:val="center"/>
            </w:pPr>
            <w:r>
              <w:rPr>
                <w:rFonts w:hint="eastAsia"/>
              </w:rPr>
              <w:t>预期</w:t>
            </w:r>
          </w:p>
        </w:tc>
      </w:tr>
      <w:tr w14:paraId="49FFC837">
        <w:tblPrEx>
          <w:tblCellMar>
            <w:top w:w="0" w:type="dxa"/>
            <w:left w:w="0" w:type="dxa"/>
            <w:bottom w:w="0" w:type="dxa"/>
            <w:right w:w="0" w:type="dxa"/>
          </w:tblCellMar>
        </w:tblPrEx>
        <w:trPr>
          <w:trHeight w:val="454" w:hRule="atLeast"/>
          <w:jc w:val="center"/>
        </w:trPr>
        <w:tc>
          <w:tcPr>
            <w:tcW w:w="353" w:type="pct"/>
            <w:tcBorders>
              <w:top w:val="single" w:color="000000" w:sz="4" w:space="0"/>
              <w:left w:val="single" w:color="000000" w:sz="4" w:space="0"/>
              <w:bottom w:val="single" w:color="000000" w:sz="4" w:space="0"/>
              <w:right w:val="single" w:color="000000" w:sz="4" w:space="0"/>
            </w:tcBorders>
            <w:vAlign w:val="center"/>
          </w:tcPr>
          <w:p w14:paraId="68A1D5A9">
            <w:pPr>
              <w:pStyle w:val="57"/>
              <w:jc w:val="center"/>
            </w:pPr>
            <w:r>
              <w:rPr>
                <w:rFonts w:hint="eastAsia"/>
              </w:rPr>
              <w:t>13</w:t>
            </w:r>
          </w:p>
        </w:tc>
        <w:tc>
          <w:tcPr>
            <w:tcW w:w="2365" w:type="pct"/>
            <w:tcBorders>
              <w:top w:val="single" w:color="000000" w:sz="4" w:space="0"/>
              <w:left w:val="single" w:color="000000" w:sz="4" w:space="0"/>
              <w:bottom w:val="single" w:color="000000" w:sz="4" w:space="0"/>
              <w:right w:val="single" w:color="000000" w:sz="4" w:space="0"/>
            </w:tcBorders>
            <w:vAlign w:val="center"/>
          </w:tcPr>
          <w:p w14:paraId="05F16706">
            <w:pPr>
              <w:pStyle w:val="57"/>
              <w:jc w:val="center"/>
            </w:pPr>
            <w:r>
              <w:rPr>
                <w:rFonts w:hint="eastAsia"/>
              </w:rPr>
              <w:t>农村生态河道覆盖率</w:t>
            </w:r>
          </w:p>
        </w:tc>
        <w:tc>
          <w:tcPr>
            <w:tcW w:w="570" w:type="pct"/>
            <w:tcBorders>
              <w:top w:val="single" w:color="000000" w:sz="4" w:space="0"/>
              <w:left w:val="single" w:color="000000" w:sz="4" w:space="0"/>
              <w:bottom w:val="single" w:color="000000" w:sz="4" w:space="0"/>
              <w:right w:val="single" w:color="000000" w:sz="4" w:space="0"/>
            </w:tcBorders>
            <w:vAlign w:val="center"/>
          </w:tcPr>
          <w:p w14:paraId="2B4A20CC">
            <w:pPr>
              <w:pStyle w:val="57"/>
              <w:jc w:val="center"/>
            </w:pPr>
            <w:r>
              <w:rPr>
                <w:rFonts w:hint="eastAsia"/>
              </w:rPr>
              <w:t>%</w:t>
            </w:r>
          </w:p>
        </w:tc>
        <w:tc>
          <w:tcPr>
            <w:tcW w:w="571" w:type="pct"/>
            <w:tcBorders>
              <w:top w:val="single" w:color="000000" w:sz="4" w:space="0"/>
              <w:left w:val="single" w:color="000000" w:sz="4" w:space="0"/>
              <w:bottom w:val="single" w:color="000000" w:sz="4" w:space="0"/>
              <w:right w:val="single" w:color="000000" w:sz="4" w:space="0"/>
            </w:tcBorders>
            <w:vAlign w:val="center"/>
          </w:tcPr>
          <w:p w14:paraId="4EA6727B">
            <w:pPr>
              <w:pStyle w:val="57"/>
              <w:jc w:val="center"/>
            </w:pPr>
            <w:r>
              <w:t>50.4</w:t>
            </w:r>
          </w:p>
        </w:tc>
        <w:tc>
          <w:tcPr>
            <w:tcW w:w="571" w:type="pct"/>
            <w:tcBorders>
              <w:top w:val="single" w:color="000000" w:sz="4" w:space="0"/>
              <w:left w:val="single" w:color="000000" w:sz="4" w:space="0"/>
              <w:bottom w:val="single" w:color="000000" w:sz="4" w:space="0"/>
              <w:right w:val="single" w:color="000000" w:sz="4" w:space="0"/>
            </w:tcBorders>
            <w:vAlign w:val="center"/>
          </w:tcPr>
          <w:p w14:paraId="36E64059">
            <w:pPr>
              <w:pStyle w:val="57"/>
              <w:jc w:val="center"/>
            </w:pPr>
            <w:r>
              <w:rPr>
                <w:rFonts w:hint="eastAsia"/>
              </w:rPr>
              <w:t>≥</w:t>
            </w:r>
            <w:r>
              <w:t>80</w:t>
            </w:r>
          </w:p>
        </w:tc>
        <w:tc>
          <w:tcPr>
            <w:tcW w:w="570" w:type="pct"/>
            <w:tcBorders>
              <w:top w:val="single" w:color="000000" w:sz="4" w:space="0"/>
              <w:left w:val="single" w:color="000000" w:sz="4" w:space="0"/>
              <w:bottom w:val="single" w:color="000000" w:sz="4" w:space="0"/>
              <w:right w:val="single" w:color="000000" w:sz="4" w:space="0"/>
            </w:tcBorders>
            <w:vAlign w:val="center"/>
          </w:tcPr>
          <w:p w14:paraId="5B31B60F">
            <w:pPr>
              <w:pStyle w:val="57"/>
              <w:jc w:val="center"/>
            </w:pPr>
            <w:r>
              <w:rPr>
                <w:rFonts w:hint="eastAsia"/>
              </w:rPr>
              <w:t>预期</w:t>
            </w:r>
          </w:p>
        </w:tc>
      </w:tr>
    </w:tbl>
    <w:p w14:paraId="514BE9A1">
      <w:pPr>
        <w:pStyle w:val="65"/>
        <w:ind w:firstLine="480"/>
      </w:pPr>
    </w:p>
    <w:p w14:paraId="17D62A89">
      <w:pPr>
        <w:pStyle w:val="65"/>
        <w:ind w:firstLine="480"/>
      </w:pPr>
      <w:r>
        <w:rPr>
          <w:rFonts w:hint="eastAsia"/>
        </w:rPr>
        <w:t>注：</w:t>
      </w:r>
      <w:r>
        <w:t>1.</w:t>
      </w:r>
      <w:r>
        <w:rPr>
          <w:rFonts w:hint="eastAsia"/>
        </w:rPr>
        <w:t>市级水网覆盖范围：指市级水网工程覆盖面积与全市国土面积的比值。</w:t>
      </w:r>
    </w:p>
    <w:p w14:paraId="02C8DA6A">
      <w:pPr>
        <w:pStyle w:val="65"/>
        <w:ind w:firstLine="480"/>
      </w:pPr>
      <w:r>
        <w:t>2.</w:t>
      </w:r>
      <w:r>
        <w:rPr>
          <w:rFonts w:hint="eastAsia"/>
        </w:rPr>
        <w:t>市级水网水流调控能力：泰州境内市级以上河湖多年平均水位以上对应库容之和与全市多年平均地表径流量的比值。</w:t>
      </w:r>
    </w:p>
    <w:p w14:paraId="4430506D">
      <w:pPr>
        <w:pStyle w:val="65"/>
        <w:ind w:firstLine="480"/>
      </w:pPr>
      <w:r>
        <w:t>3.</w:t>
      </w:r>
      <w:r>
        <w:rPr>
          <w:rFonts w:hint="eastAsia"/>
        </w:rPr>
        <w:t>河湖堤防达标率：指全市</w:t>
      </w:r>
      <w:r>
        <w:t>4</w:t>
      </w:r>
      <w:r>
        <w:rPr>
          <w:rFonts w:hint="eastAsia"/>
        </w:rPr>
        <w:t>级及以上堤防达标长度占比，其中2级堤防即长江堤防防洪能力达到</w:t>
      </w:r>
      <w:r>
        <w:t>100年一遇为达标</w:t>
      </w:r>
      <w:r>
        <w:rPr>
          <w:rFonts w:hint="eastAsia"/>
        </w:rPr>
        <w:t>。</w:t>
      </w:r>
    </w:p>
    <w:p w14:paraId="6082DBC0">
      <w:pPr>
        <w:pStyle w:val="65"/>
        <w:ind w:firstLine="480"/>
      </w:pPr>
      <w:r>
        <w:t>4.</w:t>
      </w:r>
      <w:r>
        <w:rPr>
          <w:rFonts w:hint="eastAsia"/>
        </w:rPr>
        <w:t>城乡供水保证率：指集中式饮用水水源地取水口供水保证率。</w:t>
      </w:r>
    </w:p>
    <w:p w14:paraId="4B4F19E5">
      <w:pPr>
        <w:pStyle w:val="65"/>
        <w:ind w:firstLine="480"/>
      </w:pPr>
      <w:r>
        <w:t>5.</w:t>
      </w:r>
      <w:r>
        <w:rPr>
          <w:rFonts w:hint="eastAsia"/>
        </w:rPr>
        <w:t>集中式饮用水水源地达标建设率：指全市县级以上城市饮用水水源地达标建设完成比例。</w:t>
      </w:r>
    </w:p>
    <w:p w14:paraId="7EB699F8">
      <w:pPr>
        <w:pStyle w:val="65"/>
        <w:ind w:firstLine="480"/>
      </w:pPr>
      <w:r>
        <w:t>6.</w:t>
      </w:r>
      <w:r>
        <w:rPr>
          <w:rFonts w:hint="eastAsia"/>
        </w:rPr>
        <w:t>重点水利工程：指市域范围内所有大中型闸、站。</w:t>
      </w:r>
    </w:p>
    <w:p w14:paraId="6470A88D">
      <w:pPr>
        <w:pStyle w:val="65"/>
        <w:ind w:firstLine="480"/>
      </w:pPr>
      <w:r>
        <w:t>7.</w:t>
      </w:r>
      <w:r>
        <w:rPr>
          <w:rFonts w:hint="eastAsia"/>
        </w:rPr>
        <w:t>重点河湖生态水位保证率：溱潼站、姜堰（通）站、靖江站等1</w:t>
      </w:r>
      <w:r>
        <w:t>6个河网（区域）</w:t>
      </w:r>
      <w:r>
        <w:rPr>
          <w:rFonts w:hint="eastAsia"/>
        </w:rPr>
        <w:t>控制断面生态水位满足的天数占全年比。</w:t>
      </w:r>
    </w:p>
    <w:p w14:paraId="615AD094">
      <w:pPr>
        <w:pStyle w:val="65"/>
        <w:ind w:firstLine="480"/>
      </w:pPr>
      <w:r>
        <w:t>8.</w:t>
      </w:r>
      <w:r>
        <w:rPr>
          <w:rFonts w:hint="eastAsia"/>
        </w:rPr>
        <w:t>重点河湖：长江、泰州引江河、泰东河、新通扬运河（泰西段）4条流域性河道及大纵湖、凤栖湖等2</w:t>
      </w:r>
      <w:r>
        <w:t>5个市级以上</w:t>
      </w:r>
      <w:r>
        <w:rPr>
          <w:rFonts w:hint="eastAsia"/>
        </w:rPr>
        <w:t>湖泊湖荡。</w:t>
      </w:r>
    </w:p>
    <w:bookmarkEnd w:id="18"/>
    <w:p w14:paraId="713AED1B">
      <w:pPr>
        <w:pStyle w:val="3"/>
        <w:spacing w:before="163"/>
      </w:pPr>
      <w:bookmarkStart w:id="19" w:name="_Toc181109842"/>
      <w:r>
        <w:rPr>
          <w:rFonts w:hint="eastAsia"/>
        </w:rPr>
        <w:t>总体布局</w:t>
      </w:r>
      <w:bookmarkEnd w:id="19"/>
    </w:p>
    <w:p w14:paraId="78D6E00C">
      <w:pPr>
        <w:pStyle w:val="4"/>
      </w:pPr>
      <w:r>
        <w:rPr>
          <w:rFonts w:hint="eastAsia"/>
        </w:rPr>
        <w:t>水网总体布局</w:t>
      </w:r>
    </w:p>
    <w:p w14:paraId="5D4D4C77">
      <w:pPr>
        <w:ind w:firstLine="480"/>
        <w:rPr>
          <w:rFonts w:cs="Times New Roman"/>
        </w:rPr>
      </w:pPr>
      <w:r>
        <w:rPr>
          <w:rFonts w:hint="eastAsia" w:cs="Times New Roman"/>
        </w:rPr>
        <w:t>坚持系统性和全局性观念，紧紧依托国家水网、省级水网主骨架，充分发挥泰州市自然地理优势，坚持长三角生态绿色一体化发展，统筹水安全与区域经济社会发展、生态文明建设的关系，基于泰州市“一主一带、两源三片</w:t>
      </w:r>
      <w:r>
        <w:rPr>
          <w:rStyle w:val="38"/>
          <w:rFonts w:cs="Times New Roman"/>
        </w:rPr>
        <w:footnoteReference w:id="1"/>
      </w:r>
      <w:r>
        <w:rPr>
          <w:rFonts w:hint="eastAsia" w:cs="Times New Roman"/>
        </w:rPr>
        <w:t>”的国土空间总体布局，科学谋划泰州现代水网总布局，构筑泰州水网之“纲”，织密泰州水网之“目”，系牢泰州水网之“结”。向上承接国家、省级水网，加强与相邻区域水网融合，向下指导县级水网，实现各层级水网互联互通、运行顺畅。</w:t>
      </w:r>
    </w:p>
    <w:p w14:paraId="3A4DC974">
      <w:pPr>
        <w:ind w:firstLine="480"/>
        <w:rPr>
          <w:rFonts w:cs="Times New Roman"/>
        </w:rPr>
      </w:pPr>
      <w:r>
        <w:rPr>
          <w:rFonts w:hint="eastAsia" w:cs="Times New Roman"/>
        </w:rPr>
        <w:t>围绕省级以上重大发展战略，立足于泰州自然资源禀赋、水利基础设施体系等，以全面提升水安全保障能力为目标，以健全区域防洪减灾体系、优化水资源配置为主线，以骨干河道和跨区域引调水工程为骨架，以河湖水系连通和灌排渠系为脉络，以湖泊湖荡、重点闸站为节点，以数字化、网络化、智能化调控为手段，规划构建完善</w:t>
      </w:r>
      <w:r>
        <w:rPr>
          <w:rStyle w:val="35"/>
          <w:rFonts w:hint="eastAsia" w:ascii="Times New Roman" w:cs="Times New Roman"/>
        </w:rPr>
        <w:t>“</w:t>
      </w:r>
      <w:r>
        <w:rPr>
          <w:rStyle w:val="35"/>
          <w:rFonts w:hint="eastAsia" w:cs="Times New Roman"/>
        </w:rPr>
        <w:t>一江三纵五横举纲、两区百河张目、湖荡闸站系结</w:t>
      </w:r>
      <w:r>
        <w:rPr>
          <w:rStyle w:val="35"/>
          <w:rFonts w:hint="eastAsia" w:ascii="Times New Roman" w:cs="Times New Roman"/>
        </w:rPr>
        <w:t>”</w:t>
      </w:r>
      <w:r>
        <w:rPr>
          <w:rFonts w:hint="eastAsia" w:cs="Times New Roman"/>
        </w:rPr>
        <w:t>的市级水网总体格局。</w:t>
      </w:r>
    </w:p>
    <w:p w14:paraId="6F74B3E1">
      <w:pPr>
        <w:ind w:firstLine="480"/>
        <w:rPr>
          <w:rFonts w:cs="Times New Roman"/>
        </w:rPr>
      </w:pPr>
      <w:r>
        <w:rPr>
          <w:rFonts w:hint="eastAsia" w:cs="Times New Roman"/>
        </w:rPr>
        <w:t>围绕省级以上重大发展战略，立足于泰州自然资源禀赋、水利基础设施体系等，以全面提升水安全保障能力为目标，以健全区域防洪减灾体系、优化水资源配置为主线，以骨干河道和跨区域引调水工程为骨架，以河湖水系连通和灌排渠系为脉络，以湖泊湖荡、重点闸站为节点，以数字化、网络化、智能化调控为手段，规划构建完善</w:t>
      </w:r>
      <w:r>
        <w:rPr>
          <w:rStyle w:val="35"/>
          <w:rFonts w:hint="eastAsia" w:ascii="Times New Roman" w:cs="Times New Roman"/>
        </w:rPr>
        <w:t>“</w:t>
      </w:r>
      <w:r>
        <w:rPr>
          <w:rStyle w:val="35"/>
          <w:rFonts w:hint="eastAsia" w:cs="Times New Roman"/>
        </w:rPr>
        <w:t>一江三纵五横举纲、两区百河张目、湖荡闸站系结</w:t>
      </w:r>
      <w:r>
        <w:rPr>
          <w:rStyle w:val="35"/>
          <w:rFonts w:hint="eastAsia" w:ascii="Times New Roman" w:cs="Times New Roman"/>
        </w:rPr>
        <w:t>”</w:t>
      </w:r>
      <w:r>
        <w:rPr>
          <w:rFonts w:hint="eastAsia" w:cs="Times New Roman"/>
        </w:rPr>
        <w:t>的市级水网总体格局。</w:t>
      </w:r>
    </w:p>
    <w:p w14:paraId="76741CD1">
      <w:pPr>
        <w:ind w:firstLine="480"/>
        <w:rPr>
          <w:rFonts w:cs="Times New Roman"/>
        </w:rPr>
      </w:pPr>
      <w:r>
        <w:rPr>
          <w:rStyle w:val="35"/>
          <w:rFonts w:hint="eastAsia" w:ascii="Times New Roman" w:cs="Times New Roman"/>
        </w:rPr>
        <w:t>“</w:t>
      </w:r>
      <w:r>
        <w:rPr>
          <w:rStyle w:val="35"/>
          <w:rFonts w:hint="eastAsia" w:cs="Times New Roman"/>
        </w:rPr>
        <w:t>一江三纵五横举纲</w:t>
      </w:r>
      <w:r>
        <w:rPr>
          <w:rStyle w:val="35"/>
          <w:rFonts w:hint="eastAsia" w:ascii="Times New Roman" w:cs="Times New Roman"/>
        </w:rPr>
        <w:t>”</w:t>
      </w:r>
      <w:r>
        <w:rPr>
          <w:rFonts w:cs="Times New Roman"/>
        </w:rPr>
        <w:t>——</w:t>
      </w:r>
      <w:r>
        <w:rPr>
          <w:rFonts w:hint="eastAsia" w:cs="Times New Roman"/>
        </w:rPr>
        <w:t>在淮河里下河地区南引长江、东排入海为主，长江通南地区临江引排的总体框架下，以国家、省级水网主骨架和骨干输排水通道为指引，以境内跨流域调水河道、区域重要引排河道为干线，协同航运、生态、景观等需求，构筑扎根长江、“三纵”达江、“五横”通海，系统完备、安全可靠的泰州水网之“纲”。</w:t>
      </w:r>
    </w:p>
    <w:p w14:paraId="29FE0924">
      <w:pPr>
        <w:ind w:firstLine="480"/>
        <w:rPr>
          <w:rFonts w:cs="Times New Roman"/>
        </w:rPr>
      </w:pPr>
      <w:r>
        <w:rPr>
          <w:rStyle w:val="35"/>
          <w:rFonts w:hint="eastAsia" w:ascii="Times New Roman" w:cs="Times New Roman"/>
        </w:rPr>
        <w:t>“</w:t>
      </w:r>
      <w:r>
        <w:rPr>
          <w:rStyle w:val="35"/>
          <w:rFonts w:hint="eastAsia" w:cs="Times New Roman"/>
        </w:rPr>
        <w:t>两区百河张目</w:t>
      </w:r>
      <w:r>
        <w:rPr>
          <w:rStyle w:val="35"/>
          <w:rFonts w:hint="eastAsia" w:ascii="Times New Roman" w:cs="Times New Roman"/>
        </w:rPr>
        <w:t>”</w:t>
      </w:r>
      <w:r>
        <w:rPr>
          <w:rFonts w:cs="Times New Roman"/>
        </w:rPr>
        <w:t>——</w:t>
      </w:r>
      <w:r>
        <w:rPr>
          <w:rFonts w:hint="eastAsia" w:cs="Times New Roman"/>
        </w:rPr>
        <w:t>以完善里下河片、通南片两区供排支线、促进水资源集约高效利用、充分挖掘水生态、水文化等综合效益为指引，沟通境内百余条县级以上引排河道脉络，逐步织密排灌结合、</w:t>
      </w:r>
      <w:r>
        <w:rPr>
          <w:rFonts w:cs="Times New Roman"/>
        </w:rPr>
        <w:t xml:space="preserve"> </w:t>
      </w:r>
      <w:r>
        <w:rPr>
          <w:rFonts w:hint="eastAsia" w:cs="Times New Roman"/>
        </w:rPr>
        <w:t>互联互通的里下河、通南分区水网，构建集约高效、循环通畅的泰州水网之“目”。</w:t>
      </w:r>
    </w:p>
    <w:p w14:paraId="2EA2543F">
      <w:pPr>
        <w:ind w:firstLine="480"/>
        <w:rPr>
          <w:rFonts w:cs="Times New Roman"/>
        </w:rPr>
      </w:pPr>
      <w:r>
        <w:rPr>
          <w:rStyle w:val="35"/>
          <w:rFonts w:hint="eastAsia" w:ascii="Times New Roman" w:cs="Times New Roman"/>
        </w:rPr>
        <w:t>“</w:t>
      </w:r>
      <w:r>
        <w:rPr>
          <w:rStyle w:val="35"/>
          <w:rFonts w:hint="eastAsia" w:cs="Times New Roman"/>
        </w:rPr>
        <w:t>湖荡闸站系结</w:t>
      </w:r>
      <w:r>
        <w:rPr>
          <w:rStyle w:val="35"/>
          <w:rFonts w:hint="eastAsia" w:ascii="Times New Roman" w:cs="Times New Roman"/>
        </w:rPr>
        <w:t>”</w:t>
      </w:r>
      <w:r>
        <w:rPr>
          <w:rFonts w:cs="Times New Roman"/>
        </w:rPr>
        <w:t>——</w:t>
      </w:r>
      <w:r>
        <w:rPr>
          <w:rFonts w:hint="eastAsia" w:cs="Times New Roman"/>
        </w:rPr>
        <w:t>充分发挥区内25处市级以上湖泊湖荡调（滞）蓄功能，巩固提升长江沿线、老328国道沿线及通南保水控制工程合计180座闸站引排能力，优化工程调度方案，进一步提升水网引排工程能力，系牢“湖荡”调蓄、“闸站”控导，绿色智能、调控有序的泰州水网之“结”。</w:t>
      </w:r>
    </w:p>
    <w:p w14:paraId="1548E803">
      <w:pPr>
        <w:pStyle w:val="64"/>
      </w:pPr>
      <w:r>
        <w:rPr>
          <w:rFonts w:hint="eastAsia"/>
        </w:rPr>
        <w:t>表2</w:t>
      </w:r>
      <w:r>
        <w:t xml:space="preserve">.4-1 </w:t>
      </w:r>
      <w:r>
        <w:rPr>
          <w:rFonts w:hint="eastAsia"/>
        </w:rPr>
        <w:t>泰州市现代水网建设总体布局表</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709"/>
        <w:gridCol w:w="7556"/>
      </w:tblGrid>
      <w:tr w14:paraId="32980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5557A509">
            <w:pPr>
              <w:pStyle w:val="57"/>
              <w:jc w:val="center"/>
              <w:rPr>
                <w:b/>
              </w:rPr>
            </w:pPr>
            <w:r>
              <w:rPr>
                <w:b/>
              </w:rPr>
              <w:t>序号</w:t>
            </w:r>
          </w:p>
        </w:tc>
        <w:tc>
          <w:tcPr>
            <w:tcW w:w="709" w:type="dxa"/>
            <w:vAlign w:val="center"/>
          </w:tcPr>
          <w:p w14:paraId="0B367358">
            <w:pPr>
              <w:pStyle w:val="57"/>
              <w:jc w:val="center"/>
              <w:rPr>
                <w:b/>
              </w:rPr>
            </w:pPr>
            <w:r>
              <w:rPr>
                <w:b/>
              </w:rPr>
              <w:t>类别</w:t>
            </w:r>
          </w:p>
        </w:tc>
        <w:tc>
          <w:tcPr>
            <w:tcW w:w="7556" w:type="dxa"/>
            <w:vAlign w:val="center"/>
          </w:tcPr>
          <w:p w14:paraId="6653EAF7">
            <w:pPr>
              <w:pStyle w:val="57"/>
              <w:jc w:val="center"/>
              <w:rPr>
                <w:b/>
              </w:rPr>
            </w:pPr>
            <w:r>
              <w:rPr>
                <w:b/>
              </w:rPr>
              <w:t>泰州市水网</w:t>
            </w:r>
          </w:p>
        </w:tc>
      </w:tr>
      <w:tr w14:paraId="2A2AC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50E290FC">
            <w:pPr>
              <w:pStyle w:val="57"/>
              <w:jc w:val="center"/>
            </w:pPr>
            <w:r>
              <w:rPr>
                <w:rFonts w:hint="eastAsia"/>
              </w:rPr>
              <w:t>1</w:t>
            </w:r>
          </w:p>
        </w:tc>
        <w:tc>
          <w:tcPr>
            <w:tcW w:w="709" w:type="dxa"/>
            <w:vAlign w:val="center"/>
          </w:tcPr>
          <w:p w14:paraId="7E2641CF">
            <w:pPr>
              <w:pStyle w:val="57"/>
              <w:jc w:val="center"/>
            </w:pPr>
            <w:r>
              <w:t>纲</w:t>
            </w:r>
          </w:p>
        </w:tc>
        <w:tc>
          <w:tcPr>
            <w:tcW w:w="7556" w:type="dxa"/>
          </w:tcPr>
          <w:p w14:paraId="2117E86D">
            <w:pPr>
              <w:pStyle w:val="57"/>
            </w:pPr>
            <w:r>
              <w:rPr>
                <w:rStyle w:val="35"/>
                <w:rFonts w:ascii="方正楷体_GBK" w:hAnsi="Times New Roman" w:eastAsia="楷体"/>
                <w:iCs w:val="0"/>
              </w:rPr>
              <w:t>一江：</w:t>
            </w:r>
            <w:r>
              <w:t>长江</w:t>
            </w:r>
            <w:r>
              <w:rPr>
                <w:rFonts w:hint="eastAsia"/>
              </w:rPr>
              <w:t>。</w:t>
            </w:r>
          </w:p>
          <w:p w14:paraId="10FEE1D7">
            <w:pPr>
              <w:pStyle w:val="57"/>
            </w:pPr>
            <w:r>
              <w:rPr>
                <w:rStyle w:val="35"/>
                <w:rFonts w:ascii="方正楷体_GBK" w:hAnsi="Times New Roman" w:eastAsia="楷体"/>
                <w:iCs w:val="0"/>
              </w:rPr>
              <w:t>三纵：</w:t>
            </w:r>
            <w:r>
              <w:rPr>
                <w:rFonts w:hint="eastAsia"/>
              </w:rPr>
              <w:t>下官河-卤汀河-泰州引江河，西塘港-俞西河-泰东河-老东河-凤凰河-西干河-两泰官河-羌溪河-靖泰界河，盐靖河-姜溱河-中干河-西姜黄河</w:t>
            </w:r>
            <w:r>
              <w:t>-</w:t>
            </w:r>
            <w:r>
              <w:rPr>
                <w:rFonts w:hint="eastAsia"/>
              </w:rPr>
              <w:t>季黄河</w:t>
            </w:r>
            <w:r>
              <w:t>-</w:t>
            </w:r>
            <w:r>
              <w:rPr>
                <w:rFonts w:hint="eastAsia"/>
              </w:rPr>
              <w:t>夏仕港。</w:t>
            </w:r>
          </w:p>
          <w:p w14:paraId="5BB2BE74">
            <w:pPr>
              <w:pStyle w:val="57"/>
            </w:pPr>
            <w:r>
              <w:rPr>
                <w:rStyle w:val="35"/>
                <w:rFonts w:hint="eastAsia" w:ascii="方正楷体_GBK" w:hAnsi="Times New Roman" w:eastAsia="楷体"/>
                <w:iCs w:val="0"/>
              </w:rPr>
              <w:t>五横：</w:t>
            </w:r>
            <w:r>
              <w:rPr>
                <w:rFonts w:hint="eastAsia"/>
              </w:rPr>
              <w:t>兴盐界河、车路河、新通扬运河-泰东河、古马干河、如泰运河。</w:t>
            </w:r>
          </w:p>
        </w:tc>
      </w:tr>
      <w:tr w14:paraId="7E1B3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6CC2003C">
            <w:pPr>
              <w:pStyle w:val="57"/>
              <w:jc w:val="center"/>
            </w:pPr>
            <w:r>
              <w:rPr>
                <w:rFonts w:hint="eastAsia"/>
              </w:rPr>
              <w:t>2</w:t>
            </w:r>
          </w:p>
        </w:tc>
        <w:tc>
          <w:tcPr>
            <w:tcW w:w="709" w:type="dxa"/>
            <w:vAlign w:val="center"/>
          </w:tcPr>
          <w:p w14:paraId="3F04C5E9">
            <w:pPr>
              <w:pStyle w:val="57"/>
              <w:jc w:val="center"/>
            </w:pPr>
            <w:r>
              <w:t>目</w:t>
            </w:r>
          </w:p>
        </w:tc>
        <w:tc>
          <w:tcPr>
            <w:tcW w:w="7556" w:type="dxa"/>
          </w:tcPr>
          <w:p w14:paraId="2CA4D7A2">
            <w:pPr>
              <w:pStyle w:val="57"/>
            </w:pPr>
            <w:r>
              <w:rPr>
                <w:rStyle w:val="35"/>
                <w:rFonts w:ascii="方正楷体_GBK" w:hAnsi="Times New Roman" w:eastAsia="楷体"/>
                <w:iCs w:val="0"/>
              </w:rPr>
              <w:t>两区：</w:t>
            </w:r>
            <w:r>
              <w:rPr>
                <w:rFonts w:hint="eastAsia"/>
              </w:rPr>
              <w:t>里下河</w:t>
            </w:r>
            <w:r>
              <w:t>片区、</w:t>
            </w:r>
            <w:r>
              <w:rPr>
                <w:rFonts w:hint="eastAsia"/>
              </w:rPr>
              <w:t>通南</w:t>
            </w:r>
            <w:r>
              <w:t>片区</w:t>
            </w:r>
            <w:r>
              <w:rPr>
                <w:rFonts w:hint="eastAsia"/>
              </w:rPr>
              <w:t>。</w:t>
            </w:r>
          </w:p>
          <w:p w14:paraId="441CDE31">
            <w:pPr>
              <w:pStyle w:val="57"/>
            </w:pPr>
            <w:r>
              <w:rPr>
                <w:rStyle w:val="35"/>
                <w:rFonts w:ascii="方正楷体_GBK" w:hAnsi="Times New Roman" w:eastAsia="楷体"/>
                <w:iCs w:val="0"/>
              </w:rPr>
              <w:t>百河：</w:t>
            </w:r>
            <w:r>
              <w:rPr>
                <w:rFonts w:hint="eastAsia"/>
              </w:rPr>
              <w:t>横津河、蔡港、许庄河等100余条县级以上引排河道。</w:t>
            </w:r>
          </w:p>
        </w:tc>
      </w:tr>
      <w:tr w14:paraId="3DFCD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817" w:type="dxa"/>
            <w:vAlign w:val="center"/>
          </w:tcPr>
          <w:p w14:paraId="686BED8A">
            <w:pPr>
              <w:pStyle w:val="57"/>
              <w:jc w:val="center"/>
            </w:pPr>
            <w:r>
              <w:rPr>
                <w:rFonts w:hint="eastAsia"/>
              </w:rPr>
              <w:t>3</w:t>
            </w:r>
          </w:p>
        </w:tc>
        <w:tc>
          <w:tcPr>
            <w:tcW w:w="709" w:type="dxa"/>
            <w:vAlign w:val="center"/>
          </w:tcPr>
          <w:p w14:paraId="3DC76943">
            <w:pPr>
              <w:pStyle w:val="57"/>
              <w:jc w:val="center"/>
            </w:pPr>
            <w:r>
              <w:t>结</w:t>
            </w:r>
          </w:p>
        </w:tc>
        <w:tc>
          <w:tcPr>
            <w:tcW w:w="7556" w:type="dxa"/>
          </w:tcPr>
          <w:p w14:paraId="53DF0378">
            <w:pPr>
              <w:pStyle w:val="57"/>
            </w:pPr>
            <w:r>
              <w:rPr>
                <w:rStyle w:val="35"/>
                <w:rFonts w:ascii="方正楷体_GBK" w:hAnsi="Times New Roman" w:eastAsia="楷体"/>
                <w:iCs w:val="0"/>
              </w:rPr>
              <w:t>湖荡：</w:t>
            </w:r>
            <w:r>
              <w:rPr>
                <w:rFonts w:hint="eastAsia"/>
              </w:rPr>
              <w:t>大纵湖、天德湖等</w:t>
            </w:r>
            <w:r>
              <w:t>25处</w:t>
            </w:r>
            <w:r>
              <w:rPr>
                <w:rFonts w:hint="eastAsia"/>
              </w:rPr>
              <w:t>市级</w:t>
            </w:r>
            <w:r>
              <w:t>以上湖泊湖荡。</w:t>
            </w:r>
          </w:p>
          <w:p w14:paraId="1327E5BF">
            <w:pPr>
              <w:pStyle w:val="57"/>
            </w:pPr>
            <w:r>
              <w:rPr>
                <w:rStyle w:val="35"/>
                <w:rFonts w:ascii="方正楷体_GBK" w:hAnsi="Times New Roman" w:eastAsia="楷体"/>
                <w:iCs w:val="0"/>
              </w:rPr>
              <w:t>闸站：</w:t>
            </w:r>
            <w:r>
              <w:rPr>
                <w:rFonts w:hint="eastAsia"/>
              </w:rPr>
              <w:t>包括长江沿线控制性节制闸5</w:t>
            </w:r>
            <w:r>
              <w:t>1座</w:t>
            </w:r>
            <w:r>
              <w:rPr>
                <w:rFonts w:hint="eastAsia"/>
              </w:rPr>
              <w:t>、闸站2</w:t>
            </w:r>
            <w:r>
              <w:t>1座</w:t>
            </w:r>
            <w:r>
              <w:rPr>
                <w:rFonts w:hint="eastAsia"/>
              </w:rPr>
              <w:t>、排涝站</w:t>
            </w:r>
            <w:r>
              <w:t>39座</w:t>
            </w:r>
            <w:r>
              <w:rPr>
                <w:rFonts w:hint="eastAsia"/>
              </w:rPr>
              <w:t>，老328国道沿线控制性建筑物4</w:t>
            </w:r>
            <w:r>
              <w:t>1座</w:t>
            </w:r>
            <w:r>
              <w:rPr>
                <w:rFonts w:hint="eastAsia"/>
              </w:rPr>
              <w:t>，通南保水控制工程6</w:t>
            </w:r>
            <w:r>
              <w:t>9座</w:t>
            </w:r>
            <w:r>
              <w:rPr>
                <w:rFonts w:hint="eastAsia"/>
              </w:rPr>
              <w:t>，合计</w:t>
            </w:r>
            <w:r>
              <w:t>180座（已扣除重复）</w:t>
            </w:r>
            <w:r>
              <w:rPr>
                <w:rFonts w:hint="eastAsia"/>
              </w:rPr>
              <w:t>水利控制性建筑物</w:t>
            </w:r>
            <w:r>
              <w:t>。</w:t>
            </w:r>
          </w:p>
        </w:tc>
      </w:tr>
    </w:tbl>
    <w:p w14:paraId="189E3FA3">
      <w:pPr>
        <w:pStyle w:val="57"/>
      </w:pPr>
      <w:r>
        <w:t>注：泰州县级以上河道名录、市级以上湖泊湖荡名录、重要水闸泵站名录见附表</w:t>
      </w:r>
      <w:r>
        <w:rPr>
          <w:rFonts w:hint="eastAsia"/>
        </w:rPr>
        <w:t>1～3</w:t>
      </w:r>
      <w:r>
        <w:t>。</w:t>
      </w:r>
    </w:p>
    <w:p w14:paraId="5D5E723E">
      <w:pPr>
        <w:pStyle w:val="4"/>
      </w:pPr>
      <w:r>
        <w:rPr>
          <w:rFonts w:hint="eastAsia"/>
        </w:rPr>
        <w:t>各级水网协同融合</w:t>
      </w:r>
    </w:p>
    <w:p w14:paraId="4374FA69">
      <w:pPr>
        <w:ind w:firstLine="480"/>
      </w:pPr>
      <w:r>
        <w:rPr>
          <w:rFonts w:hint="eastAsia"/>
        </w:rPr>
        <w:t>根据《国家水网建设规划纲要》，按照水利管理权限和分级管理要求，国家水网分为国家骨干网、省级水网、市级水网、县级水网四个层级体系，不同层级水网体系建设各有侧重，相互之间又有密切的联系，各级水网之间主次协调、互联互通，流域区域间城乡统筹、互调互济，共同构成国家水网“一张网”。</w:t>
      </w:r>
    </w:p>
    <w:p w14:paraId="3BA92C2C">
      <w:pPr>
        <w:pStyle w:val="5"/>
        <w:ind w:firstLine="482"/>
      </w:pPr>
      <w:r>
        <w:rPr>
          <w:rFonts w:hint="eastAsia"/>
        </w:rPr>
        <w:t>（1）充分衔接省级水网</w:t>
      </w:r>
    </w:p>
    <w:p w14:paraId="221BEECA">
      <w:pPr>
        <w:ind w:firstLine="480"/>
      </w:pPr>
      <w:r>
        <w:rPr>
          <w:rFonts w:hint="eastAsia"/>
        </w:rPr>
        <w:t>泰州水网是省级水网</w:t>
      </w:r>
      <w:r>
        <w:rPr>
          <w:rStyle w:val="35"/>
          <w:rFonts w:hint="eastAsia"/>
        </w:rPr>
        <w:t>“九八三五举纲、区域百河引排、平原百湖调蓄、山丘千库护源、千余闸站控导”</w:t>
      </w:r>
      <w:r>
        <w:rPr>
          <w:rFonts w:hint="eastAsia"/>
        </w:rPr>
        <w:t>的重要组成，泰州水网总体布局中的泰州引江河、泰东河、新通扬运河、卤汀河－上官河是省级水网之“纲”，泰州水网总体布局中的西塘河、姜溱河-盐靖河、车路河、兴盐界河以及如泰运河、中干河-西姜黄河-季黄河、夏仕港等河道是省级水网之“目”，泰州水网总体布局中的25处湖泊湖荡、大中型闸站等是省级水网之“结”，泰州水网总体布局与省级水网紧密衔接、互联互通并拓展延伸，充分体现了市级水网承接省级水网的功能。泰州水网总体目标、关键指标在省级目标指标基础上扩充细化，并严格落实省级目标指标要求。</w:t>
      </w:r>
    </w:p>
    <w:p w14:paraId="35A1A1AF">
      <w:pPr>
        <w:ind w:firstLine="480"/>
      </w:pPr>
      <w:r>
        <w:rPr>
          <w:rFonts w:hint="eastAsia"/>
        </w:rPr>
        <w:t>为更好地完成省级水网赋予泰州的使命和任务，泰州市现代水网建设将协同推进长江堤防防洪能力提升工程、长江扬中河段二期（应急治理）整治工程、里下河腹部地区湖泊湖荡综合治理工程，实施江水东引河网完善工程，推进水域岸线生态复苏和复绿成景，对接水利部和流域机构数字孪生长江平台等，共筑江苏现代水网。</w:t>
      </w:r>
    </w:p>
    <w:p w14:paraId="2791725D">
      <w:pPr>
        <w:pStyle w:val="5"/>
        <w:ind w:firstLine="482"/>
      </w:pPr>
      <w:r>
        <w:rPr>
          <w:rFonts w:hint="eastAsia"/>
        </w:rPr>
        <w:t>（2）与区域水网协同融合</w:t>
      </w:r>
    </w:p>
    <w:p w14:paraId="23237CE8">
      <w:pPr>
        <w:ind w:firstLine="480"/>
      </w:pPr>
      <w:r>
        <w:rPr>
          <w:rFonts w:hint="eastAsia"/>
        </w:rPr>
        <w:t>泰州分属长江与淮河两大水系，依地形特点、水系特征和水旱特性，全市分属里下河、通南两大水利分区， 经持续多年建设，两大分区基本形成了各有侧重、各具特色的水旱灾害治理工程体系。依托长江干流、里下河区域治理，以老328国道控制线及沿线涵闸，形成彼此联系、又相对独立的里下河水网、通南水网。</w:t>
      </w:r>
    </w:p>
    <w:p w14:paraId="3B407414">
      <w:pPr>
        <w:ind w:firstLine="480"/>
      </w:pPr>
      <w:r>
        <w:rPr>
          <w:rStyle w:val="35"/>
          <w:rFonts w:hint="eastAsia"/>
        </w:rPr>
        <w:t>——里下河水网。</w:t>
      </w:r>
      <w:r>
        <w:rPr>
          <w:rFonts w:hint="eastAsia"/>
        </w:rPr>
        <w:t>泰州里下河片是我省里下河水网的重要组成部分，经过持续的水利工程建设，里下河区形成了以主要排水通道、主要输水干线组成的“六纵、六横”区域骨干河网，泰州骨干水网中的下官河-卤汀河-泰州引江河、西塘港-俞西河-泰东河、盐靖河-姜溱河、兴盐界河、车路河、新通扬运河均是区域“六纵、六横”重要组成部分，里下河地区规划以扩大外排出路，恢复中滞能力、提高区域供水保证率、改善湖泊湖荡生态环境为重点，通过淮河流域重要支流斗龙港整治、腹部地区滞涝圩调整与建设及中小河流建设，湖泊湖荡生态修复等重点工程，持续完善区域“六纵、六横”骨干河网。</w:t>
      </w:r>
    </w:p>
    <w:p w14:paraId="2F3EDEFB">
      <w:pPr>
        <w:ind w:firstLine="480"/>
      </w:pPr>
      <w:r>
        <w:rPr>
          <w:rStyle w:val="35"/>
          <w:rFonts w:hint="eastAsia"/>
        </w:rPr>
        <w:t>——通南水网</w:t>
      </w:r>
      <w:r>
        <w:rPr>
          <w:rFonts w:hint="eastAsia"/>
        </w:rPr>
        <w:t>。泰州通南水系西邻扬州通南水系，被泰州引江河隔断，北邻里下河水系，通过328国道控制线相沟通，东邻南通通南水系，主要有老通扬运河相沟通，经过多年建设，泰州通南形成“五纵十横”骨干河网，泰州市骨干水网中的古马干河、如泰运河等均是区域骨干引排河道，泰州通南地区规划以进一步提升长江防洪能力、提高区域引排能力、畅通颞部河网为重点，通过长江堤防防洪能力提升、通南引排能力提升及中小河流建设，持续完善区域“五纵十横”骨干河网。</w:t>
      </w:r>
    </w:p>
    <w:p w14:paraId="5F755EEF">
      <w:pPr>
        <w:pStyle w:val="5"/>
        <w:ind w:firstLine="482"/>
      </w:pPr>
      <w:r>
        <w:rPr>
          <w:rFonts w:hint="eastAsia"/>
        </w:rPr>
        <w:t>（</w:t>
      </w:r>
      <w:r>
        <w:t>3</w:t>
      </w:r>
      <w:r>
        <w:rPr>
          <w:rFonts w:hint="eastAsia"/>
        </w:rPr>
        <w:t>）加强市际水网协调</w:t>
      </w:r>
    </w:p>
    <w:p w14:paraId="191EB9DB">
      <w:pPr>
        <w:ind w:firstLine="480"/>
      </w:pPr>
      <w:r>
        <w:t>泰州紧邻扬州、盐城与南通三市，四市水网密切相关，不可分割，泰州市水网总体布局充分</w:t>
      </w:r>
      <w:r>
        <w:rPr>
          <w:rFonts w:hint="eastAsia"/>
        </w:rPr>
        <w:t>衔接扬州市“一横两纵举纲、九干百河织目、五湖百库系结”、盐城市“五纵九横畅连、四区百河引排、两湖九荡调蓄、百余闸站控导”、南通市“千里江海堤防、十二条骨干河道为纲，九大治理片区为目，千余闸站为结”的水网</w:t>
      </w:r>
      <w:r>
        <w:t>总体布局，以共筑长江堤防防洪屏障</w:t>
      </w:r>
      <w:r>
        <w:rPr>
          <w:rFonts w:hint="eastAsia"/>
        </w:rPr>
        <w:t>，</w:t>
      </w:r>
      <w:r>
        <w:t>畅联里下河、通南沿江水系</w:t>
      </w:r>
      <w:r>
        <w:rPr>
          <w:rFonts w:hint="eastAsia"/>
        </w:rPr>
        <w:t>，统筹水资源调配，确保生态安全、共享数字信息、协同管理为目标，共同推进长江堤防能力提升工程、里下河滞涝圩调整建设工程、江水东引河网完善工程、中小河流整治工程等，统筹解决区域水资源、水生态、水环境、水灾害问题。</w:t>
      </w:r>
    </w:p>
    <w:p w14:paraId="4182A5C3">
      <w:pPr>
        <w:pStyle w:val="5"/>
        <w:ind w:firstLine="482"/>
        <w:rPr>
          <w:rFonts w:eastAsia="仿宋_GB2312"/>
        </w:rPr>
      </w:pPr>
      <w:r>
        <w:rPr>
          <w:rFonts w:hint="eastAsia"/>
          <w:shd w:val="clear" w:color="auto" w:fill="FFFFFF"/>
        </w:rPr>
        <w:t>（</w:t>
      </w:r>
      <w:r>
        <w:rPr>
          <w:shd w:val="clear" w:color="auto" w:fill="FFFFFF"/>
        </w:rPr>
        <w:t>4</w:t>
      </w:r>
      <w:r>
        <w:rPr>
          <w:rFonts w:hint="eastAsia"/>
          <w:shd w:val="clear" w:color="auto" w:fill="FFFFFF"/>
        </w:rPr>
        <w:t>）积极推进县级水网</w:t>
      </w:r>
    </w:p>
    <w:p w14:paraId="2C94A273">
      <w:pPr>
        <w:ind w:firstLine="480"/>
        <w:rPr>
          <w:shd w:val="clear" w:color="auto" w:fill="FFFFFF"/>
        </w:rPr>
      </w:pPr>
      <w:r>
        <w:rPr>
          <w:shd w:val="clear" w:color="auto" w:fill="FFFFFF"/>
        </w:rPr>
        <w:t>县级水网是市级水网的延伸，是保障水网工程建设</w:t>
      </w:r>
      <w:r>
        <w:rPr>
          <w:rFonts w:ascii="宋体" w:hAnsi="宋体"/>
          <w:shd w:val="clear" w:color="auto" w:fill="FFFFFF"/>
        </w:rPr>
        <w:t>“最后一</w:t>
      </w:r>
      <w:r>
        <w:rPr>
          <w:rFonts w:hint="eastAsia" w:ascii="宋体" w:hAnsi="宋体"/>
          <w:shd w:val="clear" w:color="auto" w:fill="FFFFFF"/>
        </w:rPr>
        <w:t>公里</w:t>
      </w:r>
      <w:r>
        <w:rPr>
          <w:rFonts w:ascii="宋体" w:hAnsi="宋体"/>
          <w:shd w:val="clear" w:color="auto" w:fill="FFFFFF"/>
        </w:rPr>
        <w:t>”</w:t>
      </w:r>
      <w:r>
        <w:rPr>
          <w:shd w:val="clear" w:color="auto" w:fill="FFFFFF"/>
        </w:rPr>
        <w:t>的关键环节，市级水网承担着指导县级水网的功能</w:t>
      </w:r>
      <w:r>
        <w:rPr>
          <w:rFonts w:hint="eastAsia"/>
          <w:shd w:val="clear" w:color="auto" w:fill="FFFFFF"/>
        </w:rPr>
        <w:t>。</w:t>
      </w:r>
      <w:r>
        <w:rPr>
          <w:shd w:val="clear" w:color="auto" w:fill="FFFFFF"/>
        </w:rPr>
        <w:t>市级水网总体布局依托骨干河湖水系</w:t>
      </w:r>
      <w:r>
        <w:rPr>
          <w:rFonts w:hint="eastAsia"/>
          <w:shd w:val="clear" w:color="auto" w:fill="FFFFFF"/>
        </w:rPr>
        <w:t>，</w:t>
      </w:r>
      <w:r>
        <w:rPr>
          <w:shd w:val="clear" w:color="auto" w:fill="FFFFFF"/>
        </w:rPr>
        <w:t>覆盖全部县级河道</w:t>
      </w:r>
      <w:r>
        <w:rPr>
          <w:rFonts w:hint="eastAsia"/>
          <w:shd w:val="clear" w:color="auto" w:fill="FFFFFF"/>
        </w:rPr>
        <w:t>，</w:t>
      </w:r>
      <w:r>
        <w:rPr>
          <w:shd w:val="clear" w:color="auto" w:fill="FFFFFF"/>
        </w:rPr>
        <w:t>覆盖泰州</w:t>
      </w:r>
      <w:r>
        <w:rPr>
          <w:rFonts w:hint="eastAsia"/>
          <w:shd w:val="clear" w:color="auto" w:fill="FFFFFF"/>
        </w:rPr>
        <w:t>所有县（市）区，重点闸站调控能力满足地区大部分供排水需求，目标指标承上启下，具有前瞻性和可操作性。泰州现代水网将统筹推进幸福河湖建设、高标准农田建设、农村生态河道治理等，加强与县级水网的互联互通，为全面建设县级水网奠定坚实的基础。</w:t>
      </w:r>
    </w:p>
    <w:p w14:paraId="232EC692">
      <w:pPr>
        <w:pStyle w:val="3"/>
        <w:spacing w:before="163"/>
      </w:pPr>
      <w:bookmarkStart w:id="20" w:name="_Toc169102118"/>
      <w:bookmarkEnd w:id="20"/>
      <w:bookmarkStart w:id="21" w:name="_Toc169102494"/>
      <w:bookmarkEnd w:id="21"/>
      <w:bookmarkStart w:id="22" w:name="_Toc169102306"/>
      <w:bookmarkEnd w:id="22"/>
      <w:bookmarkStart w:id="23" w:name="_Toc169101930"/>
      <w:bookmarkEnd w:id="23"/>
      <w:bookmarkStart w:id="24" w:name="_Toc181109843"/>
      <w:r>
        <w:rPr>
          <w:rFonts w:hint="eastAsia"/>
        </w:rPr>
        <w:t>主要任务</w:t>
      </w:r>
      <w:bookmarkEnd w:id="24"/>
    </w:p>
    <w:p w14:paraId="1CF24DBC">
      <w:pPr>
        <w:ind w:firstLine="480"/>
      </w:pPr>
      <w:r>
        <w:rPr>
          <w:rFonts w:hint="eastAsia" w:cs="Times New Roman"/>
        </w:rPr>
        <w:t>基于“</w:t>
      </w:r>
      <w:r>
        <w:rPr>
          <w:rStyle w:val="35"/>
          <w:rFonts w:hint="eastAsia" w:cs="Times New Roman"/>
        </w:rPr>
        <w:t>一江三纵五横举纲、两区百河张目、湖荡闸站系结</w:t>
      </w:r>
      <w:r>
        <w:rPr>
          <w:rFonts w:hint="eastAsia" w:cs="Times New Roman"/>
        </w:rPr>
        <w:t>”的市级水网总体格局，通过</w:t>
      </w:r>
      <w:r>
        <w:rPr>
          <w:rFonts w:hint="eastAsia"/>
        </w:rPr>
        <w:t>强</w:t>
      </w:r>
      <w:r>
        <w:rPr>
          <w:rFonts w:asciiTheme="minorEastAsia" w:hAnsiTheme="minorEastAsia" w:eastAsiaTheme="minorEastAsia"/>
        </w:rPr>
        <w:t>“</w:t>
      </w:r>
      <w:r>
        <w:rPr>
          <w:rFonts w:hint="eastAsia" w:asciiTheme="minorEastAsia" w:hAnsiTheme="minorEastAsia" w:eastAsiaTheme="minorEastAsia"/>
        </w:rPr>
        <w:t>纲</w:t>
      </w:r>
      <w:r>
        <w:rPr>
          <w:rFonts w:asciiTheme="minorEastAsia" w:hAnsiTheme="minorEastAsia" w:eastAsiaTheme="minorEastAsia"/>
        </w:rPr>
        <w:t>”</w:t>
      </w:r>
      <w:r>
        <w:rPr>
          <w:rFonts w:hint="eastAsia" w:asciiTheme="minorEastAsia" w:hAnsiTheme="minorEastAsia" w:eastAsiaTheme="minorEastAsia"/>
        </w:rPr>
        <w:t>密</w:t>
      </w:r>
      <w:r>
        <w:rPr>
          <w:rFonts w:asciiTheme="minorEastAsia" w:hAnsiTheme="minorEastAsia" w:eastAsiaTheme="minorEastAsia"/>
        </w:rPr>
        <w:t>“</w:t>
      </w:r>
      <w:r>
        <w:rPr>
          <w:rFonts w:hint="eastAsia" w:asciiTheme="minorEastAsia" w:hAnsiTheme="minorEastAsia" w:eastAsiaTheme="minorEastAsia"/>
        </w:rPr>
        <w:t>目</w:t>
      </w:r>
      <w:r>
        <w:rPr>
          <w:rFonts w:asciiTheme="minorEastAsia" w:hAnsiTheme="minorEastAsia" w:eastAsiaTheme="minorEastAsia"/>
        </w:rPr>
        <w:t>”</w:t>
      </w:r>
      <w:r>
        <w:rPr>
          <w:rFonts w:hint="eastAsia" w:asciiTheme="minorEastAsia" w:hAnsiTheme="minorEastAsia" w:eastAsiaTheme="minorEastAsia"/>
        </w:rPr>
        <w:t>固</w:t>
      </w:r>
      <w:r>
        <w:rPr>
          <w:rFonts w:asciiTheme="minorEastAsia" w:hAnsiTheme="minorEastAsia" w:eastAsiaTheme="minorEastAsia"/>
        </w:rPr>
        <w:t>“</w:t>
      </w:r>
      <w:r>
        <w:rPr>
          <w:rFonts w:hint="eastAsia" w:asciiTheme="minorEastAsia" w:hAnsiTheme="minorEastAsia" w:eastAsiaTheme="minorEastAsia"/>
        </w:rPr>
        <w:t>结</w:t>
      </w:r>
      <w:r>
        <w:rPr>
          <w:rFonts w:asciiTheme="minorEastAsia" w:hAnsiTheme="minorEastAsia" w:eastAsiaTheme="minorEastAsia"/>
        </w:rPr>
        <w:t>”</w:t>
      </w:r>
      <w:r>
        <w:rPr>
          <w:rFonts w:hint="eastAsia" w:asciiTheme="minorEastAsia" w:hAnsiTheme="minorEastAsia" w:eastAsiaTheme="minorEastAsia"/>
        </w:rPr>
        <w:t>，</w:t>
      </w:r>
      <w:r>
        <w:rPr>
          <w:rFonts w:hint="eastAsia"/>
        </w:rPr>
        <w:t>构建</w:t>
      </w:r>
      <w:r>
        <w:rPr>
          <w:rFonts w:asciiTheme="minorEastAsia" w:hAnsiTheme="minorEastAsia" w:eastAsiaTheme="minorEastAsia"/>
        </w:rPr>
        <w:t>“</w:t>
      </w:r>
      <w:r>
        <w:rPr>
          <w:rFonts w:hint="eastAsia" w:asciiTheme="minorEastAsia" w:hAnsiTheme="minorEastAsia" w:eastAsiaTheme="minorEastAsia"/>
        </w:rPr>
        <w:t>江河安澜的防洪排涝网、集约高效的水资源调配网、人水和谐的生态河湖网、智慧互联的数字孪生网</w:t>
      </w:r>
      <w:r>
        <w:rPr>
          <w:rFonts w:asciiTheme="minorEastAsia" w:hAnsiTheme="minorEastAsia" w:eastAsiaTheme="minorEastAsia"/>
        </w:rPr>
        <w:t>”</w:t>
      </w:r>
      <w:r>
        <w:rPr>
          <w:rFonts w:hint="eastAsia" w:asciiTheme="minorEastAsia" w:hAnsiTheme="minorEastAsia" w:eastAsiaTheme="minorEastAsia"/>
        </w:rPr>
        <w:t>，打造</w:t>
      </w:r>
      <w:r>
        <w:rPr>
          <w:rFonts w:asciiTheme="minorEastAsia" w:hAnsiTheme="minorEastAsia" w:eastAsiaTheme="minorEastAsia"/>
        </w:rPr>
        <w:t>“</w:t>
      </w:r>
      <w:r>
        <w:rPr>
          <w:rFonts w:hint="eastAsia" w:asciiTheme="minorEastAsia" w:hAnsiTheme="minorEastAsia" w:eastAsiaTheme="minorEastAsia"/>
        </w:rPr>
        <w:t>四网合一</w:t>
      </w:r>
      <w:r>
        <w:rPr>
          <w:rFonts w:asciiTheme="minorEastAsia" w:hAnsiTheme="minorEastAsia" w:eastAsiaTheme="minorEastAsia"/>
        </w:rPr>
        <w:t>”</w:t>
      </w:r>
      <w:r>
        <w:rPr>
          <w:rFonts w:hint="eastAsia" w:asciiTheme="minorEastAsia" w:hAnsiTheme="minorEastAsia" w:eastAsiaTheme="minorEastAsia"/>
        </w:rPr>
        <w:t>的泰州现代水网，助力水利高质量发展，为</w:t>
      </w:r>
      <w:r>
        <w:rPr>
          <w:rFonts w:asciiTheme="minorEastAsia" w:hAnsiTheme="minorEastAsia" w:eastAsiaTheme="minorEastAsia"/>
        </w:rPr>
        <w:t>“</w:t>
      </w:r>
      <w:r>
        <w:rPr>
          <w:rFonts w:hint="eastAsia" w:asciiTheme="minorEastAsia" w:hAnsiTheme="minorEastAsia" w:eastAsiaTheme="minorEastAsia"/>
        </w:rPr>
        <w:t>强富美高</w:t>
      </w:r>
      <w:r>
        <w:rPr>
          <w:rFonts w:asciiTheme="minorEastAsia" w:hAnsiTheme="minorEastAsia" w:eastAsiaTheme="minorEastAsia"/>
        </w:rPr>
        <w:t>”新</w:t>
      </w:r>
      <w:r>
        <w:rPr>
          <w:rFonts w:hint="eastAsia" w:asciiTheme="minorEastAsia" w:hAnsiTheme="minorEastAsia" w:eastAsiaTheme="minorEastAsia"/>
        </w:rPr>
        <w:t>泰州提供坚实的水安全保障。</w:t>
      </w:r>
    </w:p>
    <w:p w14:paraId="6A9EA34A">
      <w:pPr>
        <w:pStyle w:val="4"/>
        <w:numPr>
          <w:ilvl w:val="0"/>
          <w:numId w:val="0"/>
        </w:numPr>
        <w:ind w:left="709"/>
      </w:pPr>
      <w:r>
        <w:rPr>
          <w:rFonts w:hint="eastAsia"/>
        </w:rPr>
        <w:t>（1）筑牢江河安澜的防洪排涝网</w:t>
      </w:r>
    </w:p>
    <w:p w14:paraId="2E66C00A">
      <w:pPr>
        <w:ind w:firstLine="480"/>
        <w:rPr>
          <w:rFonts w:ascii="宋体" w:hAnsi="宋体"/>
        </w:rPr>
      </w:pPr>
      <w:r>
        <w:rPr>
          <w:rFonts w:hint="eastAsia"/>
        </w:rPr>
        <w:t>长江按照“固堤防，守节点，稳河势，止坍江”的治理方针，加快实施长江扬中河段二期（应急治理）工程，加强长江崩岸治理，持续推进泰州长江干流堤防防洪能力提升工程，将长江堤防防洪能力提升至百年一遇；持续推进里下河湖泊湖荡</w:t>
      </w:r>
      <w:r>
        <w:t>生态</w:t>
      </w:r>
      <w:r>
        <w:rPr>
          <w:rFonts w:hint="eastAsia"/>
        </w:rPr>
        <w:t>修复、退圩（渔）还湖（湿）工程建设，加快实施里下河滞涝圩调整建设，全面提升里下河地区湖泊湖荡调蓄能力；实施</w:t>
      </w:r>
      <w:r>
        <w:rPr>
          <w:rFonts w:hint="eastAsia"/>
          <w:bCs/>
        </w:rPr>
        <w:t>卤汀河、上官河、下官河等</w:t>
      </w:r>
      <w:r>
        <w:rPr>
          <w:rFonts w:hint="eastAsia"/>
        </w:rPr>
        <w:t>中小河流整治，实施圩堤加固、病险闸站加固等工程，实施泰州市通南引排能力提升工程，实施城市排涝站新改建工程等，提升区域防洪排涝水平，加强洪涝风险管控，实</w:t>
      </w:r>
      <w:r>
        <w:rPr>
          <w:rFonts w:hint="eastAsia" w:ascii="宋体" w:hAnsi="宋体"/>
        </w:rPr>
        <w:t>现</w:t>
      </w:r>
      <w:r>
        <w:rPr>
          <w:rFonts w:ascii="宋体" w:hAnsi="宋体"/>
        </w:rPr>
        <w:t>“</w:t>
      </w:r>
      <w:r>
        <w:rPr>
          <w:rFonts w:hint="eastAsia" w:ascii="宋体" w:hAnsi="宋体"/>
        </w:rPr>
        <w:t>超标准洪水有预案、标准内洪水可防、一般洪水可控</w:t>
      </w:r>
      <w:r>
        <w:rPr>
          <w:rFonts w:ascii="宋体" w:hAnsi="宋体"/>
        </w:rPr>
        <w:t>”</w:t>
      </w:r>
      <w:r>
        <w:rPr>
          <w:rFonts w:hint="eastAsia" w:ascii="宋体" w:hAnsi="宋体"/>
        </w:rPr>
        <w:t>。</w:t>
      </w:r>
    </w:p>
    <w:p w14:paraId="12B20ABC">
      <w:pPr>
        <w:pStyle w:val="4"/>
        <w:numPr>
          <w:ilvl w:val="0"/>
          <w:numId w:val="0"/>
        </w:numPr>
        <w:ind w:left="709"/>
      </w:pPr>
      <w:r>
        <w:rPr>
          <w:rFonts w:hint="eastAsia"/>
        </w:rPr>
        <w:t>（2）构建集约高效的水资源调配网</w:t>
      </w:r>
    </w:p>
    <w:p w14:paraId="1860EF3F">
      <w:pPr>
        <w:ind w:firstLine="480"/>
      </w:pPr>
      <w:r>
        <w:rPr>
          <w:rFonts w:hint="eastAsia"/>
        </w:rPr>
        <w:t>针对泰州市水资源时空分布不均，但过境水资源量丰富的特点，立足水资源空间均衡配置，坚持节水优先、量水而行，结合经济社会发展布局与需求，加强与国家、省级骨干水网的衔接，进一步优化市级水网水资源配置体系，完善城乡供水保障体系，巩固提升城乡供水安全保障能力，巩固市域灌溉骨干工程，推进灌区续建配套与现代化改造，强化非常规水源利用，为经济社会发展提供高效可持续的水资源支撑与保障。</w:t>
      </w:r>
    </w:p>
    <w:p w14:paraId="7F143C19">
      <w:pPr>
        <w:pStyle w:val="4"/>
        <w:numPr>
          <w:ilvl w:val="0"/>
          <w:numId w:val="0"/>
        </w:numPr>
        <w:ind w:left="709"/>
      </w:pPr>
      <w:r>
        <w:rPr>
          <w:rFonts w:hint="eastAsia"/>
        </w:rPr>
        <w:t>（3）打造人水和谐的生态河湖网</w:t>
      </w:r>
    </w:p>
    <w:p w14:paraId="114333F4">
      <w:pPr>
        <w:ind w:firstLine="480"/>
      </w:pPr>
      <w:r>
        <w:rPr>
          <w:rFonts w:hint="eastAsia"/>
        </w:rPr>
        <w:t>以健全江河湖荡生态空间、保障生态水位、提升水生态质量和稳定性为目标，按照系统治理思路，谋划市域重要河湖生态保护修复工程，推进骨干绿廊建设，串联湖荡生态绿核，加快水系连通及水生态修复、幸福河湖、水源涵养与水土保持、水文化载体等建设，加强水生态空间保护与管控，打造“河安湖晏、水清岸绿、鱼翔浅底、文昌人和”的幸福河湖，构建人水和谐的生态河湖网。</w:t>
      </w:r>
    </w:p>
    <w:p w14:paraId="0203C640">
      <w:pPr>
        <w:pStyle w:val="4"/>
        <w:numPr>
          <w:ilvl w:val="0"/>
          <w:numId w:val="0"/>
        </w:numPr>
        <w:ind w:left="709"/>
      </w:pPr>
      <w:r>
        <w:rPr>
          <w:rFonts w:hint="eastAsia"/>
        </w:rPr>
        <w:t>（4）推进智慧互联的数字孪生网</w:t>
      </w:r>
    </w:p>
    <w:p w14:paraId="5E3555D5">
      <w:pPr>
        <w:ind w:firstLine="480"/>
      </w:pPr>
      <w:r>
        <w:rPr>
          <w:rFonts w:hint="eastAsia"/>
        </w:rPr>
        <w:t>紧扣高质量发展和现代化建设目标，依托现代化技术手段，以数字感知、智能调控、智慧管理为主线，充分整合已建、统筹完善在建、规范引领新建，开展江河堤防、骨干河道监测设施和闸站智能调控工程建设，推动水利综合业务孪生化智慧化管理，提升水网综合管理智能化水平，实现智慧治水。</w:t>
      </w:r>
    </w:p>
    <w:p w14:paraId="1E3C9B6C">
      <w:pPr>
        <w:pStyle w:val="2"/>
      </w:pPr>
      <w:bookmarkStart w:id="25" w:name="_Toc181109844"/>
      <w:r>
        <w:rPr>
          <w:rFonts w:hint="eastAsia"/>
        </w:rPr>
        <w:t>筑牢江河安澜的防洪排涝网</w:t>
      </w:r>
      <w:bookmarkEnd w:id="25"/>
    </w:p>
    <w:p w14:paraId="5425FC26">
      <w:pPr>
        <w:pStyle w:val="3"/>
        <w:spacing w:before="163"/>
      </w:pPr>
      <w:bookmarkStart w:id="26" w:name="_Toc181109845"/>
      <w:r>
        <w:rPr>
          <w:rFonts w:hint="eastAsia"/>
        </w:rPr>
        <w:t>建设思路</w:t>
      </w:r>
      <w:bookmarkEnd w:id="26"/>
    </w:p>
    <w:p w14:paraId="2454A0D7">
      <w:pPr>
        <w:ind w:firstLine="480"/>
        <w:rPr>
          <w:rFonts w:cs="Times New Roman"/>
        </w:rPr>
      </w:pPr>
      <w:r>
        <w:rPr>
          <w:rFonts w:hint="eastAsia" w:cs="Times New Roman"/>
        </w:rPr>
        <w:t>依托长江堤防防洪能力提升、长江扬中河段二期治理，筑牢区域外围防洪屏障；巩固老328国道控制线防洪能力，加高培厚里下河圩堤、沿江圩区河堤等，保障区域防洪安全。以扩大外排能力、提升调蓄能力为主线，通过实施中小河流整治、加快里下河滞涝圩建设、推进湖泊湖荡生态修复、退圩（渔）还湖（湿），扩大区域外排能力、恢复里下河地区中滞能力；持续巩固提升通江闸站排水能力，增强城市防洪除涝韧性、加强极端天气城市应急排涝能力建设，保障区域防洪除涝安全。</w:t>
      </w:r>
    </w:p>
    <w:p w14:paraId="44135214">
      <w:pPr>
        <w:pStyle w:val="3"/>
        <w:spacing w:before="163"/>
      </w:pPr>
      <w:bookmarkStart w:id="27" w:name="_Toc181109846"/>
      <w:r>
        <w:rPr>
          <w:rFonts w:hint="eastAsia"/>
        </w:rPr>
        <w:t>提升外围防洪能力</w:t>
      </w:r>
      <w:bookmarkEnd w:id="27"/>
    </w:p>
    <w:p w14:paraId="3DF5B8B9">
      <w:pPr>
        <w:pStyle w:val="4"/>
      </w:pPr>
      <w:r>
        <w:rPr>
          <w:rFonts w:hint="eastAsia"/>
        </w:rPr>
        <w:t>巩固提升长江堤防防洪能力</w:t>
      </w:r>
    </w:p>
    <w:p w14:paraId="7FD696D7">
      <w:pPr>
        <w:ind w:firstLine="480"/>
        <w:rPr>
          <w:rFonts w:cs="Times New Roman"/>
        </w:rPr>
      </w:pPr>
      <w:r>
        <w:rPr>
          <w:rFonts w:hint="eastAsia" w:cs="Times New Roman"/>
        </w:rPr>
        <w:t>长江干流按照“固堤防，守节点，稳河势，止崩坍”的治理方针，统筹河势控制、防洪安全，以控制和稳定现有河势为主，加强重要节点和险工岸段的守护以及洲滩的分级分类管控，遏制河道不利发展态势。在已实施的江堤达标建设的基础上，持续实施泰州市长江堤防防洪能力提升工程，对主江堤和穿堤建筑物进行加固消险，结合城镇开发进行生态建设和环境整治，畅通防汛道路、完善安全监测设施，将长江防洪能力全面提升至百年一遇。推进长江扬中河段二期（应急治理）工程，进一步稳定河势，保护自然岸线，消除江岸坍塌隐患，保障防洪安全。推进长江澄通河段整治前期工作，适时开展工程建设。</w:t>
      </w:r>
    </w:p>
    <w:p w14:paraId="4A8B01C5">
      <w:pPr>
        <w:pStyle w:val="4"/>
      </w:pPr>
      <w:r>
        <w:rPr>
          <w:rFonts w:hint="eastAsia"/>
        </w:rPr>
        <w:t>持续巩固老高低控制线防洪及调控能力</w:t>
      </w:r>
    </w:p>
    <w:p w14:paraId="7BD9E362">
      <w:pPr>
        <w:ind w:firstLine="480"/>
        <w:rPr>
          <w:rFonts w:cs="Times New Roman"/>
        </w:rPr>
      </w:pPr>
      <w:r>
        <w:rPr>
          <w:rFonts w:hint="eastAsia" w:cs="Times New Roman"/>
        </w:rPr>
        <w:t>根据区域防洪布局安排，在已实施的老328国道沿线控制建筑物除险加固工程基础上，持续加强老328国道沿线控制建筑物统筹调度管理，及时开展安全鉴定及除险加固，确保工程安全运行，充分发挥防洪除涝等效益。</w:t>
      </w:r>
    </w:p>
    <w:p w14:paraId="0EAA52EC">
      <w:pPr>
        <w:ind w:firstLine="480"/>
        <w:rPr>
          <w:rFonts w:cs="Times New Roman"/>
        </w:rPr>
      </w:pPr>
    </w:p>
    <w:p w14:paraId="1A1F29F1">
      <w:pPr>
        <w:ind w:firstLine="480"/>
      </w:pP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82"/>
      </w:tblGrid>
      <w:tr w14:paraId="58D6B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00" w:type="pct"/>
            <w:shd w:val="clear" w:color="auto" w:fill="auto"/>
            <w:vAlign w:val="center"/>
          </w:tcPr>
          <w:p w14:paraId="37652861">
            <w:pPr>
              <w:pStyle w:val="64"/>
            </w:pPr>
            <w:r>
              <w:rPr>
                <w:rFonts w:hint="eastAsia"/>
              </w:rPr>
              <w:t>专栏</w:t>
            </w:r>
            <w:r>
              <w:t xml:space="preserve">3.2-1 </w:t>
            </w:r>
            <w:r>
              <w:rPr>
                <w:rFonts w:hint="eastAsia"/>
              </w:rPr>
              <w:t>流域性防洪能力提升工程</w:t>
            </w:r>
          </w:p>
        </w:tc>
      </w:tr>
      <w:tr w14:paraId="7B7E7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5000" w:type="pct"/>
            <w:shd w:val="clear" w:color="auto" w:fill="auto"/>
            <w:noWrap/>
          </w:tcPr>
          <w:p w14:paraId="07AA962F">
            <w:pPr>
              <w:pStyle w:val="57"/>
              <w:jc w:val="both"/>
              <w:rPr>
                <w:b/>
              </w:rPr>
            </w:pPr>
            <w:r>
              <w:rPr>
                <w:rFonts w:hint="eastAsia"/>
                <w:b/>
              </w:rPr>
              <w:t>1、长江堤防防洪能力提升近期工程</w:t>
            </w:r>
          </w:p>
          <w:p w14:paraId="58005A26">
            <w:pPr>
              <w:pStyle w:val="66"/>
              <w:ind w:firstLine="480"/>
            </w:pPr>
            <w:r>
              <w:rPr>
                <w:rFonts w:hint="eastAsia"/>
              </w:rPr>
              <w:t>按照1</w:t>
            </w:r>
            <w:r>
              <w:t>00年一遇防洪标准，加固</w:t>
            </w:r>
            <w:r>
              <w:rPr>
                <w:rFonts w:hint="eastAsia"/>
              </w:rPr>
              <w:t>105.67km长江堤防（含港堤），新改建沿江28座通江节制闸、7座闸站结合工程、12座沿江排涝站、30座通江穿堤涵洞。（基于《长江流域综合规划（国函〔2</w:t>
            </w:r>
            <w:r>
              <w:t>012</w:t>
            </w:r>
            <w:r>
              <w:rPr>
                <w:rFonts w:hint="eastAsia"/>
              </w:rPr>
              <w:t>〕2</w:t>
            </w:r>
            <w:r>
              <w:t>20号</w:t>
            </w:r>
            <w:r>
              <w:rPr>
                <w:rFonts w:hint="eastAsia"/>
              </w:rPr>
              <w:t>）》《江苏省长江堤防防洪能力提升近期工程可行性研究（2</w:t>
            </w:r>
            <w:r>
              <w:t>021年</w:t>
            </w:r>
            <w:r>
              <w:rPr>
                <w:rFonts w:hint="eastAsia"/>
              </w:rPr>
              <w:t>）》等）</w:t>
            </w:r>
          </w:p>
          <w:p w14:paraId="611A7E82">
            <w:pPr>
              <w:pStyle w:val="57"/>
              <w:jc w:val="both"/>
              <w:rPr>
                <w:b/>
              </w:rPr>
            </w:pPr>
            <w:r>
              <w:rPr>
                <w:rFonts w:hint="eastAsia"/>
                <w:b/>
              </w:rPr>
              <w:t>2、长江扬中河段二期（应急治理）工程</w:t>
            </w:r>
          </w:p>
          <w:p w14:paraId="7B459AFC">
            <w:pPr>
              <w:pStyle w:val="66"/>
              <w:ind w:firstLine="480"/>
            </w:pPr>
            <w:r>
              <w:rPr>
                <w:rFonts w:hint="eastAsia"/>
              </w:rPr>
              <w:t>实施礁板沙水下平台（泰州杨湾）维护工程、泰州高港（泰州大桥～白沙洲）护岸加固工程、靖江界河口～小掘港护岸加固工程。（基于《长江扬中河段二期（应急治理）工程可研报告（苏发改农经发〔2024〕578号）》）</w:t>
            </w:r>
          </w:p>
        </w:tc>
      </w:tr>
    </w:tbl>
    <w:p w14:paraId="66AA2730">
      <w:pPr>
        <w:pStyle w:val="3"/>
        <w:spacing w:before="163"/>
      </w:pPr>
      <w:bookmarkStart w:id="28" w:name="_Toc181109847"/>
      <w:r>
        <w:rPr>
          <w:rFonts w:hint="eastAsia"/>
        </w:rPr>
        <w:t>补齐区域防洪除涝短板</w:t>
      </w:r>
      <w:bookmarkEnd w:id="28"/>
    </w:p>
    <w:p w14:paraId="6472B73A">
      <w:pPr>
        <w:pStyle w:val="4"/>
      </w:pPr>
      <w:r>
        <w:t>提升里下河</w:t>
      </w:r>
      <w:r>
        <w:rPr>
          <w:rFonts w:hint="eastAsia"/>
        </w:rPr>
        <w:t>片防洪除涝</w:t>
      </w:r>
      <w:r>
        <w:t>能力</w:t>
      </w:r>
    </w:p>
    <w:p w14:paraId="2935352A">
      <w:pPr>
        <w:ind w:firstLine="480"/>
        <w:rPr>
          <w:rFonts w:cs="Times New Roman"/>
        </w:rPr>
      </w:pPr>
      <w:r>
        <w:rPr>
          <w:rFonts w:hint="eastAsia"/>
        </w:rPr>
        <w:t>按照省级水网建设要求，</w:t>
      </w:r>
      <w:r>
        <w:rPr>
          <w:rFonts w:ascii="宋体" w:hAnsi="宋体"/>
        </w:rPr>
        <w:t>坚持“上抽、中滞、下排”的治理方针，协同推进里下河腹部“中滞、下排”</w:t>
      </w:r>
      <w:r>
        <w:t>能力提升与完善：</w:t>
      </w:r>
    </w:p>
    <w:p w14:paraId="4A12EC8A">
      <w:pPr>
        <w:ind w:firstLine="480"/>
        <w:rPr>
          <w:rFonts w:cs="Times New Roman"/>
        </w:rPr>
      </w:pPr>
      <w:r>
        <w:rPr>
          <w:rStyle w:val="35"/>
        </w:rPr>
        <w:t>“中滞”。</w:t>
      </w:r>
      <w:r>
        <w:rPr>
          <w:rFonts w:hint="eastAsia" w:cs="Times New Roman"/>
        </w:rPr>
        <w:t>按照“滞得进、蓄得住、退得出、人安全”的原则，实施里下河滞涝圩调整建设工程，通过建设进退洪涵闸、加固圩堤、疏浚行水通道、建设</w:t>
      </w:r>
      <w:r>
        <w:rPr>
          <w:rFonts w:hint="eastAsia"/>
        </w:rPr>
        <w:t>保庄圩等，并开展工程优化调度</w:t>
      </w:r>
      <w:r>
        <w:rPr>
          <w:rFonts w:hint="eastAsia" w:cs="Times New Roman"/>
        </w:rPr>
        <w:t>，实现分批分级滞涝，保障洪涝水滞蓄空间，确保滞洪安全。按照“总量控制”、“保护基本农田”、“保证主要功能”等原则，在已实施的陈堡草荡</w:t>
      </w:r>
      <w:r>
        <w:rPr>
          <w:rFonts w:cs="Times New Roman"/>
        </w:rPr>
        <w:t>退圩还湖基础上，</w:t>
      </w:r>
      <w:r>
        <w:rPr>
          <w:rFonts w:hint="eastAsia" w:cs="Times New Roman"/>
        </w:rPr>
        <w:t>统筹湖泊湖荡生态修复，持续推进境内里下河腹部地区大纵湖等</w:t>
      </w:r>
      <w:r>
        <w:rPr>
          <w:rFonts w:cs="Times New Roman"/>
        </w:rPr>
        <w:t>22处</w:t>
      </w:r>
      <w:r>
        <w:rPr>
          <w:rFonts w:hint="eastAsia" w:cs="Times New Roman"/>
        </w:rPr>
        <w:t>湖泊湖荡</w:t>
      </w:r>
      <w:r>
        <w:rPr>
          <w:rFonts w:hint="eastAsia"/>
        </w:rPr>
        <w:t>退圩还湖</w:t>
      </w:r>
      <w:r>
        <w:rPr>
          <w:rFonts w:hint="eastAsia" w:cs="Times New Roman"/>
        </w:rPr>
        <w:t>工程，巩固提升里下河腹部地区洪涝水蓄滞能力，切实保障里下河腹部地区城市、重要基础设施和安全圩等的防洪除涝安全。</w:t>
      </w:r>
    </w:p>
    <w:p w14:paraId="711992EB">
      <w:pPr>
        <w:ind w:firstLine="480"/>
        <w:rPr>
          <w:rFonts w:cs="Times New Roman"/>
        </w:rPr>
      </w:pPr>
      <w:r>
        <w:rPr>
          <w:rStyle w:val="35"/>
        </w:rPr>
        <w:t>“下排”。</w:t>
      </w:r>
      <w:r>
        <w:rPr>
          <w:rFonts w:cs="Times New Roman"/>
          <w:iCs/>
        </w:rPr>
        <w:t>坚持</w:t>
      </w:r>
      <w:r>
        <w:rPr>
          <w:rFonts w:hint="eastAsia" w:cs="Times New Roman"/>
        </w:rPr>
        <w:t>扩大、延伸里下河腹部地区“五港”自排通道，畅通内部水系</w:t>
      </w:r>
      <w:r>
        <w:rPr>
          <w:rStyle w:val="35"/>
        </w:rPr>
        <w:t>。</w:t>
      </w:r>
      <w:r>
        <w:t>在已实施的</w:t>
      </w:r>
      <w:r>
        <w:rPr>
          <w:rFonts w:hint="eastAsia"/>
        </w:rPr>
        <w:t>里下河川东港整治工程（含车路河）基础上，持续实施</w:t>
      </w:r>
      <w:r>
        <w:t>斗龙港治理工程</w:t>
      </w:r>
      <w:r>
        <w:rPr>
          <w:rFonts w:hint="eastAsia"/>
        </w:rPr>
        <w:t>（</w:t>
      </w:r>
      <w:r>
        <w:t>含兴盐界河</w:t>
      </w:r>
      <w:r>
        <w:rPr>
          <w:rFonts w:hint="eastAsia"/>
        </w:rPr>
        <w:t>）以及配套沿线支河治理等，</w:t>
      </w:r>
      <w:r>
        <w:rPr>
          <w:rFonts w:hint="eastAsia" w:cs="Times New Roman"/>
        </w:rPr>
        <w:t>进一步提升东排入海能力</w:t>
      </w:r>
      <w:r>
        <w:rPr>
          <w:rFonts w:hint="eastAsia"/>
        </w:rPr>
        <w:t>；进一步畅通内部排水通道，巩固提升堤防防洪标准，</w:t>
      </w:r>
      <w:r>
        <w:rPr>
          <w:rFonts w:hint="eastAsia" w:cs="Times New Roman"/>
        </w:rPr>
        <w:t>按照</w:t>
      </w:r>
      <w:r>
        <w:rPr>
          <w:rFonts w:cs="Times New Roman" w:asciiTheme="minorEastAsia" w:hAnsiTheme="minorEastAsia" w:eastAsiaTheme="minorEastAsia"/>
        </w:rPr>
        <w:t>“</w:t>
      </w:r>
      <w:r>
        <w:rPr>
          <w:rFonts w:hint="eastAsia" w:cs="Times New Roman"/>
        </w:rPr>
        <w:t>逐流域规划、逐流域治理</w:t>
      </w:r>
      <w:r>
        <w:rPr>
          <w:rFonts w:cs="Times New Roman" w:asciiTheme="minorEastAsia" w:hAnsiTheme="minorEastAsia" w:eastAsiaTheme="minorEastAsia"/>
        </w:rPr>
        <w:t>”</w:t>
      </w:r>
      <w:r>
        <w:rPr>
          <w:rFonts w:hint="eastAsia" w:cs="Times New Roman"/>
        </w:rPr>
        <w:t>原则，对雄港-雌港、白涂河等</w:t>
      </w:r>
      <w:r>
        <w:rPr>
          <w:rFonts w:cs="Times New Roman"/>
        </w:rPr>
        <w:t>中小河流进行系统治理，</w:t>
      </w:r>
      <w:r>
        <w:rPr>
          <w:rFonts w:hint="eastAsia" w:cs="Times New Roman"/>
        </w:rPr>
        <w:t>主要建设内容为河道疏浚，新建护岸、沿线配套建筑物改造等，积极推进里下河易涝区综合治理。</w:t>
      </w:r>
    </w:p>
    <w:p w14:paraId="7677D1CF">
      <w:pPr>
        <w:ind w:firstLine="480"/>
      </w:pPr>
    </w:p>
    <w:p w14:paraId="31F10BC8">
      <w:pPr>
        <w:pStyle w:val="4"/>
      </w:pPr>
      <w:r>
        <w:t>提升通南片排江能力</w:t>
      </w:r>
    </w:p>
    <w:p w14:paraId="130126C2">
      <w:pPr>
        <w:ind w:firstLine="480"/>
        <w:rPr>
          <w:rFonts w:cs="Times New Roman"/>
        </w:rPr>
      </w:pPr>
      <w:r>
        <w:rPr>
          <w:rStyle w:val="35"/>
          <w:rFonts w:hint="eastAsia"/>
        </w:rPr>
        <w:t>提升通南高沙土片排江能力。</w:t>
      </w:r>
      <w:r>
        <w:rPr>
          <w:rFonts w:hint="eastAsia"/>
        </w:rPr>
        <w:t>在已实施的古马干河、如泰运河等多条中小河流治理基础上，坚持区域水利治理规划确定的“扩大沿江多口门自排、抽排入江”的防洪除涝治理思路，优化调整“新增百花港—安宁港自排口门入江”治理方案，解决高沙土片排涝标准不达标问题，推进通南地区引排能力提升工程建设，包括整治增产港、夏仕港，拆建口岸闸、过船港闸、天星港闸、焦土港闸为闸站，进一步扩大区域洪涝水外排能力，提高了在遭受长江持续高潮顶托情况下自排受限的应对能力，增强了区域排涝调度的灵活性，降低了城市、区域洪涝风险。进一步畅通内部排水通道</w:t>
      </w:r>
      <w:r>
        <w:rPr>
          <w:rFonts w:hint="eastAsia" w:cs="Times New Roman"/>
        </w:rPr>
        <w:t>，对两泰官河、李中河等</w:t>
      </w:r>
      <w:r>
        <w:rPr>
          <w:rFonts w:cs="Times New Roman"/>
        </w:rPr>
        <w:t>中小河流进行系统治理，</w:t>
      </w:r>
      <w:r>
        <w:rPr>
          <w:rFonts w:hint="eastAsia" w:cs="Times New Roman"/>
        </w:rPr>
        <w:t>主要建设内容为河道疏浚，新建护岸、沿线配套建筑物改造等。</w:t>
      </w:r>
    </w:p>
    <w:p w14:paraId="02A9F31F">
      <w:pPr>
        <w:ind w:firstLine="480"/>
        <w:rPr>
          <w:rFonts w:cs="Times New Roman"/>
        </w:rPr>
      </w:pPr>
      <w:r>
        <w:rPr>
          <w:rStyle w:val="35"/>
        </w:rPr>
        <w:t>巩固提升通南沿江地区排涝能力。</w:t>
      </w:r>
      <w:r>
        <w:rPr>
          <w:rFonts w:hint="eastAsia"/>
        </w:rPr>
        <w:t>结合城市防洪排涝治理需求，统筹推进沿江圩区排江能力提升，实施八圩港闸站等沿江排涝闸站工程建设，研究七圩港闸等沿江口门改造方案等，扩大自排与抽排能力，提升区域应对短历时强暴雨、风暴潮遭遇等突发性灾害天气的应急能力。进一步畅通内部排水通道</w:t>
      </w:r>
      <w:r>
        <w:rPr>
          <w:rFonts w:hint="eastAsia" w:cs="Times New Roman"/>
        </w:rPr>
        <w:t>，对下六圩港、十圩港等</w:t>
      </w:r>
      <w:r>
        <w:rPr>
          <w:rFonts w:cs="Times New Roman"/>
        </w:rPr>
        <w:t>中小河流进行系统治理，</w:t>
      </w:r>
      <w:r>
        <w:rPr>
          <w:rFonts w:hint="eastAsia" w:cs="Times New Roman"/>
        </w:rPr>
        <w:t>积极推进通南易涝区综合治理。</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82"/>
      </w:tblGrid>
      <w:tr w14:paraId="30557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00" w:type="pct"/>
            <w:shd w:val="clear" w:color="auto" w:fill="auto"/>
            <w:vAlign w:val="center"/>
          </w:tcPr>
          <w:p w14:paraId="2B34E884">
            <w:pPr>
              <w:pStyle w:val="64"/>
            </w:pPr>
            <w:r>
              <w:rPr>
                <w:rFonts w:hint="eastAsia"/>
              </w:rPr>
              <w:t>专栏</w:t>
            </w:r>
            <w:r>
              <w:t xml:space="preserve">3.3-1 </w:t>
            </w:r>
            <w:r>
              <w:rPr>
                <w:rFonts w:hint="eastAsia"/>
              </w:rPr>
              <w:t>区域性防洪除涝能力提升工程</w:t>
            </w:r>
          </w:p>
        </w:tc>
      </w:tr>
      <w:tr w14:paraId="547E8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5000" w:type="pct"/>
            <w:shd w:val="clear" w:color="auto" w:fill="auto"/>
            <w:noWrap/>
          </w:tcPr>
          <w:p w14:paraId="2EE1F8D8">
            <w:pPr>
              <w:pStyle w:val="57"/>
              <w:jc w:val="both"/>
              <w:rPr>
                <w:b/>
              </w:rPr>
            </w:pPr>
            <w:r>
              <w:rPr>
                <w:b/>
              </w:rPr>
              <w:t>1</w:t>
            </w:r>
            <w:r>
              <w:rPr>
                <w:rFonts w:hint="eastAsia"/>
                <w:b/>
              </w:rPr>
              <w:t>、江苏省里下河滞涝圩调整建设工程</w:t>
            </w:r>
          </w:p>
          <w:p w14:paraId="27F6ABBE">
            <w:pPr>
              <w:pStyle w:val="66"/>
              <w:ind w:firstLine="480"/>
            </w:pPr>
            <w:r>
              <w:rPr>
                <w:rFonts w:hint="eastAsia"/>
              </w:rPr>
              <w:t>按照等效置换的原则，实施泰州境内保庄圩建设工程42.65km、安全圩堤防工程141.77km、滞涝圩堤防工程53.85km、穿圩河道治理45.42km、进退水闸78座。（基于《江苏省里下河滞涝圩调整建设工程可行性研究（2</w:t>
            </w:r>
            <w:r>
              <w:t>024年</w:t>
            </w:r>
            <w:r>
              <w:rPr>
                <w:rFonts w:hint="eastAsia"/>
              </w:rPr>
              <w:t>）》）</w:t>
            </w:r>
          </w:p>
          <w:p w14:paraId="0FF11657">
            <w:pPr>
              <w:pStyle w:val="57"/>
              <w:rPr>
                <w:b/>
              </w:rPr>
            </w:pPr>
            <w:r>
              <w:rPr>
                <w:b/>
              </w:rPr>
              <w:t>2</w:t>
            </w:r>
            <w:r>
              <w:rPr>
                <w:rFonts w:hint="eastAsia"/>
                <w:b/>
              </w:rPr>
              <w:t>、斗龙港（含兴盐界河）治理工程</w:t>
            </w:r>
          </w:p>
          <w:p w14:paraId="5C01A2D5">
            <w:pPr>
              <w:pStyle w:val="57"/>
              <w:jc w:val="both"/>
              <w:rPr>
                <w:b/>
              </w:rPr>
            </w:pPr>
            <w:r>
              <w:t>持续实施</w:t>
            </w:r>
            <w:r>
              <w:rPr>
                <w:rFonts w:hint="eastAsia"/>
              </w:rPr>
              <w:t>泰州市境内拓浚河道工程20.66km，堤防加固工程5.02km，河坡防护工程6.72km，拆建沿线配套建筑物12座等。（基于《</w:t>
            </w:r>
            <w:r>
              <w:t>斗龙港</w:t>
            </w:r>
            <w:r>
              <w:rPr>
                <w:rFonts w:hint="eastAsia"/>
              </w:rPr>
              <w:t>（</w:t>
            </w:r>
            <w:r>
              <w:t>含兴盐界河</w:t>
            </w:r>
            <w:r>
              <w:rPr>
                <w:rFonts w:hint="eastAsia"/>
              </w:rPr>
              <w:t>）</w:t>
            </w:r>
            <w:r>
              <w:t>治理工程初步设计（苏水计〔2022〕19号）</w:t>
            </w:r>
            <w:r>
              <w:rPr>
                <w:rFonts w:hint="eastAsia"/>
              </w:rPr>
              <w:t>》）</w:t>
            </w:r>
          </w:p>
          <w:p w14:paraId="1E1718AE">
            <w:pPr>
              <w:pStyle w:val="57"/>
              <w:jc w:val="both"/>
              <w:rPr>
                <w:b/>
              </w:rPr>
            </w:pPr>
            <w:r>
              <w:rPr>
                <w:b/>
              </w:rPr>
              <w:t>3</w:t>
            </w:r>
            <w:r>
              <w:rPr>
                <w:rFonts w:hint="eastAsia"/>
                <w:b/>
              </w:rPr>
              <w:t>、泰州市通南地区引排能力提升工程</w:t>
            </w:r>
          </w:p>
          <w:p w14:paraId="19C8239C">
            <w:pPr>
              <w:pStyle w:val="66"/>
              <w:ind w:firstLine="480"/>
            </w:pPr>
            <w:r>
              <w:rPr>
                <w:rFonts w:hint="eastAsia"/>
              </w:rPr>
              <w:t>整治增产港、夏仕港，拆建口岸闸、过船港闸、天星港闸、焦土港闸为闸站，扩大区域外排能力，增强区域排涝调度灵活性，提升区域排涝能力。（基于《泰州市通南地区引排能力提升工程可行性研究（2</w:t>
            </w:r>
            <w:r>
              <w:t>024年</w:t>
            </w:r>
            <w:r>
              <w:rPr>
                <w:rFonts w:hint="eastAsia"/>
              </w:rPr>
              <w:t>）》等）</w:t>
            </w:r>
          </w:p>
          <w:p w14:paraId="5B678B81">
            <w:pPr>
              <w:pStyle w:val="57"/>
              <w:jc w:val="both"/>
              <w:rPr>
                <w:b/>
              </w:rPr>
            </w:pPr>
            <w:r>
              <w:rPr>
                <w:b/>
              </w:rPr>
              <w:t>4</w:t>
            </w:r>
            <w:r>
              <w:rPr>
                <w:rFonts w:hint="eastAsia"/>
                <w:b/>
              </w:rPr>
              <w:t>、泰州市中小河流整治工程</w:t>
            </w:r>
          </w:p>
          <w:p w14:paraId="1D4E1A94">
            <w:pPr>
              <w:pStyle w:val="66"/>
              <w:ind w:firstLine="480"/>
            </w:pPr>
            <w:r>
              <w:rPr>
                <w:rFonts w:hint="eastAsia"/>
              </w:rPr>
              <w:t>整治25条中小河流：雄港-雌港、蚌蜒河、海河-海沟河、白涂河、李中河、老通扬运河、两泰官河、中干河、如泰运河、西姜黄河、东姜黄河、季黄河、生产河、南干河、茅山河、龙耳河、天星港、焦土港、靖泰界河、羌溪河、新曲河、十圩港、下六圩港、四支河、潼头河治理河道总长485.6km，配套建筑物426座。</w:t>
            </w:r>
            <w:r>
              <w:t>基于《江苏省区域水利治理规划（</w:t>
            </w:r>
            <w:r>
              <w:rPr>
                <w:rFonts w:hint="eastAsia"/>
              </w:rPr>
              <w:t>苏水计〔2020〕8号</w:t>
            </w:r>
            <w:r>
              <w:t>）》《</w:t>
            </w:r>
            <w:r>
              <w:rPr>
                <w:rFonts w:hint="eastAsia"/>
              </w:rPr>
              <w:t>江苏省苏北沿江区中小河流实施方案（2</w:t>
            </w:r>
            <w:r>
              <w:t>024年</w:t>
            </w:r>
            <w:r>
              <w:rPr>
                <w:rFonts w:hint="eastAsia"/>
              </w:rPr>
              <w:t>）</w:t>
            </w:r>
            <w:r>
              <w:t>》《</w:t>
            </w:r>
            <w:r>
              <w:rPr>
                <w:rFonts w:hint="eastAsia"/>
              </w:rPr>
              <w:t>江苏省里下河区中小河流实施方案（2</w:t>
            </w:r>
            <w:r>
              <w:t>024年</w:t>
            </w:r>
            <w:r>
              <w:rPr>
                <w:rFonts w:hint="eastAsia"/>
              </w:rPr>
              <w:t>）</w:t>
            </w:r>
            <w:r>
              <w:t>》等）</w:t>
            </w:r>
          </w:p>
          <w:p w14:paraId="685248C3">
            <w:pPr>
              <w:pStyle w:val="57"/>
              <w:jc w:val="both"/>
              <w:rPr>
                <w:b/>
              </w:rPr>
            </w:pPr>
            <w:r>
              <w:rPr>
                <w:rFonts w:hint="eastAsia"/>
                <w:b/>
              </w:rPr>
              <w:t>5、泰州里下河片、通南片易涝区综合治理。</w:t>
            </w:r>
          </w:p>
          <w:p w14:paraId="262AA2EE">
            <w:pPr>
              <w:pStyle w:val="66"/>
              <w:ind w:firstLine="480"/>
            </w:pPr>
            <w:r>
              <w:rPr>
                <w:rFonts w:hint="eastAsia"/>
              </w:rPr>
              <w:t>根据流域防洪规划安排，实施里下河片、通南片易涝区综合治理，疏浚河道、加固堤防、新改建涵闸、泵站等，全面提升区域排涝能力。（基于《长江流域防洪规划修编（2</w:t>
            </w:r>
            <w:r>
              <w:t>024年</w:t>
            </w:r>
            <w:r>
              <w:rPr>
                <w:rFonts w:hint="eastAsia"/>
              </w:rPr>
              <w:t>）》《淮河流域防洪规划修编（2</w:t>
            </w:r>
            <w:r>
              <w:t>024年</w:t>
            </w:r>
            <w:r>
              <w:rPr>
                <w:rFonts w:hint="eastAsia"/>
              </w:rPr>
              <w:t>）》等）</w:t>
            </w:r>
          </w:p>
        </w:tc>
      </w:tr>
    </w:tbl>
    <w:p w14:paraId="7C7A7DF5">
      <w:pPr>
        <w:pStyle w:val="3"/>
        <w:spacing w:before="163"/>
      </w:pPr>
      <w:bookmarkStart w:id="29" w:name="_Toc169101935"/>
      <w:bookmarkEnd w:id="29"/>
      <w:bookmarkStart w:id="30" w:name="_Toc169102124"/>
      <w:bookmarkEnd w:id="30"/>
      <w:bookmarkStart w:id="31" w:name="_Toc169102500"/>
      <w:bookmarkEnd w:id="31"/>
      <w:bookmarkStart w:id="32" w:name="_Toc169102311"/>
      <w:bookmarkEnd w:id="32"/>
      <w:bookmarkStart w:id="33" w:name="_Toc169101936"/>
      <w:bookmarkEnd w:id="33"/>
      <w:bookmarkStart w:id="34" w:name="_Toc169102312"/>
      <w:bookmarkEnd w:id="34"/>
      <w:bookmarkStart w:id="35" w:name="_Toc169102123"/>
      <w:bookmarkEnd w:id="35"/>
      <w:bookmarkStart w:id="36" w:name="_Toc169102499"/>
      <w:bookmarkEnd w:id="36"/>
      <w:bookmarkStart w:id="37" w:name="_Toc181109848"/>
      <w:r>
        <w:rPr>
          <w:rFonts w:hint="eastAsia"/>
        </w:rPr>
        <w:t>增强城市防洪排涝韧性</w:t>
      </w:r>
      <w:bookmarkEnd w:id="37"/>
    </w:p>
    <w:p w14:paraId="585CF873">
      <w:pPr>
        <w:ind w:firstLine="480"/>
        <w:rPr>
          <w:rFonts w:cs="Times New Roman"/>
        </w:rPr>
      </w:pPr>
      <w:r>
        <w:rPr>
          <w:rStyle w:val="35"/>
          <w:rFonts w:hint="eastAsia"/>
        </w:rPr>
        <w:t>泰州市中心城区</w:t>
      </w:r>
      <w:r>
        <w:rPr>
          <w:rFonts w:hint="eastAsia" w:cs="Times New Roman"/>
        </w:rPr>
        <w:t>。泰州市中心城区南以长江堤防为流域防洪屏障，北以老</w:t>
      </w:r>
      <w:r>
        <w:rPr>
          <w:rFonts w:cs="Times New Roman"/>
        </w:rPr>
        <w:t>328</w:t>
      </w:r>
      <w:r>
        <w:rPr>
          <w:rFonts w:hint="eastAsia" w:cs="Times New Roman"/>
        </w:rPr>
        <w:t>国道控制线为区域防洪屏障，规划继续巩固和完善“高低分开、挡排兼顾”的防洪总体格局、</w:t>
      </w:r>
      <w:r>
        <w:rPr>
          <w:rFonts w:hint="eastAsia"/>
        </w:rPr>
        <w:t>“引排兼顾、综合治理”的治涝原则，</w:t>
      </w:r>
      <w:r>
        <w:rPr>
          <w:rFonts w:hint="eastAsia" w:cs="Times New Roman"/>
        </w:rPr>
        <w:t>进一步提高长江堤防防洪能力，畅通内部河网，扩大外排能力，优化工程调度，充分发挥新老工程排水效益，结合海绵城市建设要求，全面提升城市应对极端天气等应急保障能力，构建与泰州经济社会发展和城市建设相适应的“安全可靠、生态良好、调度灵活、运行高效”的城市防洪减灾体系。</w:t>
      </w:r>
    </w:p>
    <w:p w14:paraId="624C4BC4">
      <w:pPr>
        <w:ind w:firstLine="480"/>
        <w:rPr>
          <w:rFonts w:cs="Times New Roman"/>
        </w:rPr>
      </w:pPr>
      <w:r>
        <w:rPr>
          <w:rStyle w:val="35"/>
          <w:rFonts w:hint="eastAsia"/>
        </w:rPr>
        <w:t>靖江城区。</w:t>
      </w:r>
      <w:r>
        <w:rPr>
          <w:rFonts w:hint="eastAsia" w:cs="Times New Roman"/>
        </w:rPr>
        <w:t>靖江市中心城区南部以江堤为主要防洪屏障，巩固提升长江堤防防洪标准至</w:t>
      </w:r>
      <w:r>
        <w:rPr>
          <w:rFonts w:cs="Times New Roman"/>
        </w:rPr>
        <w:t>100</w:t>
      </w:r>
      <w:r>
        <w:rPr>
          <w:rFonts w:hint="eastAsia" w:cs="Times New Roman"/>
        </w:rPr>
        <w:t>年一遇，区内以靖泰界河、横港、夏仕港三条骨干河道堤防为设防，巩固提升骨干河道堤防防洪标准至</w:t>
      </w:r>
      <w:r>
        <w:rPr>
          <w:rFonts w:cs="Times New Roman"/>
        </w:rPr>
        <w:t>20～50</w:t>
      </w:r>
      <w:r>
        <w:rPr>
          <w:rFonts w:hint="eastAsia" w:cs="Times New Roman"/>
        </w:rPr>
        <w:t>年一遇。全面贯通城区水系，推进七圩港、八圩港等抽排泵站建设，提升城区排涝能力，加强短历时强暴雨应急能力建设；全面消除城区积淹片区整治工程，滚动发现滚动消除；全方位推进海绵城市建设；积极开展排水管网检测与修复，同步推进合流制管道的改造。</w:t>
      </w:r>
    </w:p>
    <w:p w14:paraId="5E174A94">
      <w:pPr>
        <w:ind w:firstLine="480"/>
        <w:rPr>
          <w:rFonts w:cs="Times New Roman"/>
        </w:rPr>
      </w:pPr>
      <w:r>
        <w:rPr>
          <w:rStyle w:val="35"/>
          <w:rFonts w:hint="eastAsia"/>
        </w:rPr>
        <w:t>泰兴城区。</w:t>
      </w:r>
      <w:r>
        <w:rPr>
          <w:rFonts w:hint="eastAsia" w:cs="Times New Roman"/>
        </w:rPr>
        <w:t>西部以江堤为主要防洪屏障，巩固提升江堤防洪标准至</w:t>
      </w:r>
      <w:r>
        <w:rPr>
          <w:rFonts w:cs="Times New Roman"/>
        </w:rPr>
        <w:t>100</w:t>
      </w:r>
      <w:r>
        <w:rPr>
          <w:rFonts w:hint="eastAsia" w:cs="Times New Roman"/>
        </w:rPr>
        <w:t>年一遇，区内以如泰运河、古马干河、天星港等骨干河为界，巩固提升骨干河道堤排涝能力达</w:t>
      </w:r>
      <w:r>
        <w:rPr>
          <w:rFonts w:cs="Times New Roman"/>
        </w:rPr>
        <w:t>20</w:t>
      </w:r>
      <w:r>
        <w:rPr>
          <w:rFonts w:hint="eastAsia" w:cs="Times New Roman"/>
        </w:rPr>
        <w:t>年一遇。全面贯通城区水系，提升城区排涝能力；巩固提升排涝泵站工程能力，加强排涝硬实力，加强短历时强暴雨应急能力建设；全面消除城区积淹片区整治工程，滚动发现滚动消除；积极推进海绵城市建设；高标准建设排水管网，老旧管网提标改造。</w:t>
      </w:r>
    </w:p>
    <w:p w14:paraId="5435F51F">
      <w:pPr>
        <w:ind w:firstLine="480"/>
        <w:rPr>
          <w:rFonts w:cs="Times New Roman"/>
        </w:rPr>
      </w:pPr>
      <w:r>
        <w:rPr>
          <w:rStyle w:val="35"/>
          <w:rFonts w:hint="eastAsia"/>
        </w:rPr>
        <w:t>兴化城区。</w:t>
      </w:r>
      <w:r>
        <w:rPr>
          <w:rFonts w:hint="eastAsia" w:cs="Times New Roman"/>
        </w:rPr>
        <w:t>立足里下河防洪除涝体系，对心城区采取分区圈圩设防，规划进一步提升巩固圩堤防洪能力，开展圩内、圩外河道疏浚，持续推进各排水片排涝能力建设，优化工程调度，加强短历时强暴雨应急能力建设，制定超标准洪水应急预案，加强组织调度及应急演练，牢守生命安全底线，进一步提升城市防洪除涝韧性。</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82"/>
      </w:tblGrid>
      <w:tr w14:paraId="73E9A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82" w:type="dxa"/>
          </w:tcPr>
          <w:p w14:paraId="5A7F5740">
            <w:pPr>
              <w:pStyle w:val="64"/>
            </w:pPr>
            <w:r>
              <w:rPr>
                <w:rFonts w:hint="eastAsia"/>
              </w:rPr>
              <w:t>专栏</w:t>
            </w:r>
            <w:r>
              <w:t>3.4</w:t>
            </w:r>
            <w:r>
              <w:noBreakHyphen/>
            </w:r>
            <w:r>
              <w:fldChar w:fldCharType="begin"/>
            </w:r>
            <w:r>
              <w:instrText xml:space="preserve"> </w:instrText>
            </w:r>
            <w:r>
              <w:rPr>
                <w:rFonts w:hint="eastAsia"/>
              </w:rPr>
              <w:instrText xml:space="preserve">SEQ 专栏 \* ARABIC \s 2</w:instrText>
            </w:r>
            <w:r>
              <w:instrText xml:space="preserve"> </w:instrText>
            </w:r>
            <w:r>
              <w:fldChar w:fldCharType="separate"/>
            </w:r>
            <w:r>
              <w:t>1</w:t>
            </w:r>
            <w:r>
              <w:fldChar w:fldCharType="end"/>
            </w:r>
            <w:r>
              <w:t>泰州城市</w:t>
            </w:r>
            <w:r>
              <w:rPr>
                <w:rFonts w:hint="eastAsia"/>
              </w:rPr>
              <w:t>防洪排涝工程</w:t>
            </w:r>
          </w:p>
        </w:tc>
      </w:tr>
      <w:tr w14:paraId="2D3FF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82" w:type="dxa"/>
          </w:tcPr>
          <w:p w14:paraId="1AB270C3">
            <w:pPr>
              <w:pStyle w:val="57"/>
              <w:ind w:firstLine="482"/>
              <w:jc w:val="both"/>
              <w:rPr>
                <w:b/>
              </w:rPr>
            </w:pPr>
            <w:r>
              <w:rPr>
                <w:rFonts w:hint="eastAsia"/>
                <w:b/>
              </w:rPr>
              <w:t>1、城市排涝河道及堤防整治</w:t>
            </w:r>
          </w:p>
          <w:p w14:paraId="684618ED">
            <w:pPr>
              <w:pStyle w:val="66"/>
              <w:ind w:firstLine="480"/>
            </w:pPr>
            <w:r>
              <w:rPr>
                <w:rFonts w:hint="eastAsia"/>
              </w:rPr>
              <w:t>在</w:t>
            </w:r>
            <w:r>
              <w:t>流域、区域防洪除涝治理工程基础上，继续实施</w:t>
            </w:r>
            <w:r>
              <w:rPr>
                <w:rFonts w:hint="eastAsia"/>
                <w:bCs/>
              </w:rPr>
              <w:t>送水河等</w:t>
            </w:r>
            <w:r>
              <w:t>堤防加固工程，</w:t>
            </w:r>
            <w:r>
              <w:rPr>
                <w:rFonts w:hint="eastAsia"/>
              </w:rPr>
              <w:t>实施沈杨中沟、运粮河南延等城区</w:t>
            </w:r>
            <w:r>
              <w:rPr>
                <w:rFonts w:hint="eastAsia"/>
                <w:bCs/>
              </w:rPr>
              <w:t>排水河道治理工程，综合整治低洼区排水河道并适时新开排水河道</w:t>
            </w:r>
            <w:r>
              <w:rPr>
                <w:bCs/>
              </w:rPr>
              <w:t>；</w:t>
            </w:r>
            <w:r>
              <w:rPr>
                <w:rFonts w:hint="eastAsia"/>
                <w:bCs/>
              </w:rPr>
              <w:t>整治老通东、蒋东湖、龙窝湖等水域建设工程</w:t>
            </w:r>
            <w:r>
              <w:rPr>
                <w:bCs/>
              </w:rPr>
              <w:t>。</w:t>
            </w:r>
            <w:r>
              <w:rPr>
                <w:rFonts w:hint="eastAsia"/>
              </w:rPr>
              <w:t>（基于泰州市城市防洪规划等）</w:t>
            </w:r>
          </w:p>
          <w:p w14:paraId="641FC6CD">
            <w:pPr>
              <w:pStyle w:val="57"/>
              <w:ind w:firstLine="482"/>
              <w:jc w:val="both"/>
              <w:rPr>
                <w:b/>
              </w:rPr>
            </w:pPr>
            <w:r>
              <w:rPr>
                <w:rFonts w:hint="eastAsia"/>
                <w:b/>
              </w:rPr>
              <w:t>2、城市排涝闸站治理</w:t>
            </w:r>
          </w:p>
          <w:p w14:paraId="58C9FE97">
            <w:pPr>
              <w:pStyle w:val="66"/>
              <w:ind w:firstLine="480"/>
            </w:pPr>
            <w:r>
              <w:rPr>
                <w:rFonts w:hint="eastAsia" w:ascii="Times New Roman" w:cs="Times New Roman"/>
                <w:bCs/>
              </w:rPr>
              <w:t>新建涵闸，充分扩大城区引排能力；</w:t>
            </w:r>
            <w:r>
              <w:rPr>
                <w:rFonts w:hint="eastAsia"/>
                <w:bCs/>
              </w:rPr>
              <w:t>实施三片低洼区泵站工程，高沙土区新改建泵站</w:t>
            </w:r>
            <w:r>
              <w:rPr>
                <w:bCs/>
              </w:rPr>
              <w:t>40</w:t>
            </w:r>
            <w:r>
              <w:rPr>
                <w:rFonts w:ascii="Times New Roman" w:cs="Times New Roman"/>
                <w:bCs/>
              </w:rPr>
              <w:t>m³/s</w:t>
            </w:r>
            <w:r>
              <w:rPr>
                <w:rFonts w:hint="eastAsia" w:ascii="Times New Roman" w:cs="Times New Roman"/>
                <w:bCs/>
              </w:rPr>
              <w:t>；沿江圩区新改建泵站1</w:t>
            </w:r>
            <w:r>
              <w:rPr>
                <w:rFonts w:ascii="Times New Roman" w:cs="Times New Roman"/>
                <w:bCs/>
              </w:rPr>
              <w:t>00m³/s；里下河区新改建泵站</w:t>
            </w:r>
            <w:r>
              <w:rPr>
                <w:rFonts w:hint="eastAsia" w:ascii="Times New Roman" w:cs="Times New Roman"/>
                <w:bCs/>
              </w:rPr>
              <w:t>4</w:t>
            </w:r>
            <w:r>
              <w:rPr>
                <w:rFonts w:ascii="Times New Roman" w:cs="Times New Roman"/>
                <w:bCs/>
              </w:rPr>
              <w:t>6 m³/s。</w:t>
            </w:r>
            <w:r>
              <w:rPr>
                <w:rFonts w:hint="eastAsia"/>
              </w:rPr>
              <w:t>（基于泰州市城市防洪规划等）</w:t>
            </w:r>
          </w:p>
        </w:tc>
      </w:tr>
    </w:tbl>
    <w:p w14:paraId="3056D6F7">
      <w:pPr>
        <w:pStyle w:val="3"/>
        <w:spacing w:before="163"/>
      </w:pPr>
      <w:bookmarkStart w:id="38" w:name="_Toc181109849"/>
      <w:r>
        <w:rPr>
          <w:rFonts w:hint="eastAsia"/>
        </w:rPr>
        <w:t>提高洪水风险管控能力</w:t>
      </w:r>
      <w:bookmarkEnd w:id="38"/>
    </w:p>
    <w:p w14:paraId="4B193E65">
      <w:pPr>
        <w:ind w:firstLine="480"/>
      </w:pPr>
      <w:r>
        <w:rPr>
          <w:rStyle w:val="35"/>
          <w:rFonts w:hint="eastAsia"/>
        </w:rPr>
        <w:t>深入开展风险隐患排查及整治。</w:t>
      </w:r>
      <w:r>
        <w:rPr>
          <w:rFonts w:hint="eastAsia"/>
        </w:rPr>
        <w:t>加强河道、堤防、闸站等水利工程设施，下穿隧道、下凹立交桥、地下空间等易涝风险区域的风险隐患排查，完善水灾害风险普查及整改机制，分类分级推进病险水闸、泵站以及堤防等工程除险加固，消除存量病险工程安全隐患。协同提升居民地（小区）、水厂、电厂、医院、学校、交通枢纽、危化品存储区等重点区域的防洪排涝能力，将城市防洪排涝列入城市安全体检负面清单。针对重要点位、重点区段和关键设施，逐一建立风险台账，形成城市洪涝风险隐患清单等，并制定针对性应急防控措施。</w:t>
      </w:r>
    </w:p>
    <w:p w14:paraId="41C537DB">
      <w:pPr>
        <w:ind w:firstLine="480"/>
      </w:pPr>
      <w:r>
        <w:rPr>
          <w:rStyle w:val="35"/>
          <w:rFonts w:hint="eastAsia"/>
        </w:rPr>
        <w:t>提高自然灾害监测预警能力。</w:t>
      </w:r>
      <w:r>
        <w:rPr>
          <w:rFonts w:hint="eastAsia"/>
        </w:rPr>
        <w:t>提升气象预警精准度，建立、完善跨部门、多层级机构间信息实时共享机制，气象预警到城市洪涝预警，重要防护对象实时淹没风险预警机制。推进重大城市洪涝监测、预报、预警、预案系统建设，有效衔接流域防洪“四预”平台，建立、完善城市洪涝监测预警体系和洪涝预报调度模型，构建城市智慧防汛排涝体系，提高城市应对洪涝灾害决策水平；适时开展洪水风险图编制。</w:t>
      </w:r>
    </w:p>
    <w:p w14:paraId="72115CD4">
      <w:pPr>
        <w:ind w:firstLine="480"/>
      </w:pPr>
      <w:r>
        <w:rPr>
          <w:rStyle w:val="35"/>
          <w:rFonts w:hint="eastAsia"/>
        </w:rPr>
        <w:t>加强抢险救援能力建设。</w:t>
      </w:r>
      <w:r>
        <w:rPr>
          <w:rFonts w:hint="eastAsia"/>
        </w:rPr>
        <w:t>建立应急抢险基地，加大防汛物资储备力度，优化储备仓库布局，足量配置专用防汛设备和抢险物资。加强应急救援队伍建设，全面提升救援队伍的正规化、专业化水平，强化专业救援队伍和社会应急力量统一规划和管理。加大宣传教育力度，增强公众风险防范意识，提高自救互救能力。依托基层社区营造战略，构建熟人支持网络，稳步增强理性、沉着应对重大洪涝灾害危机事件的社会韧性。</w:t>
      </w:r>
    </w:p>
    <w:p w14:paraId="50B7490F">
      <w:pPr>
        <w:ind w:firstLine="480"/>
      </w:pPr>
      <w:r>
        <w:rPr>
          <w:rStyle w:val="35"/>
          <w:rFonts w:hint="eastAsia"/>
        </w:rPr>
        <w:t>完善洪涝灾害应急预案体系。</w:t>
      </w:r>
      <w:r>
        <w:rPr>
          <w:rFonts w:hint="eastAsia"/>
        </w:rPr>
        <w:t>优化预警等级及相应措施和处置程序，健全应急处置的技防、物防、人防措施，实现应急预案的动态管理和智能化应用。加强洪涝应急预案演练评估，强化重大事故灾害应急演练。健全暴雨洪涝预警预报与应急响应联动机制，完善极端暴雨洪涝情况下的“熔断”启动机制，提升应急响应决策的科学性、精准性和公平性。</w:t>
      </w:r>
    </w:p>
    <w:p w14:paraId="1464BE40">
      <w:pPr>
        <w:pStyle w:val="2"/>
      </w:pPr>
      <w:bookmarkStart w:id="39" w:name="_Toc181109850"/>
      <w:r>
        <w:rPr>
          <w:rFonts w:hint="eastAsia"/>
        </w:rPr>
        <w:t>构建集约高效的水资源调配网</w:t>
      </w:r>
      <w:bookmarkEnd w:id="39"/>
    </w:p>
    <w:p w14:paraId="55308666">
      <w:pPr>
        <w:pStyle w:val="3"/>
        <w:spacing w:before="163"/>
      </w:pPr>
      <w:bookmarkStart w:id="40" w:name="_Toc181109851"/>
      <w:r>
        <w:t>建设思路</w:t>
      </w:r>
      <w:bookmarkEnd w:id="40"/>
    </w:p>
    <w:p w14:paraId="1A399667">
      <w:pPr>
        <w:ind w:firstLine="480"/>
        <w:rPr>
          <w:rFonts w:cs="Times New Roman"/>
        </w:rPr>
      </w:pPr>
      <w:r>
        <w:rPr>
          <w:rFonts w:hint="eastAsia" w:cs="Times New Roman"/>
        </w:rPr>
        <w:t>聚焦“一带一路”建设、长江经济带发展、长三角区域一体化发展等国家重大区域战略和现代化建设目标，立足水资源空间均衡配置，坚持节水优先、量水而行、开源节流并重，采取“控需、增供”相结合的举措，在深度节水控水的前提下，依托纵横交织的天然水系和人工水道，统筹资源与需求，基于省内“两河引水，三线输水”江水东引格局，进一步完善里下河地区供水末梢；完善通南地区</w:t>
      </w:r>
      <w:r>
        <w:rPr>
          <w:rFonts w:hint="eastAsia"/>
        </w:rPr>
        <w:t>“多口门引水、多线输水、河网调蓄、泵站补水”</w:t>
      </w:r>
      <w:r>
        <w:rPr>
          <w:rFonts w:hint="eastAsia" w:cs="Times New Roman"/>
        </w:rPr>
        <w:t>的水资源配置格局，提升骨干输配水通道能力，完善城乡输水支线，推进灌区续建配套与现代化改造，强化再生水、雨洪资源等非常规水源利用，有效化解资源环境约束，提高区域供水保障能力，为经济社会发展提供高效可持续的水资源支撑与保障。</w:t>
      </w:r>
    </w:p>
    <w:p w14:paraId="6AEFBAE6">
      <w:pPr>
        <w:pStyle w:val="3"/>
        <w:spacing w:before="163"/>
      </w:pPr>
      <w:bookmarkStart w:id="41" w:name="_Toc169102507"/>
      <w:bookmarkEnd w:id="41"/>
      <w:bookmarkStart w:id="42" w:name="_Toc169102131"/>
      <w:bookmarkEnd w:id="42"/>
      <w:bookmarkStart w:id="43" w:name="_Toc169101943"/>
      <w:bookmarkEnd w:id="43"/>
      <w:bookmarkStart w:id="44" w:name="_Toc169102319"/>
      <w:bookmarkEnd w:id="44"/>
      <w:bookmarkStart w:id="45" w:name="_Toc181109852"/>
      <w:r>
        <w:rPr>
          <w:rFonts w:hint="eastAsia"/>
        </w:rPr>
        <w:t>强化水资源集约安全利用</w:t>
      </w:r>
      <w:bookmarkEnd w:id="45"/>
    </w:p>
    <w:p w14:paraId="55FDB871">
      <w:pPr>
        <w:ind w:firstLine="480"/>
        <w:rPr>
          <w:rFonts w:cs="Times New Roman"/>
        </w:rPr>
      </w:pPr>
      <w:r>
        <w:rPr>
          <w:rFonts w:hint="eastAsia" w:cs="Times New Roman"/>
        </w:rPr>
        <w:t>坚持</w:t>
      </w:r>
      <w:r>
        <w:rPr>
          <w:rFonts w:cs="Times New Roman" w:asciiTheme="minorEastAsia" w:hAnsiTheme="minorEastAsia" w:eastAsiaTheme="minorEastAsia"/>
        </w:rPr>
        <w:t>“</w:t>
      </w:r>
      <w:r>
        <w:rPr>
          <w:rFonts w:hint="eastAsia" w:cs="Times New Roman" w:asciiTheme="minorEastAsia" w:hAnsiTheme="minorEastAsia" w:eastAsiaTheme="minorEastAsia"/>
        </w:rPr>
        <w:t>四水四定</w:t>
      </w:r>
      <w:r>
        <w:rPr>
          <w:rFonts w:cs="Times New Roman" w:asciiTheme="minorEastAsia" w:hAnsiTheme="minorEastAsia" w:eastAsiaTheme="minorEastAsia"/>
        </w:rPr>
        <w:t>”</w:t>
      </w:r>
      <w:r>
        <w:rPr>
          <w:rFonts w:hint="eastAsia" w:cs="Times New Roman"/>
        </w:rPr>
        <w:t>，量水而行、节水为重，从观念、意识、措施等各方面把节水摆在优先位置，深入落实国家、省、市节水行动，强化水资源刚性约束，聚焦重点领域重点区域深度节水控水，健全节水机制，推进用水方式由粗放向节约集约转变，加快形成节水型生产生活方式和消费模式。</w:t>
      </w:r>
    </w:p>
    <w:p w14:paraId="7DD113E6">
      <w:pPr>
        <w:pStyle w:val="4"/>
      </w:pPr>
      <w:r>
        <w:rPr>
          <w:rFonts w:hint="eastAsia"/>
        </w:rPr>
        <w:t>强化水资源刚性约束</w:t>
      </w:r>
    </w:p>
    <w:p w14:paraId="041FFD29">
      <w:pPr>
        <w:ind w:firstLine="480"/>
        <w:rPr>
          <w:rFonts w:cs="Times New Roman"/>
        </w:rPr>
      </w:pPr>
      <w:r>
        <w:rPr>
          <w:rStyle w:val="35"/>
          <w:rFonts w:hint="eastAsia"/>
        </w:rPr>
        <w:t>实行用水总量和强度双控。</w:t>
      </w:r>
      <w:r>
        <w:rPr>
          <w:rFonts w:hint="eastAsia" w:cs="Times New Roman"/>
        </w:rPr>
        <w:t>严格实行区域用水总量控制和强度控制，强化节水约束性指标管理，强化重点领域节水。根据省下达用水总量和强度双控指标，把万元国内生产总值用水量、万元工业增加值用水量和农田灌溉水有效利用系数逐级分解到县，以县域为单元，推动县级实行区域用水总量控制和强度控制。</w:t>
      </w:r>
    </w:p>
    <w:p w14:paraId="3D62D50B">
      <w:pPr>
        <w:ind w:firstLine="480"/>
        <w:rPr>
          <w:rFonts w:cs="Times New Roman"/>
        </w:rPr>
      </w:pPr>
    </w:p>
    <w:p w14:paraId="5FCF6E61">
      <w:pPr>
        <w:ind w:firstLine="480"/>
        <w:rPr>
          <w:rFonts w:cs="Times New Roman"/>
        </w:rPr>
      </w:pPr>
    </w:p>
    <w:p w14:paraId="5EC9AFB4">
      <w:pPr>
        <w:ind w:firstLine="480"/>
        <w:rPr>
          <w:rFonts w:cs="Times New Roman"/>
        </w:rPr>
      </w:pPr>
    </w:p>
    <w:p w14:paraId="0FAFA60E">
      <w:pPr>
        <w:pStyle w:val="64"/>
      </w:pPr>
      <w:r>
        <w:rPr>
          <w:rFonts w:hint="eastAsia"/>
        </w:rPr>
        <w:t>表</w:t>
      </w:r>
      <w:r>
        <w:t>4.2-1</w:t>
      </w:r>
      <w:r>
        <w:rPr>
          <w:rStyle w:val="35"/>
          <w:rFonts w:hint="eastAsia"/>
          <w:iCs w:val="0"/>
        </w:rPr>
        <w:t>泰州市用水总量和强度双控目标</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4312"/>
        <w:gridCol w:w="2033"/>
        <w:gridCol w:w="2033"/>
      </w:tblGrid>
      <w:tr w14:paraId="24020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24E8DC40">
            <w:pPr>
              <w:pStyle w:val="57"/>
              <w:jc w:val="center"/>
            </w:pPr>
            <w:r>
              <w:rPr>
                <w:rFonts w:hint="eastAsia"/>
              </w:rPr>
              <w:t>序号</w:t>
            </w:r>
          </w:p>
        </w:tc>
        <w:tc>
          <w:tcPr>
            <w:tcW w:w="4312" w:type="dxa"/>
            <w:vAlign w:val="center"/>
          </w:tcPr>
          <w:p w14:paraId="5E8705E2">
            <w:pPr>
              <w:pStyle w:val="57"/>
              <w:jc w:val="center"/>
            </w:pPr>
            <w:r>
              <w:rPr>
                <w:rFonts w:hint="eastAsia"/>
              </w:rPr>
              <w:t>指标</w:t>
            </w:r>
          </w:p>
        </w:tc>
        <w:tc>
          <w:tcPr>
            <w:tcW w:w="2033" w:type="dxa"/>
            <w:vAlign w:val="center"/>
          </w:tcPr>
          <w:p w14:paraId="3715DCD3">
            <w:pPr>
              <w:pStyle w:val="57"/>
              <w:jc w:val="center"/>
            </w:pPr>
            <w:r>
              <w:t>2025</w:t>
            </w:r>
            <w:r>
              <w:rPr>
                <w:rFonts w:hint="eastAsia"/>
              </w:rPr>
              <w:t>年</w:t>
            </w:r>
          </w:p>
        </w:tc>
        <w:tc>
          <w:tcPr>
            <w:tcW w:w="2033" w:type="dxa"/>
            <w:vAlign w:val="center"/>
          </w:tcPr>
          <w:p w14:paraId="16AD90BC">
            <w:pPr>
              <w:pStyle w:val="57"/>
              <w:jc w:val="center"/>
            </w:pPr>
            <w:r>
              <w:t>2035</w:t>
            </w:r>
            <w:r>
              <w:rPr>
                <w:rFonts w:hint="eastAsia"/>
              </w:rPr>
              <w:t>年</w:t>
            </w:r>
          </w:p>
        </w:tc>
      </w:tr>
      <w:tr w14:paraId="233B4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restart"/>
            <w:vAlign w:val="center"/>
          </w:tcPr>
          <w:p w14:paraId="11E9E13A">
            <w:pPr>
              <w:pStyle w:val="57"/>
              <w:jc w:val="center"/>
            </w:pPr>
            <w:r>
              <w:t>1</w:t>
            </w:r>
          </w:p>
        </w:tc>
        <w:tc>
          <w:tcPr>
            <w:tcW w:w="4312" w:type="dxa"/>
            <w:vAlign w:val="center"/>
          </w:tcPr>
          <w:p w14:paraId="6394C723">
            <w:pPr>
              <w:pStyle w:val="57"/>
              <w:jc w:val="center"/>
            </w:pPr>
            <w:r>
              <w:rPr>
                <w:rFonts w:hint="eastAsia"/>
              </w:rPr>
              <w:t>用水总量（亿m</w:t>
            </w:r>
            <w:r>
              <w:rPr>
                <w:rFonts w:ascii="Calibri" w:hAnsi="Calibri" w:cs="Calibri"/>
              </w:rPr>
              <w:t>³</w:t>
            </w:r>
            <w:r>
              <w:rPr>
                <w:rFonts w:hint="eastAsia"/>
              </w:rPr>
              <w:t>）</w:t>
            </w:r>
          </w:p>
        </w:tc>
        <w:tc>
          <w:tcPr>
            <w:tcW w:w="2033" w:type="dxa"/>
            <w:vAlign w:val="center"/>
          </w:tcPr>
          <w:p w14:paraId="1AA07ACD">
            <w:pPr>
              <w:pStyle w:val="57"/>
              <w:jc w:val="center"/>
            </w:pPr>
            <w:r>
              <w:t>50.0</w:t>
            </w:r>
          </w:p>
        </w:tc>
        <w:tc>
          <w:tcPr>
            <w:tcW w:w="2033" w:type="dxa"/>
            <w:vAlign w:val="center"/>
          </w:tcPr>
          <w:p w14:paraId="5F6748B2">
            <w:pPr>
              <w:pStyle w:val="57"/>
              <w:jc w:val="center"/>
            </w:pPr>
            <w:r>
              <w:t>50.5</w:t>
            </w:r>
          </w:p>
        </w:tc>
      </w:tr>
      <w:tr w14:paraId="62C6A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vAlign w:val="center"/>
          </w:tcPr>
          <w:p w14:paraId="71CB449F">
            <w:pPr>
              <w:pStyle w:val="57"/>
              <w:jc w:val="center"/>
            </w:pPr>
          </w:p>
        </w:tc>
        <w:tc>
          <w:tcPr>
            <w:tcW w:w="4312" w:type="dxa"/>
            <w:vAlign w:val="center"/>
          </w:tcPr>
          <w:p w14:paraId="6BD03707">
            <w:pPr>
              <w:pStyle w:val="57"/>
              <w:jc w:val="center"/>
            </w:pPr>
            <w:r>
              <w:rPr>
                <w:rFonts w:hint="eastAsia"/>
              </w:rPr>
              <w:t>其中：非常规水水源利用量（亿m</w:t>
            </w:r>
            <w:r>
              <w:rPr>
                <w:rFonts w:ascii="Calibri" w:hAnsi="Calibri" w:cs="Calibri"/>
              </w:rPr>
              <w:t>³</w:t>
            </w:r>
            <w:r>
              <w:rPr>
                <w:rFonts w:hint="eastAsia"/>
              </w:rPr>
              <w:t>）</w:t>
            </w:r>
          </w:p>
        </w:tc>
        <w:tc>
          <w:tcPr>
            <w:tcW w:w="2033" w:type="dxa"/>
            <w:vAlign w:val="center"/>
          </w:tcPr>
          <w:p w14:paraId="50E02975">
            <w:pPr>
              <w:pStyle w:val="57"/>
              <w:jc w:val="center"/>
            </w:pPr>
            <w:r>
              <w:t>0.5</w:t>
            </w:r>
          </w:p>
        </w:tc>
        <w:tc>
          <w:tcPr>
            <w:tcW w:w="2033" w:type="dxa"/>
            <w:vAlign w:val="center"/>
          </w:tcPr>
          <w:p w14:paraId="70200A65">
            <w:pPr>
              <w:pStyle w:val="57"/>
              <w:jc w:val="center"/>
            </w:pPr>
            <w:r>
              <w:t>0.6</w:t>
            </w:r>
          </w:p>
        </w:tc>
      </w:tr>
      <w:tr w14:paraId="24548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0B9FBC52">
            <w:pPr>
              <w:pStyle w:val="57"/>
              <w:jc w:val="center"/>
            </w:pPr>
            <w:r>
              <w:t>2</w:t>
            </w:r>
          </w:p>
        </w:tc>
        <w:tc>
          <w:tcPr>
            <w:tcW w:w="4312" w:type="dxa"/>
            <w:vAlign w:val="center"/>
          </w:tcPr>
          <w:p w14:paraId="374E9884">
            <w:pPr>
              <w:pStyle w:val="57"/>
              <w:jc w:val="center"/>
            </w:pPr>
            <w:r>
              <w:rPr>
                <w:rFonts w:hint="eastAsia"/>
              </w:rPr>
              <w:t>万元国内</w:t>
            </w:r>
            <w:r>
              <w:t>生产总值</w:t>
            </w:r>
            <w:r>
              <w:rPr>
                <w:rFonts w:hint="eastAsia"/>
              </w:rPr>
              <w:t>用水量</w:t>
            </w:r>
            <w:r>
              <w:t>下降率</w:t>
            </w:r>
            <w:r>
              <w:rPr>
                <w:rFonts w:hint="eastAsia"/>
              </w:rPr>
              <w:t>（</w:t>
            </w:r>
            <w:r>
              <w:t>%</w:t>
            </w:r>
            <w:r>
              <w:rPr>
                <w:rFonts w:hint="eastAsia"/>
              </w:rPr>
              <w:t>）</w:t>
            </w:r>
          </w:p>
        </w:tc>
        <w:tc>
          <w:tcPr>
            <w:tcW w:w="2033" w:type="dxa"/>
            <w:vAlign w:val="center"/>
          </w:tcPr>
          <w:p w14:paraId="3191459C">
            <w:pPr>
              <w:pStyle w:val="57"/>
              <w:jc w:val="center"/>
            </w:pPr>
            <w:r>
              <w:rPr>
                <w:rFonts w:hint="eastAsia"/>
              </w:rPr>
              <w:t>20（较2</w:t>
            </w:r>
            <w:r>
              <w:t>020年</w:t>
            </w:r>
            <w:r>
              <w:rPr>
                <w:rFonts w:hint="eastAsia"/>
              </w:rPr>
              <w:t>）</w:t>
            </w:r>
          </w:p>
        </w:tc>
        <w:tc>
          <w:tcPr>
            <w:tcW w:w="2033" w:type="dxa"/>
            <w:vAlign w:val="center"/>
          </w:tcPr>
          <w:p w14:paraId="1346938C">
            <w:pPr>
              <w:pStyle w:val="57"/>
              <w:jc w:val="center"/>
            </w:pPr>
            <w:r>
              <w:t>15</w:t>
            </w:r>
            <w:r>
              <w:rPr>
                <w:rFonts w:hint="eastAsia"/>
              </w:rPr>
              <w:t>（较2</w:t>
            </w:r>
            <w:r>
              <w:t>030年</w:t>
            </w:r>
            <w:r>
              <w:rPr>
                <w:rFonts w:hint="eastAsia"/>
              </w:rPr>
              <w:t>）</w:t>
            </w:r>
          </w:p>
        </w:tc>
      </w:tr>
      <w:tr w14:paraId="05FC3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558B4B71">
            <w:pPr>
              <w:pStyle w:val="57"/>
              <w:jc w:val="center"/>
            </w:pPr>
            <w:r>
              <w:t>3</w:t>
            </w:r>
          </w:p>
        </w:tc>
        <w:tc>
          <w:tcPr>
            <w:tcW w:w="4312" w:type="dxa"/>
            <w:vAlign w:val="center"/>
          </w:tcPr>
          <w:p w14:paraId="692B7D45">
            <w:pPr>
              <w:pStyle w:val="57"/>
              <w:jc w:val="center"/>
            </w:pPr>
            <w:r>
              <w:rPr>
                <w:rFonts w:hint="eastAsia"/>
              </w:rPr>
              <w:t>万元工业增加值用水量</w:t>
            </w:r>
            <w:r>
              <w:t>下降率</w:t>
            </w:r>
            <w:r>
              <w:rPr>
                <w:rFonts w:hint="eastAsia"/>
              </w:rPr>
              <w:t>（</w:t>
            </w:r>
            <w:r>
              <w:t>%</w:t>
            </w:r>
            <w:r>
              <w:rPr>
                <w:rFonts w:hint="eastAsia"/>
              </w:rPr>
              <w:t>）</w:t>
            </w:r>
          </w:p>
        </w:tc>
        <w:tc>
          <w:tcPr>
            <w:tcW w:w="2033" w:type="dxa"/>
            <w:vAlign w:val="center"/>
          </w:tcPr>
          <w:p w14:paraId="72A4F512">
            <w:pPr>
              <w:pStyle w:val="57"/>
              <w:jc w:val="center"/>
            </w:pPr>
            <w:r>
              <w:t>16</w:t>
            </w:r>
            <w:r>
              <w:rPr>
                <w:rFonts w:hint="eastAsia"/>
              </w:rPr>
              <w:t>（较2</w:t>
            </w:r>
            <w:r>
              <w:t>020年</w:t>
            </w:r>
            <w:r>
              <w:rPr>
                <w:rFonts w:hint="eastAsia"/>
              </w:rPr>
              <w:t>）</w:t>
            </w:r>
          </w:p>
        </w:tc>
        <w:tc>
          <w:tcPr>
            <w:tcW w:w="2033" w:type="dxa"/>
            <w:vAlign w:val="center"/>
          </w:tcPr>
          <w:p w14:paraId="3FA299FA">
            <w:pPr>
              <w:pStyle w:val="57"/>
              <w:jc w:val="center"/>
            </w:pPr>
            <w:r>
              <w:t>15</w:t>
            </w:r>
            <w:r>
              <w:rPr>
                <w:rFonts w:hint="eastAsia"/>
              </w:rPr>
              <w:t>（较2</w:t>
            </w:r>
            <w:r>
              <w:t>030年</w:t>
            </w:r>
            <w:r>
              <w:rPr>
                <w:rFonts w:hint="eastAsia"/>
              </w:rPr>
              <w:t>）</w:t>
            </w:r>
          </w:p>
        </w:tc>
      </w:tr>
      <w:tr w14:paraId="3B4AC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15B5D793">
            <w:pPr>
              <w:pStyle w:val="57"/>
              <w:jc w:val="center"/>
            </w:pPr>
            <w:r>
              <w:t>4</w:t>
            </w:r>
          </w:p>
        </w:tc>
        <w:tc>
          <w:tcPr>
            <w:tcW w:w="4312" w:type="dxa"/>
            <w:vAlign w:val="center"/>
          </w:tcPr>
          <w:p w14:paraId="65891817">
            <w:pPr>
              <w:pStyle w:val="57"/>
              <w:jc w:val="center"/>
            </w:pPr>
            <w:r>
              <w:rPr>
                <w:rFonts w:hint="eastAsia"/>
              </w:rPr>
              <w:t>农田灌溉水有效利用系数</w:t>
            </w:r>
          </w:p>
        </w:tc>
        <w:tc>
          <w:tcPr>
            <w:tcW w:w="2033" w:type="dxa"/>
            <w:vAlign w:val="center"/>
          </w:tcPr>
          <w:p w14:paraId="13C1F494">
            <w:pPr>
              <w:pStyle w:val="57"/>
              <w:jc w:val="center"/>
            </w:pPr>
            <w:r>
              <w:rPr>
                <w:rFonts w:hint="eastAsia"/>
              </w:rPr>
              <w:t>0.63</w:t>
            </w:r>
            <w:r>
              <w:t>8</w:t>
            </w:r>
          </w:p>
        </w:tc>
        <w:tc>
          <w:tcPr>
            <w:tcW w:w="2033" w:type="dxa"/>
            <w:vAlign w:val="center"/>
          </w:tcPr>
          <w:p w14:paraId="579BEA0B">
            <w:pPr>
              <w:pStyle w:val="57"/>
              <w:jc w:val="center"/>
            </w:pPr>
            <w:r>
              <w:rPr>
                <w:rFonts w:hint="eastAsia"/>
              </w:rPr>
              <w:t>0.6</w:t>
            </w:r>
            <w:r>
              <w:t>5</w:t>
            </w:r>
          </w:p>
        </w:tc>
      </w:tr>
      <w:tr w14:paraId="66238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0C9224CD">
            <w:pPr>
              <w:pStyle w:val="57"/>
              <w:jc w:val="center"/>
            </w:pPr>
            <w:r>
              <w:t>5</w:t>
            </w:r>
          </w:p>
        </w:tc>
        <w:tc>
          <w:tcPr>
            <w:tcW w:w="4312" w:type="dxa"/>
            <w:vAlign w:val="center"/>
          </w:tcPr>
          <w:p w14:paraId="5DEB20B3">
            <w:pPr>
              <w:pStyle w:val="57"/>
              <w:jc w:val="center"/>
            </w:pPr>
            <w:r>
              <w:rPr>
                <w:rFonts w:hint="eastAsia"/>
              </w:rPr>
              <w:t>城市公共供水管网漏损率（</w:t>
            </w:r>
            <w:r>
              <w:t>%</w:t>
            </w:r>
            <w:r>
              <w:rPr>
                <w:rFonts w:hint="eastAsia"/>
              </w:rPr>
              <w:t>）</w:t>
            </w:r>
          </w:p>
        </w:tc>
        <w:tc>
          <w:tcPr>
            <w:tcW w:w="2033" w:type="dxa"/>
            <w:vAlign w:val="center"/>
          </w:tcPr>
          <w:p w14:paraId="332DAAA3">
            <w:pPr>
              <w:pStyle w:val="57"/>
              <w:jc w:val="center"/>
            </w:pPr>
            <w:r>
              <w:rPr>
                <w:rFonts w:hint="eastAsia"/>
              </w:rPr>
              <w:t>9</w:t>
            </w:r>
          </w:p>
        </w:tc>
        <w:tc>
          <w:tcPr>
            <w:tcW w:w="2033" w:type="dxa"/>
            <w:vAlign w:val="center"/>
          </w:tcPr>
          <w:p w14:paraId="162B2B13">
            <w:pPr>
              <w:pStyle w:val="57"/>
              <w:jc w:val="center"/>
            </w:pPr>
            <w:r>
              <w:t>8</w:t>
            </w:r>
          </w:p>
        </w:tc>
      </w:tr>
    </w:tbl>
    <w:p w14:paraId="2419E73F">
      <w:pPr>
        <w:pStyle w:val="65"/>
        <w:ind w:firstLine="480"/>
      </w:pPr>
      <w:r>
        <w:rPr>
          <w:rFonts w:hint="eastAsia"/>
        </w:rPr>
        <w:t>注：1.非常规水源利用量为最低利用量。</w:t>
      </w:r>
    </w:p>
    <w:p w14:paraId="6F634C45">
      <w:pPr>
        <w:pStyle w:val="65"/>
        <w:ind w:firstLine="480"/>
      </w:pPr>
      <w:r>
        <w:t>2.城市公共</w:t>
      </w:r>
      <w:r>
        <w:rPr>
          <w:rFonts w:hint="eastAsia"/>
        </w:rPr>
        <w:t>供水管网漏损率为公式修正值。</w:t>
      </w:r>
    </w:p>
    <w:p w14:paraId="77E59F60">
      <w:pPr>
        <w:pStyle w:val="64"/>
      </w:pPr>
      <w:r>
        <w:rPr>
          <w:rFonts w:hint="eastAsia"/>
        </w:rPr>
        <w:t>表4.2-2泰州市各县区2025年用水总量和强度双控目标</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9"/>
        <w:gridCol w:w="3891"/>
        <w:gridCol w:w="752"/>
        <w:gridCol w:w="752"/>
        <w:gridCol w:w="752"/>
        <w:gridCol w:w="752"/>
        <w:gridCol w:w="752"/>
        <w:gridCol w:w="752"/>
      </w:tblGrid>
      <w:tr w14:paraId="00BA7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Align w:val="center"/>
          </w:tcPr>
          <w:p w14:paraId="21B6B5EA">
            <w:pPr>
              <w:pStyle w:val="57"/>
              <w:jc w:val="center"/>
            </w:pPr>
            <w:r>
              <w:rPr>
                <w:rFonts w:hint="eastAsia"/>
              </w:rPr>
              <w:t>序号</w:t>
            </w:r>
          </w:p>
        </w:tc>
        <w:tc>
          <w:tcPr>
            <w:tcW w:w="0" w:type="auto"/>
            <w:vAlign w:val="center"/>
          </w:tcPr>
          <w:p w14:paraId="0A4A1D9B">
            <w:pPr>
              <w:pStyle w:val="57"/>
              <w:jc w:val="center"/>
            </w:pPr>
            <w:r>
              <w:rPr>
                <w:rFonts w:hint="eastAsia"/>
              </w:rPr>
              <w:t>指标</w:t>
            </w:r>
          </w:p>
        </w:tc>
        <w:tc>
          <w:tcPr>
            <w:tcW w:w="0" w:type="auto"/>
            <w:vAlign w:val="center"/>
          </w:tcPr>
          <w:p w14:paraId="5B1DB589">
            <w:pPr>
              <w:pStyle w:val="57"/>
              <w:jc w:val="center"/>
            </w:pPr>
            <w:r>
              <w:rPr>
                <w:rFonts w:hint="eastAsia"/>
              </w:rPr>
              <w:t>海陵</w:t>
            </w:r>
          </w:p>
        </w:tc>
        <w:tc>
          <w:tcPr>
            <w:tcW w:w="0" w:type="auto"/>
            <w:vAlign w:val="center"/>
          </w:tcPr>
          <w:p w14:paraId="78C81F07">
            <w:pPr>
              <w:pStyle w:val="57"/>
              <w:jc w:val="center"/>
            </w:pPr>
            <w:r>
              <w:rPr>
                <w:rFonts w:hint="eastAsia"/>
              </w:rPr>
              <w:t>高港</w:t>
            </w:r>
          </w:p>
        </w:tc>
        <w:tc>
          <w:tcPr>
            <w:tcW w:w="0" w:type="auto"/>
            <w:vAlign w:val="center"/>
          </w:tcPr>
          <w:p w14:paraId="2259A97A">
            <w:pPr>
              <w:pStyle w:val="57"/>
              <w:jc w:val="center"/>
            </w:pPr>
            <w:r>
              <w:rPr>
                <w:rFonts w:hint="eastAsia"/>
              </w:rPr>
              <w:t>姜堰</w:t>
            </w:r>
          </w:p>
        </w:tc>
        <w:tc>
          <w:tcPr>
            <w:tcW w:w="0" w:type="auto"/>
            <w:vAlign w:val="center"/>
          </w:tcPr>
          <w:p w14:paraId="5012A2FB">
            <w:pPr>
              <w:pStyle w:val="57"/>
              <w:jc w:val="center"/>
            </w:pPr>
            <w:r>
              <w:rPr>
                <w:rFonts w:hint="eastAsia"/>
              </w:rPr>
              <w:t>泰兴</w:t>
            </w:r>
          </w:p>
        </w:tc>
        <w:tc>
          <w:tcPr>
            <w:tcW w:w="0" w:type="auto"/>
            <w:vAlign w:val="center"/>
          </w:tcPr>
          <w:p w14:paraId="22845F82">
            <w:pPr>
              <w:pStyle w:val="57"/>
              <w:jc w:val="center"/>
            </w:pPr>
            <w:r>
              <w:rPr>
                <w:rFonts w:hint="eastAsia"/>
              </w:rPr>
              <w:t>靖江</w:t>
            </w:r>
          </w:p>
        </w:tc>
        <w:tc>
          <w:tcPr>
            <w:tcW w:w="0" w:type="auto"/>
            <w:vAlign w:val="center"/>
          </w:tcPr>
          <w:p w14:paraId="67D66FD1">
            <w:pPr>
              <w:pStyle w:val="57"/>
              <w:jc w:val="center"/>
            </w:pPr>
            <w:r>
              <w:rPr>
                <w:rFonts w:hint="eastAsia"/>
              </w:rPr>
              <w:t>兴化</w:t>
            </w:r>
          </w:p>
        </w:tc>
      </w:tr>
      <w:tr w14:paraId="61135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Merge w:val="restart"/>
            <w:vAlign w:val="center"/>
          </w:tcPr>
          <w:p w14:paraId="1236851E">
            <w:pPr>
              <w:pStyle w:val="57"/>
              <w:jc w:val="center"/>
            </w:pPr>
            <w:r>
              <w:t>1</w:t>
            </w:r>
          </w:p>
        </w:tc>
        <w:tc>
          <w:tcPr>
            <w:tcW w:w="0" w:type="auto"/>
            <w:vAlign w:val="center"/>
          </w:tcPr>
          <w:p w14:paraId="3E4E7EA5">
            <w:pPr>
              <w:pStyle w:val="57"/>
              <w:jc w:val="center"/>
            </w:pPr>
            <w:r>
              <w:rPr>
                <w:rFonts w:hint="eastAsia"/>
              </w:rPr>
              <w:t>用水总量（亿m</w:t>
            </w:r>
            <w:r>
              <w:rPr>
                <w:rFonts w:ascii="Calibri" w:hAnsi="Calibri" w:cs="Calibri"/>
              </w:rPr>
              <w:t>³</w:t>
            </w:r>
            <w:r>
              <w:rPr>
                <w:rFonts w:hint="eastAsia"/>
              </w:rPr>
              <w:t>）</w:t>
            </w:r>
          </w:p>
        </w:tc>
        <w:tc>
          <w:tcPr>
            <w:tcW w:w="0" w:type="auto"/>
            <w:shd w:val="clear" w:color="auto" w:fill="auto"/>
            <w:vAlign w:val="center"/>
          </w:tcPr>
          <w:p w14:paraId="1D75465B">
            <w:pPr>
              <w:pStyle w:val="57"/>
              <w:jc w:val="center"/>
            </w:pPr>
            <w:r>
              <w:rPr>
                <w:rFonts w:hint="eastAsia"/>
              </w:rPr>
              <w:t>1.51</w:t>
            </w:r>
          </w:p>
        </w:tc>
        <w:tc>
          <w:tcPr>
            <w:tcW w:w="0" w:type="auto"/>
            <w:shd w:val="clear" w:color="auto" w:fill="auto"/>
            <w:vAlign w:val="center"/>
          </w:tcPr>
          <w:p w14:paraId="0A2D52E4">
            <w:pPr>
              <w:pStyle w:val="57"/>
              <w:jc w:val="center"/>
            </w:pPr>
            <w:r>
              <w:rPr>
                <w:rFonts w:hint="eastAsia"/>
              </w:rPr>
              <w:t>19.91</w:t>
            </w:r>
          </w:p>
        </w:tc>
        <w:tc>
          <w:tcPr>
            <w:tcW w:w="0" w:type="auto"/>
            <w:shd w:val="clear" w:color="auto" w:fill="auto"/>
            <w:vAlign w:val="center"/>
          </w:tcPr>
          <w:p w14:paraId="5C288218">
            <w:pPr>
              <w:pStyle w:val="57"/>
              <w:jc w:val="center"/>
            </w:pPr>
            <w:r>
              <w:rPr>
                <w:rFonts w:hint="eastAsia"/>
              </w:rPr>
              <w:t>3.54</w:t>
            </w:r>
          </w:p>
        </w:tc>
        <w:tc>
          <w:tcPr>
            <w:tcW w:w="0" w:type="auto"/>
            <w:shd w:val="clear" w:color="auto" w:fill="auto"/>
            <w:vAlign w:val="center"/>
          </w:tcPr>
          <w:p w14:paraId="65DC1461">
            <w:pPr>
              <w:pStyle w:val="57"/>
              <w:jc w:val="center"/>
            </w:pPr>
            <w:r>
              <w:rPr>
                <w:rFonts w:hint="eastAsia"/>
              </w:rPr>
              <w:t>5.80</w:t>
            </w:r>
          </w:p>
        </w:tc>
        <w:tc>
          <w:tcPr>
            <w:tcW w:w="0" w:type="auto"/>
            <w:shd w:val="clear" w:color="auto" w:fill="auto"/>
            <w:vAlign w:val="center"/>
          </w:tcPr>
          <w:p w14:paraId="2D008D25">
            <w:pPr>
              <w:pStyle w:val="57"/>
              <w:jc w:val="center"/>
            </w:pPr>
            <w:r>
              <w:rPr>
                <w:rFonts w:hint="eastAsia"/>
              </w:rPr>
              <w:t>8.58</w:t>
            </w:r>
          </w:p>
        </w:tc>
        <w:tc>
          <w:tcPr>
            <w:tcW w:w="0" w:type="auto"/>
            <w:shd w:val="clear" w:color="auto" w:fill="auto"/>
            <w:vAlign w:val="center"/>
          </w:tcPr>
          <w:p w14:paraId="62501831">
            <w:pPr>
              <w:pStyle w:val="57"/>
              <w:jc w:val="center"/>
            </w:pPr>
            <w:r>
              <w:rPr>
                <w:rFonts w:hint="eastAsia"/>
              </w:rPr>
              <w:t>10.66</w:t>
            </w:r>
          </w:p>
        </w:tc>
      </w:tr>
      <w:tr w14:paraId="52BAA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Merge w:val="continue"/>
            <w:vAlign w:val="center"/>
          </w:tcPr>
          <w:p w14:paraId="28F0C5CB">
            <w:pPr>
              <w:pStyle w:val="57"/>
              <w:jc w:val="center"/>
            </w:pPr>
          </w:p>
        </w:tc>
        <w:tc>
          <w:tcPr>
            <w:tcW w:w="0" w:type="auto"/>
            <w:vAlign w:val="center"/>
          </w:tcPr>
          <w:p w14:paraId="38652E8F">
            <w:pPr>
              <w:pStyle w:val="57"/>
              <w:jc w:val="center"/>
            </w:pPr>
            <w:r>
              <w:rPr>
                <w:rFonts w:hint="eastAsia"/>
              </w:rPr>
              <w:t>其中：非常规水水源利用量（亿m</w:t>
            </w:r>
            <w:r>
              <w:rPr>
                <w:rFonts w:ascii="Calibri" w:hAnsi="Calibri" w:cs="Calibri"/>
              </w:rPr>
              <w:t>³</w:t>
            </w:r>
            <w:r>
              <w:rPr>
                <w:rFonts w:hint="eastAsia"/>
              </w:rPr>
              <w:t>）</w:t>
            </w:r>
          </w:p>
        </w:tc>
        <w:tc>
          <w:tcPr>
            <w:tcW w:w="0" w:type="auto"/>
            <w:shd w:val="clear" w:color="auto" w:fill="auto"/>
            <w:vAlign w:val="center"/>
          </w:tcPr>
          <w:p w14:paraId="5F33F88B">
            <w:pPr>
              <w:pStyle w:val="57"/>
              <w:jc w:val="center"/>
            </w:pPr>
            <w:r>
              <w:rPr>
                <w:rFonts w:hint="eastAsia"/>
              </w:rPr>
              <w:t>0.03</w:t>
            </w:r>
          </w:p>
        </w:tc>
        <w:tc>
          <w:tcPr>
            <w:tcW w:w="0" w:type="auto"/>
            <w:shd w:val="clear" w:color="auto" w:fill="auto"/>
            <w:vAlign w:val="center"/>
          </w:tcPr>
          <w:p w14:paraId="0C680F82">
            <w:pPr>
              <w:pStyle w:val="57"/>
              <w:jc w:val="center"/>
            </w:pPr>
            <w:r>
              <w:rPr>
                <w:rFonts w:hint="eastAsia"/>
              </w:rPr>
              <w:t>0.21</w:t>
            </w:r>
          </w:p>
        </w:tc>
        <w:tc>
          <w:tcPr>
            <w:tcW w:w="0" w:type="auto"/>
            <w:shd w:val="clear" w:color="auto" w:fill="auto"/>
            <w:vAlign w:val="center"/>
          </w:tcPr>
          <w:p w14:paraId="70765461">
            <w:pPr>
              <w:pStyle w:val="57"/>
              <w:jc w:val="center"/>
            </w:pPr>
            <w:r>
              <w:rPr>
                <w:rFonts w:hint="eastAsia"/>
              </w:rPr>
              <w:t>0.02</w:t>
            </w:r>
          </w:p>
        </w:tc>
        <w:tc>
          <w:tcPr>
            <w:tcW w:w="0" w:type="auto"/>
            <w:shd w:val="clear" w:color="auto" w:fill="auto"/>
            <w:vAlign w:val="center"/>
          </w:tcPr>
          <w:p w14:paraId="4FB1B180">
            <w:pPr>
              <w:pStyle w:val="57"/>
              <w:jc w:val="center"/>
            </w:pPr>
            <w:r>
              <w:rPr>
                <w:rFonts w:hint="eastAsia"/>
              </w:rPr>
              <w:t>0.15</w:t>
            </w:r>
          </w:p>
        </w:tc>
        <w:tc>
          <w:tcPr>
            <w:tcW w:w="0" w:type="auto"/>
            <w:shd w:val="clear" w:color="auto" w:fill="auto"/>
            <w:vAlign w:val="center"/>
          </w:tcPr>
          <w:p w14:paraId="48F514A3">
            <w:pPr>
              <w:pStyle w:val="57"/>
              <w:jc w:val="center"/>
            </w:pPr>
            <w:r>
              <w:rPr>
                <w:rFonts w:hint="eastAsia"/>
              </w:rPr>
              <w:t>0.03</w:t>
            </w:r>
          </w:p>
        </w:tc>
        <w:tc>
          <w:tcPr>
            <w:tcW w:w="0" w:type="auto"/>
            <w:shd w:val="clear" w:color="auto" w:fill="auto"/>
            <w:vAlign w:val="center"/>
          </w:tcPr>
          <w:p w14:paraId="40F8AE9D">
            <w:pPr>
              <w:pStyle w:val="57"/>
              <w:jc w:val="center"/>
            </w:pPr>
            <w:r>
              <w:rPr>
                <w:rFonts w:hint="eastAsia"/>
              </w:rPr>
              <w:t>0.07</w:t>
            </w:r>
          </w:p>
        </w:tc>
      </w:tr>
      <w:tr w14:paraId="789BC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0" w:type="auto"/>
            <w:vAlign w:val="center"/>
          </w:tcPr>
          <w:p w14:paraId="6B7168CC">
            <w:pPr>
              <w:pStyle w:val="57"/>
              <w:jc w:val="center"/>
            </w:pPr>
            <w:r>
              <w:t>2</w:t>
            </w:r>
          </w:p>
        </w:tc>
        <w:tc>
          <w:tcPr>
            <w:tcW w:w="0" w:type="auto"/>
            <w:vAlign w:val="center"/>
          </w:tcPr>
          <w:p w14:paraId="6FD25024">
            <w:pPr>
              <w:pStyle w:val="57"/>
              <w:jc w:val="center"/>
              <w:rPr>
                <w:sz w:val="18"/>
              </w:rPr>
            </w:pPr>
            <w:r>
              <w:rPr>
                <w:rFonts w:hint="eastAsia"/>
                <w:sz w:val="18"/>
              </w:rPr>
              <w:t>万元国内</w:t>
            </w:r>
            <w:r>
              <w:rPr>
                <w:sz w:val="18"/>
              </w:rPr>
              <w:t>生产总值</w:t>
            </w:r>
            <w:r>
              <w:rPr>
                <w:rFonts w:hint="eastAsia"/>
                <w:sz w:val="18"/>
              </w:rPr>
              <w:t>用水量较2</w:t>
            </w:r>
            <w:r>
              <w:rPr>
                <w:sz w:val="18"/>
              </w:rPr>
              <w:t>020年下降率</w:t>
            </w:r>
            <w:r>
              <w:rPr>
                <w:rFonts w:hint="eastAsia"/>
                <w:sz w:val="18"/>
              </w:rPr>
              <w:t>（</w:t>
            </w:r>
            <w:r>
              <w:rPr>
                <w:sz w:val="18"/>
              </w:rPr>
              <w:t>%</w:t>
            </w:r>
            <w:r>
              <w:rPr>
                <w:rFonts w:hint="eastAsia"/>
                <w:sz w:val="18"/>
              </w:rPr>
              <w:t>）</w:t>
            </w:r>
          </w:p>
        </w:tc>
        <w:tc>
          <w:tcPr>
            <w:tcW w:w="0" w:type="auto"/>
            <w:shd w:val="clear" w:color="auto" w:fill="auto"/>
            <w:vAlign w:val="center"/>
          </w:tcPr>
          <w:p w14:paraId="6B6347DC">
            <w:pPr>
              <w:pStyle w:val="57"/>
              <w:jc w:val="center"/>
            </w:pPr>
            <w:r>
              <w:rPr>
                <w:rFonts w:hint="eastAsia"/>
              </w:rPr>
              <w:t>20</w:t>
            </w:r>
          </w:p>
        </w:tc>
        <w:tc>
          <w:tcPr>
            <w:tcW w:w="0" w:type="auto"/>
            <w:shd w:val="clear" w:color="auto" w:fill="auto"/>
            <w:vAlign w:val="center"/>
          </w:tcPr>
          <w:p w14:paraId="7C24D570">
            <w:pPr>
              <w:pStyle w:val="57"/>
              <w:jc w:val="center"/>
            </w:pPr>
            <w:r>
              <w:rPr>
                <w:rFonts w:hint="eastAsia"/>
              </w:rPr>
              <w:t>20</w:t>
            </w:r>
          </w:p>
        </w:tc>
        <w:tc>
          <w:tcPr>
            <w:tcW w:w="0" w:type="auto"/>
            <w:shd w:val="clear" w:color="auto" w:fill="auto"/>
            <w:vAlign w:val="center"/>
          </w:tcPr>
          <w:p w14:paraId="70292D64">
            <w:pPr>
              <w:pStyle w:val="57"/>
              <w:jc w:val="center"/>
            </w:pPr>
            <w:r>
              <w:rPr>
                <w:rFonts w:hint="eastAsia"/>
              </w:rPr>
              <w:t>20</w:t>
            </w:r>
          </w:p>
        </w:tc>
        <w:tc>
          <w:tcPr>
            <w:tcW w:w="0" w:type="auto"/>
            <w:shd w:val="clear" w:color="auto" w:fill="auto"/>
            <w:vAlign w:val="center"/>
          </w:tcPr>
          <w:p w14:paraId="7E5AB517">
            <w:pPr>
              <w:pStyle w:val="57"/>
              <w:jc w:val="center"/>
            </w:pPr>
            <w:r>
              <w:rPr>
                <w:rFonts w:hint="eastAsia"/>
              </w:rPr>
              <w:t>20</w:t>
            </w:r>
          </w:p>
        </w:tc>
        <w:tc>
          <w:tcPr>
            <w:tcW w:w="0" w:type="auto"/>
            <w:shd w:val="clear" w:color="auto" w:fill="auto"/>
            <w:vAlign w:val="center"/>
          </w:tcPr>
          <w:p w14:paraId="20686AD4">
            <w:pPr>
              <w:pStyle w:val="57"/>
              <w:jc w:val="center"/>
            </w:pPr>
            <w:r>
              <w:rPr>
                <w:rFonts w:hint="eastAsia"/>
              </w:rPr>
              <w:t>20</w:t>
            </w:r>
          </w:p>
        </w:tc>
        <w:tc>
          <w:tcPr>
            <w:tcW w:w="0" w:type="auto"/>
            <w:shd w:val="clear" w:color="auto" w:fill="auto"/>
            <w:vAlign w:val="center"/>
          </w:tcPr>
          <w:p w14:paraId="557A6CB3">
            <w:pPr>
              <w:pStyle w:val="57"/>
              <w:jc w:val="center"/>
            </w:pPr>
            <w:r>
              <w:rPr>
                <w:rFonts w:hint="eastAsia"/>
              </w:rPr>
              <w:t>20</w:t>
            </w:r>
          </w:p>
        </w:tc>
      </w:tr>
      <w:tr w14:paraId="705EC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Align w:val="center"/>
          </w:tcPr>
          <w:p w14:paraId="67D7E9B5">
            <w:pPr>
              <w:pStyle w:val="57"/>
              <w:jc w:val="center"/>
            </w:pPr>
            <w:r>
              <w:t>3</w:t>
            </w:r>
          </w:p>
        </w:tc>
        <w:tc>
          <w:tcPr>
            <w:tcW w:w="0" w:type="auto"/>
            <w:vAlign w:val="center"/>
          </w:tcPr>
          <w:p w14:paraId="241529AA">
            <w:pPr>
              <w:pStyle w:val="57"/>
              <w:jc w:val="center"/>
              <w:rPr>
                <w:sz w:val="18"/>
              </w:rPr>
            </w:pPr>
            <w:r>
              <w:rPr>
                <w:rFonts w:hint="eastAsia"/>
                <w:sz w:val="18"/>
              </w:rPr>
              <w:t>万元工业增加值用水量较2</w:t>
            </w:r>
            <w:r>
              <w:rPr>
                <w:sz w:val="18"/>
              </w:rPr>
              <w:t>020年下降率</w:t>
            </w:r>
            <w:r>
              <w:rPr>
                <w:rFonts w:hint="eastAsia"/>
                <w:sz w:val="18"/>
              </w:rPr>
              <w:t>（</w:t>
            </w:r>
            <w:r>
              <w:rPr>
                <w:sz w:val="18"/>
              </w:rPr>
              <w:t>%</w:t>
            </w:r>
            <w:r>
              <w:rPr>
                <w:rFonts w:hint="eastAsia"/>
                <w:sz w:val="18"/>
              </w:rPr>
              <w:t>）</w:t>
            </w:r>
          </w:p>
        </w:tc>
        <w:tc>
          <w:tcPr>
            <w:tcW w:w="0" w:type="auto"/>
            <w:shd w:val="clear" w:color="auto" w:fill="auto"/>
            <w:vAlign w:val="center"/>
          </w:tcPr>
          <w:p w14:paraId="2ADF63A1">
            <w:pPr>
              <w:pStyle w:val="57"/>
              <w:jc w:val="center"/>
            </w:pPr>
            <w:r>
              <w:t>16</w:t>
            </w:r>
          </w:p>
        </w:tc>
        <w:tc>
          <w:tcPr>
            <w:tcW w:w="0" w:type="auto"/>
            <w:shd w:val="clear" w:color="auto" w:fill="auto"/>
            <w:vAlign w:val="center"/>
          </w:tcPr>
          <w:p w14:paraId="2651E972">
            <w:pPr>
              <w:pStyle w:val="57"/>
              <w:jc w:val="center"/>
            </w:pPr>
            <w:r>
              <w:t>16</w:t>
            </w:r>
          </w:p>
        </w:tc>
        <w:tc>
          <w:tcPr>
            <w:tcW w:w="0" w:type="auto"/>
            <w:shd w:val="clear" w:color="auto" w:fill="auto"/>
            <w:vAlign w:val="center"/>
          </w:tcPr>
          <w:p w14:paraId="6F6ECAC6">
            <w:pPr>
              <w:pStyle w:val="57"/>
              <w:jc w:val="center"/>
            </w:pPr>
            <w:r>
              <w:t>16</w:t>
            </w:r>
          </w:p>
        </w:tc>
        <w:tc>
          <w:tcPr>
            <w:tcW w:w="0" w:type="auto"/>
            <w:shd w:val="clear" w:color="auto" w:fill="auto"/>
            <w:vAlign w:val="center"/>
          </w:tcPr>
          <w:p w14:paraId="58044F0A">
            <w:pPr>
              <w:pStyle w:val="57"/>
              <w:jc w:val="center"/>
            </w:pPr>
            <w:r>
              <w:t>16</w:t>
            </w:r>
          </w:p>
        </w:tc>
        <w:tc>
          <w:tcPr>
            <w:tcW w:w="0" w:type="auto"/>
            <w:shd w:val="clear" w:color="auto" w:fill="auto"/>
            <w:vAlign w:val="center"/>
          </w:tcPr>
          <w:p w14:paraId="169FFE37">
            <w:pPr>
              <w:pStyle w:val="57"/>
              <w:jc w:val="center"/>
            </w:pPr>
            <w:r>
              <w:t>16</w:t>
            </w:r>
          </w:p>
        </w:tc>
        <w:tc>
          <w:tcPr>
            <w:tcW w:w="0" w:type="auto"/>
            <w:shd w:val="clear" w:color="auto" w:fill="auto"/>
            <w:vAlign w:val="center"/>
          </w:tcPr>
          <w:p w14:paraId="0655679A">
            <w:pPr>
              <w:pStyle w:val="57"/>
              <w:jc w:val="center"/>
            </w:pPr>
            <w:r>
              <w:t>16</w:t>
            </w:r>
          </w:p>
        </w:tc>
      </w:tr>
      <w:tr w14:paraId="33007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0" w:type="auto"/>
            <w:vAlign w:val="center"/>
          </w:tcPr>
          <w:p w14:paraId="6B75EF6B">
            <w:pPr>
              <w:pStyle w:val="57"/>
              <w:jc w:val="center"/>
            </w:pPr>
            <w:r>
              <w:t>4</w:t>
            </w:r>
          </w:p>
        </w:tc>
        <w:tc>
          <w:tcPr>
            <w:tcW w:w="0" w:type="auto"/>
            <w:vAlign w:val="center"/>
          </w:tcPr>
          <w:p w14:paraId="6D5159A4">
            <w:pPr>
              <w:pStyle w:val="57"/>
              <w:jc w:val="center"/>
            </w:pPr>
            <w:r>
              <w:rPr>
                <w:rFonts w:hint="eastAsia"/>
              </w:rPr>
              <w:t>农田灌溉水有效利用系数</w:t>
            </w:r>
          </w:p>
        </w:tc>
        <w:tc>
          <w:tcPr>
            <w:tcW w:w="0" w:type="auto"/>
            <w:shd w:val="clear" w:color="auto" w:fill="auto"/>
            <w:vAlign w:val="center"/>
          </w:tcPr>
          <w:p w14:paraId="5FFDDB36">
            <w:pPr>
              <w:pStyle w:val="57"/>
              <w:jc w:val="center"/>
            </w:pPr>
            <w:r>
              <w:rPr>
                <w:rFonts w:hint="eastAsia"/>
              </w:rPr>
              <w:t>0</w:t>
            </w:r>
            <w:r>
              <w:t>.638</w:t>
            </w:r>
          </w:p>
        </w:tc>
        <w:tc>
          <w:tcPr>
            <w:tcW w:w="0" w:type="auto"/>
            <w:shd w:val="clear" w:color="auto" w:fill="auto"/>
            <w:vAlign w:val="center"/>
          </w:tcPr>
          <w:p w14:paraId="36B71FEC">
            <w:pPr>
              <w:pStyle w:val="57"/>
              <w:jc w:val="center"/>
            </w:pPr>
            <w:r>
              <w:rPr>
                <w:rFonts w:hint="eastAsia"/>
              </w:rPr>
              <w:t>0</w:t>
            </w:r>
            <w:r>
              <w:t>.642</w:t>
            </w:r>
          </w:p>
        </w:tc>
        <w:tc>
          <w:tcPr>
            <w:tcW w:w="0" w:type="auto"/>
            <w:shd w:val="clear" w:color="auto" w:fill="auto"/>
            <w:vAlign w:val="center"/>
          </w:tcPr>
          <w:p w14:paraId="1307E64E">
            <w:pPr>
              <w:pStyle w:val="57"/>
              <w:jc w:val="center"/>
            </w:pPr>
            <w:r>
              <w:rPr>
                <w:rFonts w:hint="eastAsia"/>
              </w:rPr>
              <w:t>0</w:t>
            </w:r>
            <w:r>
              <w:t>.642</w:t>
            </w:r>
          </w:p>
        </w:tc>
        <w:tc>
          <w:tcPr>
            <w:tcW w:w="0" w:type="auto"/>
            <w:shd w:val="clear" w:color="auto" w:fill="auto"/>
            <w:vAlign w:val="center"/>
          </w:tcPr>
          <w:p w14:paraId="465C739D">
            <w:pPr>
              <w:pStyle w:val="57"/>
              <w:jc w:val="center"/>
            </w:pPr>
            <w:r>
              <w:rPr>
                <w:rFonts w:hint="eastAsia"/>
              </w:rPr>
              <w:t>0</w:t>
            </w:r>
            <w:r>
              <w:t>.638</w:t>
            </w:r>
          </w:p>
        </w:tc>
        <w:tc>
          <w:tcPr>
            <w:tcW w:w="0" w:type="auto"/>
            <w:shd w:val="clear" w:color="auto" w:fill="auto"/>
            <w:vAlign w:val="center"/>
          </w:tcPr>
          <w:p w14:paraId="7D0943A8">
            <w:pPr>
              <w:pStyle w:val="57"/>
              <w:jc w:val="center"/>
            </w:pPr>
            <w:r>
              <w:rPr>
                <w:rFonts w:hint="eastAsia"/>
              </w:rPr>
              <w:t>0</w:t>
            </w:r>
            <w:r>
              <w:t>.642</w:t>
            </w:r>
          </w:p>
        </w:tc>
        <w:tc>
          <w:tcPr>
            <w:tcW w:w="0" w:type="auto"/>
            <w:shd w:val="clear" w:color="auto" w:fill="auto"/>
            <w:vAlign w:val="center"/>
          </w:tcPr>
          <w:p w14:paraId="011901E4">
            <w:pPr>
              <w:pStyle w:val="57"/>
              <w:jc w:val="center"/>
            </w:pPr>
            <w:r>
              <w:rPr>
                <w:rFonts w:hint="eastAsia"/>
              </w:rPr>
              <w:t>0</w:t>
            </w:r>
            <w:r>
              <w:t>.632</w:t>
            </w:r>
          </w:p>
        </w:tc>
      </w:tr>
    </w:tbl>
    <w:p w14:paraId="1934C57E">
      <w:pPr>
        <w:ind w:firstLine="480"/>
        <w:rPr>
          <w:rFonts w:cs="Times New Roman"/>
        </w:rPr>
      </w:pPr>
      <w:r>
        <w:rPr>
          <w:rStyle w:val="35"/>
          <w:rFonts w:hint="eastAsia"/>
        </w:rPr>
        <w:t>推行用水定额管理。</w:t>
      </w:r>
      <w:r>
        <w:rPr>
          <w:rFonts w:hint="eastAsia" w:cs="Times New Roman"/>
        </w:rPr>
        <w:t>基于省部级各相关主管部门编制的用水定额标准体系，制定泰州市用水定额管理规定，强化用水定额在取水许可、计划用水、水资源论证和节水评价中的应用，建立监测预警机制，实施差别化、精细化分区管控措施，制定并发布市级用水定额，实现用水定额全过程全方位管理。</w:t>
      </w:r>
    </w:p>
    <w:p w14:paraId="5518450C">
      <w:pPr>
        <w:ind w:firstLine="480"/>
        <w:rPr>
          <w:rFonts w:cs="Times New Roman"/>
        </w:rPr>
      </w:pPr>
      <w:r>
        <w:rPr>
          <w:rStyle w:val="35"/>
          <w:rFonts w:hint="eastAsia"/>
        </w:rPr>
        <w:t>推进江河水量合理分配。</w:t>
      </w:r>
      <w:r>
        <w:rPr>
          <w:rFonts w:hint="eastAsia" w:cs="Times New Roman"/>
        </w:rPr>
        <w:t>充分考虑里下河平原、高沙土片、沿江圩区水网地区特点，结合水生态、水环境、水资源平衡内在要求，统筹确定主要河湖分配水量和生态水位。落实全省总体分水方案，配合开展跨市江河水量分配工作，制定市域内跨行政区域水量分配方案，确定主要河道生态水位并保证生态流量。科学确定以县域为单元的地下水取水量、水位双控指标体系，优化区域地下水取水工程布局，严格地下水保护监管。</w:t>
      </w:r>
    </w:p>
    <w:p w14:paraId="6B669A80">
      <w:pPr>
        <w:pStyle w:val="4"/>
      </w:pPr>
      <w:r>
        <w:rPr>
          <w:rFonts w:hint="eastAsia"/>
        </w:rPr>
        <w:t>推进节水型社会建设</w:t>
      </w:r>
    </w:p>
    <w:p w14:paraId="63E00BFF">
      <w:pPr>
        <w:ind w:firstLine="480"/>
      </w:pPr>
      <w:r>
        <w:rPr>
          <w:rFonts w:hint="eastAsia"/>
        </w:rPr>
        <w:t>泰州市</w:t>
      </w:r>
      <w:r>
        <w:t>现状</w:t>
      </w:r>
      <w:r>
        <w:rPr>
          <w:rFonts w:hint="eastAsia"/>
        </w:rPr>
        <w:t>用水总量</w:t>
      </w:r>
      <w:r>
        <w:t>50.63</w:t>
      </w:r>
      <w:r>
        <w:rPr>
          <w:rFonts w:hint="eastAsia"/>
        </w:rPr>
        <w:t>亿m³，其中农业用水</w:t>
      </w:r>
      <w:r>
        <w:t>20.65</w:t>
      </w:r>
      <w:r>
        <w:rPr>
          <w:rFonts w:hint="eastAsia"/>
        </w:rPr>
        <w:t>亿m³，其中农田灌溉用水</w:t>
      </w:r>
      <w:r>
        <w:t>19.29</w:t>
      </w:r>
      <w:r>
        <w:rPr>
          <w:rFonts w:hint="eastAsia"/>
        </w:rPr>
        <w:t>亿m³，占全市用水</w:t>
      </w:r>
      <w:r>
        <w:t>38.1%</w:t>
      </w:r>
      <w:r>
        <w:rPr>
          <w:rFonts w:hint="eastAsia"/>
        </w:rPr>
        <w:t>，工业用水</w:t>
      </w:r>
      <w:r>
        <w:t>26.03</w:t>
      </w:r>
      <w:r>
        <w:rPr>
          <w:rFonts w:hint="eastAsia"/>
        </w:rPr>
        <w:t>亿m³，生活用水</w:t>
      </w:r>
      <w:r>
        <w:t>3.2</w:t>
      </w:r>
      <w:r>
        <w:rPr>
          <w:rFonts w:hint="eastAsia"/>
        </w:rPr>
        <w:t>亿m³，生态补水</w:t>
      </w:r>
      <w:r>
        <w:t>0.74</w:t>
      </w:r>
      <w:r>
        <w:rPr>
          <w:rFonts w:hint="eastAsia"/>
        </w:rPr>
        <w:t>亿m³。万元地区生产总值用水量</w:t>
      </w:r>
      <w:r>
        <w:t>42.0</w:t>
      </w:r>
      <w:r>
        <w:rPr>
          <w:rFonts w:hint="eastAsia"/>
        </w:rPr>
        <w:t>方</w:t>
      </w:r>
      <w:r>
        <w:t>/</w:t>
      </w:r>
      <w:r>
        <w:rPr>
          <w:rFonts w:hint="eastAsia"/>
        </w:rPr>
        <w:t>万元，万元工业增加值用水量</w:t>
      </w:r>
      <w:r>
        <w:t>9.2</w:t>
      </w:r>
      <w:r>
        <w:rPr>
          <w:rFonts w:hint="eastAsia"/>
        </w:rPr>
        <w:t>方</w:t>
      </w:r>
      <w:r>
        <w:t>/</w:t>
      </w:r>
      <w:r>
        <w:rPr>
          <w:rFonts w:hint="eastAsia"/>
        </w:rPr>
        <w:t>万元，农田灌溉多年平均用水量</w:t>
      </w:r>
      <w:r>
        <w:t>471</w:t>
      </w:r>
      <w:r>
        <w:rPr>
          <w:rFonts w:hint="eastAsia"/>
        </w:rPr>
        <w:t>方</w:t>
      </w:r>
      <w:r>
        <w:t>/</w:t>
      </w:r>
      <w:r>
        <w:rPr>
          <w:rFonts w:hint="eastAsia"/>
        </w:rPr>
        <w:t>亩，农田灌溉水有效利用系数</w:t>
      </w:r>
      <w:r>
        <w:t>0.636</w:t>
      </w:r>
      <w:r>
        <w:rPr>
          <w:rFonts w:hint="eastAsia"/>
        </w:rPr>
        <w:t>，现状用水水平基本满足用水效率的要求，但距先进用水水平的要求仍有一定的差距。</w:t>
      </w:r>
      <w:r>
        <w:t>到2035</w:t>
      </w:r>
      <w:r>
        <w:rPr>
          <w:rFonts w:hint="eastAsia"/>
        </w:rPr>
        <w:t>年全市多年平均节水潜力</w:t>
      </w:r>
      <w:r>
        <w:t>9.41</w:t>
      </w:r>
      <w:r>
        <w:rPr>
          <w:rFonts w:hint="eastAsia"/>
        </w:rPr>
        <w:t>亿m³，其中农业用水节水潜力</w:t>
      </w:r>
      <w:r>
        <w:t>7.5</w:t>
      </w:r>
      <w:r>
        <w:rPr>
          <w:rFonts w:hint="eastAsia"/>
        </w:rPr>
        <w:t>亿m³，工业用水节水潜力</w:t>
      </w:r>
      <w:r>
        <w:t>1.5</w:t>
      </w:r>
      <w:r>
        <w:rPr>
          <w:rFonts w:hint="eastAsia"/>
        </w:rPr>
        <w:t>亿m³，生活用水节水潜力</w:t>
      </w:r>
      <w:r>
        <w:t>0.1</w:t>
      </w:r>
      <w:r>
        <w:rPr>
          <w:rFonts w:hint="eastAsia"/>
        </w:rPr>
        <w:t>亿m³。</w:t>
      </w:r>
    </w:p>
    <w:p w14:paraId="046743D2">
      <w:pPr>
        <w:ind w:firstLine="480"/>
        <w:rPr>
          <w:rFonts w:cs="Times New Roman"/>
        </w:rPr>
      </w:pPr>
      <w:r>
        <w:rPr>
          <w:rStyle w:val="35"/>
          <w:rFonts w:hint="eastAsia"/>
        </w:rPr>
        <w:t>农业节水增效。</w:t>
      </w:r>
      <w:r>
        <w:rPr>
          <w:rFonts w:hint="eastAsia" w:cs="Times New Roman"/>
        </w:rPr>
        <w:t>优化灌溉制度、改进灌溉技术、加强节水工程建设、推进渠首取用水在线监测计量，全面提升农田灌溉水有效利用系数。</w:t>
      </w:r>
      <w:r>
        <w:rPr>
          <w:rStyle w:val="35"/>
          <w:rFonts w:hint="eastAsia"/>
        </w:rPr>
        <w:t>工业节水减排。</w:t>
      </w:r>
      <w:r>
        <w:rPr>
          <w:rFonts w:hint="eastAsia" w:cs="Times New Roman"/>
        </w:rPr>
        <w:t>优化调整产业结构，推进火力发电、钢铁、纺织、造纸、石化等高耗水行业节水改造，强化用水大户节水监管。</w:t>
      </w:r>
      <w:r>
        <w:rPr>
          <w:rStyle w:val="35"/>
          <w:rFonts w:hint="eastAsia"/>
        </w:rPr>
        <w:t>城镇节水降损。</w:t>
      </w:r>
      <w:r>
        <w:rPr>
          <w:rFonts w:hint="eastAsia" w:cs="Times New Roman"/>
        </w:rPr>
        <w:t>以优水优用、循环利用为重点，推进城镇节水改造，加强节水宣传；推进城市供水管网分区计量管理，规范节水“三同时”</w:t>
      </w:r>
      <w:r>
        <w:rPr>
          <w:rStyle w:val="38"/>
          <w:rFonts w:cs="Times New Roman"/>
        </w:rPr>
        <w:footnoteReference w:id="2"/>
      </w:r>
      <w:r>
        <w:rPr>
          <w:rFonts w:hint="eastAsia" w:cs="Times New Roman"/>
        </w:rPr>
        <w:t>管理。</w:t>
      </w:r>
    </w:p>
    <w:p w14:paraId="0F302D5D">
      <w:pPr>
        <w:pStyle w:val="64"/>
      </w:pPr>
      <w:r>
        <w:rPr>
          <w:rFonts w:hint="eastAsia"/>
        </w:rPr>
        <w:t>表4</w:t>
      </w:r>
      <w:r>
        <w:t>.2-3</w:t>
      </w:r>
      <w:r>
        <w:rPr>
          <w:rFonts w:hint="eastAsia"/>
        </w:rPr>
        <w:t>泰州市现状行政区分区分项用水量统计表</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48"/>
        <w:gridCol w:w="3348"/>
        <w:gridCol w:w="2386"/>
      </w:tblGrid>
      <w:tr w14:paraId="24930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90" w:type="pct"/>
            <w:noWrap/>
            <w:vAlign w:val="center"/>
          </w:tcPr>
          <w:p w14:paraId="55C71F89">
            <w:pPr>
              <w:pStyle w:val="57"/>
              <w:ind w:firstLine="482"/>
              <w:jc w:val="center"/>
              <w:rPr>
                <w:b/>
              </w:rPr>
            </w:pPr>
            <w:r>
              <w:rPr>
                <w:rFonts w:hint="eastAsia"/>
                <w:b/>
              </w:rPr>
              <w:t>用水类型</w:t>
            </w:r>
          </w:p>
        </w:tc>
        <w:tc>
          <w:tcPr>
            <w:tcW w:w="1890" w:type="pct"/>
            <w:noWrap/>
            <w:vAlign w:val="center"/>
          </w:tcPr>
          <w:p w14:paraId="48BCE7EE">
            <w:pPr>
              <w:pStyle w:val="57"/>
              <w:ind w:firstLine="482"/>
              <w:jc w:val="center"/>
              <w:rPr>
                <w:b/>
              </w:rPr>
            </w:pPr>
            <w:r>
              <w:rPr>
                <w:rFonts w:hint="eastAsia"/>
                <w:b/>
              </w:rPr>
              <w:t>子项</w:t>
            </w:r>
          </w:p>
        </w:tc>
        <w:tc>
          <w:tcPr>
            <w:tcW w:w="1220" w:type="pct"/>
            <w:noWrap/>
            <w:vAlign w:val="center"/>
          </w:tcPr>
          <w:p w14:paraId="54E020E3">
            <w:pPr>
              <w:pStyle w:val="57"/>
              <w:ind w:firstLine="482"/>
              <w:jc w:val="center"/>
              <w:rPr>
                <w:b/>
              </w:rPr>
            </w:pPr>
            <w:r>
              <w:rPr>
                <w:rFonts w:hint="eastAsia"/>
                <w:b/>
              </w:rPr>
              <w:t>用水量（万方）</w:t>
            </w:r>
          </w:p>
        </w:tc>
      </w:tr>
      <w:tr w14:paraId="2EDB8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90" w:type="pct"/>
            <w:vMerge w:val="restart"/>
            <w:noWrap/>
            <w:vAlign w:val="center"/>
          </w:tcPr>
          <w:p w14:paraId="381A6436">
            <w:pPr>
              <w:pStyle w:val="57"/>
              <w:ind w:firstLine="480"/>
              <w:jc w:val="center"/>
            </w:pPr>
            <w:r>
              <w:rPr>
                <w:rFonts w:hint="eastAsia"/>
              </w:rPr>
              <w:t>农业用水量</w:t>
            </w:r>
          </w:p>
        </w:tc>
        <w:tc>
          <w:tcPr>
            <w:tcW w:w="1890" w:type="pct"/>
            <w:noWrap/>
            <w:vAlign w:val="center"/>
          </w:tcPr>
          <w:p w14:paraId="32A2D684">
            <w:pPr>
              <w:pStyle w:val="57"/>
              <w:ind w:firstLine="480"/>
              <w:jc w:val="center"/>
            </w:pPr>
            <w:r>
              <w:rPr>
                <w:rFonts w:hint="eastAsia"/>
              </w:rPr>
              <w:t>农田灌溉</w:t>
            </w:r>
          </w:p>
        </w:tc>
        <w:tc>
          <w:tcPr>
            <w:tcW w:w="1220" w:type="pct"/>
            <w:noWrap/>
            <w:vAlign w:val="center"/>
          </w:tcPr>
          <w:p w14:paraId="5833C300">
            <w:pPr>
              <w:pStyle w:val="57"/>
              <w:ind w:firstLine="480"/>
              <w:jc w:val="center"/>
            </w:pPr>
            <w:r>
              <w:rPr>
                <w:rFonts w:hint="eastAsia"/>
              </w:rPr>
              <w:t>192941</w:t>
            </w:r>
          </w:p>
        </w:tc>
      </w:tr>
      <w:tr w14:paraId="525A3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90" w:type="pct"/>
            <w:vMerge w:val="continue"/>
            <w:vAlign w:val="center"/>
          </w:tcPr>
          <w:p w14:paraId="61351F9A">
            <w:pPr>
              <w:pStyle w:val="57"/>
              <w:ind w:firstLine="480"/>
              <w:jc w:val="center"/>
            </w:pPr>
          </w:p>
        </w:tc>
        <w:tc>
          <w:tcPr>
            <w:tcW w:w="1890" w:type="pct"/>
            <w:noWrap/>
            <w:vAlign w:val="center"/>
          </w:tcPr>
          <w:p w14:paraId="1C86A5F9">
            <w:pPr>
              <w:pStyle w:val="57"/>
              <w:ind w:firstLine="480"/>
              <w:jc w:val="center"/>
            </w:pPr>
            <w:r>
              <w:rPr>
                <w:rFonts w:hint="eastAsia"/>
              </w:rPr>
              <w:t>林牧渔畜</w:t>
            </w:r>
          </w:p>
        </w:tc>
        <w:tc>
          <w:tcPr>
            <w:tcW w:w="1220" w:type="pct"/>
            <w:noWrap/>
            <w:vAlign w:val="center"/>
          </w:tcPr>
          <w:p w14:paraId="76B9E5C2">
            <w:pPr>
              <w:pStyle w:val="57"/>
              <w:ind w:firstLine="480"/>
              <w:jc w:val="center"/>
            </w:pPr>
            <w:r>
              <w:rPr>
                <w:rFonts w:hint="eastAsia"/>
              </w:rPr>
              <w:t>13614</w:t>
            </w:r>
          </w:p>
        </w:tc>
      </w:tr>
      <w:tr w14:paraId="0848B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90" w:type="pct"/>
            <w:vMerge w:val="continue"/>
            <w:vAlign w:val="center"/>
          </w:tcPr>
          <w:p w14:paraId="3E4FBEB4">
            <w:pPr>
              <w:pStyle w:val="57"/>
              <w:ind w:firstLine="480"/>
              <w:jc w:val="center"/>
            </w:pPr>
          </w:p>
        </w:tc>
        <w:tc>
          <w:tcPr>
            <w:tcW w:w="1890" w:type="pct"/>
            <w:noWrap/>
            <w:vAlign w:val="center"/>
          </w:tcPr>
          <w:p w14:paraId="68AB3302">
            <w:pPr>
              <w:pStyle w:val="57"/>
              <w:ind w:firstLine="480"/>
              <w:jc w:val="center"/>
            </w:pPr>
            <w:r>
              <w:rPr>
                <w:rFonts w:hint="eastAsia"/>
              </w:rPr>
              <w:t>小计</w:t>
            </w:r>
          </w:p>
        </w:tc>
        <w:tc>
          <w:tcPr>
            <w:tcW w:w="1220" w:type="pct"/>
            <w:noWrap/>
            <w:vAlign w:val="center"/>
          </w:tcPr>
          <w:p w14:paraId="1ED992DB">
            <w:pPr>
              <w:pStyle w:val="57"/>
              <w:ind w:firstLine="480"/>
              <w:jc w:val="center"/>
            </w:pPr>
            <w:r>
              <w:rPr>
                <w:rFonts w:hint="eastAsia"/>
              </w:rPr>
              <w:t>206555</w:t>
            </w:r>
          </w:p>
        </w:tc>
      </w:tr>
      <w:tr w14:paraId="50F45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780" w:type="pct"/>
            <w:gridSpan w:val="2"/>
            <w:noWrap/>
            <w:vAlign w:val="center"/>
          </w:tcPr>
          <w:p w14:paraId="05E26250">
            <w:pPr>
              <w:pStyle w:val="57"/>
              <w:ind w:firstLine="480"/>
              <w:jc w:val="center"/>
            </w:pPr>
            <w:r>
              <w:rPr>
                <w:rFonts w:hint="eastAsia"/>
              </w:rPr>
              <w:t>工业用水量</w:t>
            </w:r>
          </w:p>
        </w:tc>
        <w:tc>
          <w:tcPr>
            <w:tcW w:w="1220" w:type="pct"/>
            <w:noWrap/>
            <w:vAlign w:val="center"/>
          </w:tcPr>
          <w:p w14:paraId="6717BEB0">
            <w:pPr>
              <w:pStyle w:val="57"/>
              <w:ind w:firstLine="480"/>
              <w:jc w:val="center"/>
            </w:pPr>
            <w:r>
              <w:rPr>
                <w:rFonts w:hint="eastAsia"/>
              </w:rPr>
              <w:t>260268</w:t>
            </w:r>
          </w:p>
        </w:tc>
      </w:tr>
      <w:tr w14:paraId="0F438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90" w:type="pct"/>
            <w:vMerge w:val="restart"/>
            <w:noWrap/>
            <w:vAlign w:val="center"/>
          </w:tcPr>
          <w:p w14:paraId="7C1800E7">
            <w:pPr>
              <w:pStyle w:val="57"/>
              <w:ind w:firstLine="480"/>
              <w:jc w:val="center"/>
            </w:pPr>
            <w:r>
              <w:rPr>
                <w:rFonts w:hint="eastAsia"/>
              </w:rPr>
              <w:t>生活用水量</w:t>
            </w:r>
          </w:p>
        </w:tc>
        <w:tc>
          <w:tcPr>
            <w:tcW w:w="1890" w:type="pct"/>
            <w:noWrap/>
            <w:vAlign w:val="center"/>
          </w:tcPr>
          <w:p w14:paraId="0D5882E8">
            <w:pPr>
              <w:pStyle w:val="57"/>
              <w:ind w:firstLine="480"/>
              <w:jc w:val="center"/>
            </w:pPr>
            <w:r>
              <w:rPr>
                <w:rFonts w:hint="eastAsia"/>
              </w:rPr>
              <w:t>城镇居民</w:t>
            </w:r>
          </w:p>
        </w:tc>
        <w:tc>
          <w:tcPr>
            <w:tcW w:w="1220" w:type="pct"/>
            <w:noWrap/>
            <w:vAlign w:val="center"/>
          </w:tcPr>
          <w:p w14:paraId="37255179">
            <w:pPr>
              <w:pStyle w:val="57"/>
              <w:ind w:firstLine="480"/>
              <w:jc w:val="center"/>
            </w:pPr>
            <w:r>
              <w:rPr>
                <w:rFonts w:hint="eastAsia"/>
              </w:rPr>
              <w:t>16319</w:t>
            </w:r>
          </w:p>
        </w:tc>
      </w:tr>
      <w:tr w14:paraId="6323C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90" w:type="pct"/>
            <w:vMerge w:val="continue"/>
            <w:vAlign w:val="center"/>
          </w:tcPr>
          <w:p w14:paraId="4114747B">
            <w:pPr>
              <w:pStyle w:val="57"/>
              <w:ind w:firstLine="480"/>
              <w:jc w:val="center"/>
            </w:pPr>
          </w:p>
        </w:tc>
        <w:tc>
          <w:tcPr>
            <w:tcW w:w="1890" w:type="pct"/>
            <w:noWrap/>
            <w:vAlign w:val="center"/>
          </w:tcPr>
          <w:p w14:paraId="212B686B">
            <w:pPr>
              <w:pStyle w:val="57"/>
              <w:ind w:firstLine="480"/>
              <w:jc w:val="center"/>
            </w:pPr>
            <w:r>
              <w:rPr>
                <w:rFonts w:hint="eastAsia"/>
              </w:rPr>
              <w:t>农村居民</w:t>
            </w:r>
          </w:p>
        </w:tc>
        <w:tc>
          <w:tcPr>
            <w:tcW w:w="1220" w:type="pct"/>
            <w:noWrap/>
            <w:vAlign w:val="center"/>
          </w:tcPr>
          <w:p w14:paraId="367CA684">
            <w:pPr>
              <w:pStyle w:val="57"/>
              <w:ind w:firstLine="480"/>
              <w:jc w:val="center"/>
            </w:pPr>
            <w:r>
              <w:rPr>
                <w:rFonts w:hint="eastAsia"/>
              </w:rPr>
              <w:t>5081</w:t>
            </w:r>
          </w:p>
        </w:tc>
      </w:tr>
      <w:tr w14:paraId="52943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90" w:type="pct"/>
            <w:vMerge w:val="continue"/>
            <w:vAlign w:val="center"/>
          </w:tcPr>
          <w:p w14:paraId="3384D6A0">
            <w:pPr>
              <w:pStyle w:val="57"/>
              <w:ind w:firstLine="480"/>
              <w:jc w:val="center"/>
            </w:pPr>
          </w:p>
        </w:tc>
        <w:tc>
          <w:tcPr>
            <w:tcW w:w="1890" w:type="pct"/>
            <w:noWrap/>
            <w:vAlign w:val="center"/>
          </w:tcPr>
          <w:p w14:paraId="22F2CA29">
            <w:pPr>
              <w:pStyle w:val="57"/>
              <w:ind w:firstLine="480"/>
              <w:jc w:val="center"/>
            </w:pPr>
            <w:r>
              <w:rPr>
                <w:rFonts w:hint="eastAsia"/>
              </w:rPr>
              <w:t>城镇公共</w:t>
            </w:r>
          </w:p>
        </w:tc>
        <w:tc>
          <w:tcPr>
            <w:tcW w:w="1220" w:type="pct"/>
            <w:noWrap/>
            <w:vAlign w:val="center"/>
          </w:tcPr>
          <w:p w14:paraId="3790D5BA">
            <w:pPr>
              <w:pStyle w:val="57"/>
              <w:ind w:firstLine="480"/>
              <w:jc w:val="center"/>
            </w:pPr>
            <w:r>
              <w:rPr>
                <w:rFonts w:hint="eastAsia"/>
              </w:rPr>
              <w:t>10620</w:t>
            </w:r>
          </w:p>
        </w:tc>
      </w:tr>
      <w:tr w14:paraId="2471B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90" w:type="pct"/>
            <w:vMerge w:val="continue"/>
            <w:vAlign w:val="center"/>
          </w:tcPr>
          <w:p w14:paraId="41CB619E">
            <w:pPr>
              <w:pStyle w:val="57"/>
              <w:ind w:firstLine="480"/>
              <w:jc w:val="center"/>
            </w:pPr>
          </w:p>
        </w:tc>
        <w:tc>
          <w:tcPr>
            <w:tcW w:w="1890" w:type="pct"/>
            <w:noWrap/>
            <w:vAlign w:val="center"/>
          </w:tcPr>
          <w:p w14:paraId="28B1B46E">
            <w:pPr>
              <w:pStyle w:val="57"/>
              <w:ind w:firstLine="480"/>
              <w:jc w:val="center"/>
            </w:pPr>
            <w:r>
              <w:rPr>
                <w:rFonts w:hint="eastAsia"/>
              </w:rPr>
              <w:t>小计</w:t>
            </w:r>
          </w:p>
        </w:tc>
        <w:tc>
          <w:tcPr>
            <w:tcW w:w="1220" w:type="pct"/>
            <w:noWrap/>
            <w:vAlign w:val="center"/>
          </w:tcPr>
          <w:p w14:paraId="61401801">
            <w:pPr>
              <w:pStyle w:val="57"/>
              <w:ind w:firstLine="480"/>
              <w:jc w:val="center"/>
            </w:pPr>
            <w:r>
              <w:rPr>
                <w:rFonts w:hint="eastAsia"/>
              </w:rPr>
              <w:t>32020</w:t>
            </w:r>
          </w:p>
        </w:tc>
      </w:tr>
      <w:tr w14:paraId="79240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780" w:type="pct"/>
            <w:gridSpan w:val="2"/>
            <w:noWrap/>
            <w:vAlign w:val="center"/>
          </w:tcPr>
          <w:p w14:paraId="2FB28712">
            <w:pPr>
              <w:pStyle w:val="57"/>
              <w:ind w:firstLine="480"/>
              <w:jc w:val="center"/>
            </w:pPr>
            <w:r>
              <w:rPr>
                <w:rFonts w:hint="eastAsia"/>
              </w:rPr>
              <w:t>人工生态环境补水</w:t>
            </w:r>
          </w:p>
        </w:tc>
        <w:tc>
          <w:tcPr>
            <w:tcW w:w="1220" w:type="pct"/>
            <w:noWrap/>
            <w:vAlign w:val="center"/>
          </w:tcPr>
          <w:p w14:paraId="4549DEF5">
            <w:pPr>
              <w:pStyle w:val="57"/>
              <w:ind w:firstLine="480"/>
              <w:jc w:val="center"/>
            </w:pPr>
            <w:r>
              <w:rPr>
                <w:rFonts w:hint="eastAsia"/>
              </w:rPr>
              <w:t>7424</w:t>
            </w:r>
          </w:p>
        </w:tc>
      </w:tr>
      <w:tr w14:paraId="34C54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90" w:type="pct"/>
            <w:vMerge w:val="restart"/>
            <w:noWrap/>
            <w:vAlign w:val="center"/>
          </w:tcPr>
          <w:p w14:paraId="0124B133">
            <w:pPr>
              <w:pStyle w:val="57"/>
              <w:ind w:firstLine="480"/>
              <w:jc w:val="center"/>
            </w:pPr>
            <w:r>
              <w:rPr>
                <w:rFonts w:hint="eastAsia"/>
              </w:rPr>
              <w:t>总用水量</w:t>
            </w:r>
          </w:p>
        </w:tc>
        <w:tc>
          <w:tcPr>
            <w:tcW w:w="1890" w:type="pct"/>
            <w:noWrap/>
            <w:vAlign w:val="center"/>
          </w:tcPr>
          <w:p w14:paraId="7EF83247">
            <w:pPr>
              <w:pStyle w:val="57"/>
              <w:ind w:firstLine="480"/>
              <w:jc w:val="center"/>
            </w:pPr>
            <w:r>
              <w:rPr>
                <w:rFonts w:hint="eastAsia"/>
              </w:rPr>
              <w:t>总用水量</w:t>
            </w:r>
          </w:p>
        </w:tc>
        <w:tc>
          <w:tcPr>
            <w:tcW w:w="1220" w:type="pct"/>
            <w:noWrap/>
            <w:vAlign w:val="center"/>
          </w:tcPr>
          <w:p w14:paraId="1B784713">
            <w:pPr>
              <w:pStyle w:val="57"/>
              <w:ind w:firstLine="480"/>
              <w:jc w:val="center"/>
            </w:pPr>
            <w:r>
              <w:rPr>
                <w:rFonts w:hint="eastAsia"/>
              </w:rPr>
              <w:t>506267</w:t>
            </w:r>
          </w:p>
        </w:tc>
      </w:tr>
      <w:tr w14:paraId="1DCC1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90" w:type="pct"/>
            <w:vMerge w:val="continue"/>
            <w:vAlign w:val="center"/>
          </w:tcPr>
          <w:p w14:paraId="7D1AB139">
            <w:pPr>
              <w:pStyle w:val="57"/>
              <w:ind w:firstLine="480"/>
              <w:jc w:val="center"/>
            </w:pPr>
          </w:p>
        </w:tc>
        <w:tc>
          <w:tcPr>
            <w:tcW w:w="1890" w:type="pct"/>
            <w:noWrap/>
            <w:vAlign w:val="center"/>
          </w:tcPr>
          <w:p w14:paraId="559673C2">
            <w:pPr>
              <w:pStyle w:val="57"/>
              <w:ind w:firstLine="480"/>
              <w:jc w:val="center"/>
            </w:pPr>
            <w:r>
              <w:rPr>
                <w:rFonts w:hint="eastAsia"/>
              </w:rPr>
              <w:t>其中地下水</w:t>
            </w:r>
          </w:p>
        </w:tc>
        <w:tc>
          <w:tcPr>
            <w:tcW w:w="1220" w:type="pct"/>
            <w:noWrap/>
            <w:vAlign w:val="center"/>
          </w:tcPr>
          <w:p w14:paraId="5775A41F">
            <w:pPr>
              <w:pStyle w:val="57"/>
              <w:ind w:firstLine="480"/>
              <w:jc w:val="center"/>
            </w:pPr>
            <w:r>
              <w:rPr>
                <w:rFonts w:hint="eastAsia"/>
              </w:rPr>
              <w:t>288.8</w:t>
            </w:r>
          </w:p>
        </w:tc>
      </w:tr>
    </w:tbl>
    <w:p w14:paraId="103BF5DD">
      <w:pPr>
        <w:pStyle w:val="4"/>
      </w:pPr>
      <w:r>
        <w:rPr>
          <w:rFonts w:hint="eastAsia"/>
        </w:rPr>
        <w:t>推进再生水利用</w:t>
      </w:r>
    </w:p>
    <w:p w14:paraId="10225D37">
      <w:pPr>
        <w:ind w:firstLine="480"/>
        <w:rPr>
          <w:rFonts w:cs="Times New Roman"/>
        </w:rPr>
      </w:pPr>
      <w:r>
        <w:rPr>
          <w:rStyle w:val="35"/>
          <w:rFonts w:hint="eastAsia"/>
        </w:rPr>
        <w:t>合理规划布局。</w:t>
      </w:r>
      <w:r>
        <w:rPr>
          <w:rFonts w:hint="eastAsia" w:cs="Times New Roman"/>
        </w:rPr>
        <w:t>根据泰州市自然禀赋、经济社会发展需要以及流域和区域水资源等相关规划要求，制定区域再生水循环利用方案，在区域层面统筹再生水生产、调配、利用各环节，推动形成污染治理、生态保护、循环利用有机结合的治理体系。</w:t>
      </w:r>
    </w:p>
    <w:p w14:paraId="4443C3BB">
      <w:pPr>
        <w:ind w:firstLine="480"/>
        <w:rPr>
          <w:rFonts w:cs="Times New Roman"/>
        </w:rPr>
      </w:pPr>
      <w:r>
        <w:rPr>
          <w:rStyle w:val="35"/>
          <w:rFonts w:hint="eastAsia"/>
        </w:rPr>
        <w:t>提升再生水利用能力。</w:t>
      </w:r>
      <w:r>
        <w:rPr>
          <w:rFonts w:hint="eastAsia" w:cs="Times New Roman"/>
        </w:rPr>
        <w:t>提升污水处理能力，升级现有污水处理厂的技术和设备，提高污水处理的效率和质量</w:t>
      </w:r>
      <w:r>
        <w:rPr>
          <w:rFonts w:cs="Times New Roman"/>
        </w:rPr>
        <w:t>，</w:t>
      </w:r>
      <w:r>
        <w:rPr>
          <w:rFonts w:hint="eastAsia" w:cs="Times New Roman"/>
        </w:rPr>
        <w:t>规划至</w:t>
      </w:r>
      <w:r>
        <w:rPr>
          <w:rFonts w:cs="Times New Roman"/>
        </w:rPr>
        <w:t>2035</w:t>
      </w:r>
      <w:r>
        <w:rPr>
          <w:rFonts w:hint="eastAsia" w:cs="Times New Roman"/>
        </w:rPr>
        <w:t>年</w:t>
      </w:r>
      <w:r>
        <w:rPr>
          <w:rFonts w:cs="Times New Roman"/>
        </w:rPr>
        <w:t>污水再利用</w:t>
      </w:r>
      <w:r>
        <w:rPr>
          <w:rFonts w:hint="eastAsia" w:cs="Times New Roman"/>
        </w:rPr>
        <w:t>规模达1</w:t>
      </w:r>
      <w:r>
        <w:rPr>
          <w:rFonts w:cs="Times New Roman"/>
        </w:rPr>
        <w:t>5万吨</w:t>
      </w:r>
      <w:r>
        <w:rPr>
          <w:rFonts w:hint="eastAsia" w:cs="Times New Roman"/>
        </w:rPr>
        <w:t>/日。优化雨水收集和利用，加强城市雨水收集系统的建设，提高雨水资源的收集和利用效率。鼓励工业废水回用，提升工业</w:t>
      </w:r>
      <w:r>
        <w:rPr>
          <w:rFonts w:cs="Times New Roman"/>
        </w:rPr>
        <w:t>重复利用率</w:t>
      </w:r>
      <w:r>
        <w:rPr>
          <w:rFonts w:hint="eastAsia" w:cs="Times New Roman"/>
        </w:rPr>
        <w:t>。中心城区结合海绵城市建设，推进雨水资源化利用。</w:t>
      </w:r>
    </w:p>
    <w:p w14:paraId="1AD9F3B7">
      <w:pPr>
        <w:ind w:firstLine="480"/>
        <w:rPr>
          <w:rFonts w:cs="Times New Roman"/>
        </w:rPr>
      </w:pPr>
      <w:r>
        <w:rPr>
          <w:rStyle w:val="35"/>
          <w:rFonts w:hint="eastAsia"/>
        </w:rPr>
        <w:t>拓宽再生水利用场景。</w:t>
      </w:r>
      <w:r>
        <w:rPr>
          <w:rFonts w:hint="eastAsia" w:cs="Times New Roman"/>
        </w:rPr>
        <w:t>鼓励将达标的再生水用于河湖生态补水、农业灌溉、园区工业生产用水。推广“花园式”污水处理站、“水上农谷”稻蛙共养等先进经验，稳步提升</w:t>
      </w:r>
      <w:r>
        <w:rPr>
          <w:rFonts w:cs="Times New Roman"/>
        </w:rPr>
        <w:t>再生水回用率。</w:t>
      </w:r>
    </w:p>
    <w:p w14:paraId="5F59CBFF">
      <w:pPr>
        <w:ind w:firstLine="480"/>
        <w:rPr>
          <w:rFonts w:cs="Times New Roman"/>
        </w:rPr>
      </w:pPr>
      <w:r>
        <w:rPr>
          <w:rStyle w:val="35"/>
          <w:rFonts w:hint="eastAsia"/>
        </w:rPr>
        <w:t>加强监测监管。</w:t>
      </w:r>
      <w:r>
        <w:rPr>
          <w:rFonts w:hint="eastAsia" w:cs="Times New Roman"/>
        </w:rPr>
        <w:t>加强区域再生水循环利用全过程水质水量监测，保障再生水利用安全。加强再生水调蓄河流湖荡环境管理，防止再生水水质恶化。特殊用途再生水利用应经进一步处理以满足相应用途水质要求。</w:t>
      </w:r>
    </w:p>
    <w:p w14:paraId="6305427F">
      <w:pPr>
        <w:pStyle w:val="4"/>
      </w:pPr>
      <w:r>
        <w:rPr>
          <w:rFonts w:hint="eastAsia"/>
        </w:rPr>
        <w:t>强化水资源统筹配置</w:t>
      </w:r>
    </w:p>
    <w:p w14:paraId="1457F0C3">
      <w:pPr>
        <w:ind w:firstLine="480"/>
        <w:rPr>
          <w:rFonts w:cs="Times New Roman"/>
        </w:rPr>
      </w:pPr>
      <w:r>
        <w:rPr>
          <w:rStyle w:val="35"/>
          <w:rFonts w:hint="eastAsia"/>
        </w:rPr>
        <w:t>用水需求。</w:t>
      </w:r>
      <w:r>
        <w:rPr>
          <w:rFonts w:hint="eastAsia" w:cs="Times New Roman"/>
        </w:rPr>
        <w:t>按照最严格水资源管理要求，以省内外先进地区用水指标预测强化节水前提下的用水需求，经分析预测，</w:t>
      </w:r>
      <w:r>
        <w:rPr>
          <w:rFonts w:cs="Times New Roman"/>
        </w:rPr>
        <w:t>2035</w:t>
      </w:r>
      <w:r>
        <w:rPr>
          <w:rFonts w:hint="eastAsia" w:cs="Times New Roman"/>
        </w:rPr>
        <w:t>年全市多年平均河道外需水量</w:t>
      </w:r>
      <w:r>
        <w:rPr>
          <w:rFonts w:cs="Times New Roman"/>
        </w:rPr>
        <w:t>50.5</w:t>
      </w:r>
      <w:r>
        <w:rPr>
          <w:rFonts w:hint="eastAsia" w:cs="Times New Roman"/>
        </w:rPr>
        <w:t>亿m³，其中生活需水</w:t>
      </w:r>
      <w:r>
        <w:rPr>
          <w:rFonts w:cs="Times New Roman"/>
        </w:rPr>
        <w:t>3.29</w:t>
      </w:r>
      <w:r>
        <w:rPr>
          <w:rFonts w:hint="eastAsia" w:cs="Times New Roman"/>
        </w:rPr>
        <w:t>亿m³，工业和农业需水分别为</w:t>
      </w:r>
      <w:r>
        <w:rPr>
          <w:rFonts w:cs="Times New Roman"/>
        </w:rPr>
        <w:t>27.26</w:t>
      </w:r>
      <w:r>
        <w:rPr>
          <w:rFonts w:hint="eastAsia" w:cs="Times New Roman"/>
        </w:rPr>
        <w:t>亿m³和</w:t>
      </w:r>
      <w:r>
        <w:rPr>
          <w:rFonts w:cs="Times New Roman"/>
        </w:rPr>
        <w:t>18.54</w:t>
      </w:r>
      <w:r>
        <w:rPr>
          <w:rFonts w:hint="eastAsia" w:cs="Times New Roman"/>
        </w:rPr>
        <w:t>亿m³，生态需水</w:t>
      </w:r>
      <w:r>
        <w:rPr>
          <w:rFonts w:cs="Times New Roman"/>
        </w:rPr>
        <w:t>1.41</w:t>
      </w:r>
      <w:r>
        <w:rPr>
          <w:rFonts w:hint="eastAsia" w:cs="Times New Roman"/>
        </w:rPr>
        <w:t>亿m³。全市城乡生活配置水量由现状</w:t>
      </w:r>
      <w:r>
        <w:rPr>
          <w:rFonts w:cs="Times New Roman"/>
        </w:rPr>
        <w:t>3.20</w:t>
      </w:r>
      <w:r>
        <w:rPr>
          <w:rFonts w:hint="eastAsia" w:cs="Times New Roman"/>
        </w:rPr>
        <w:t>亿m³增加到</w:t>
      </w:r>
      <w:r>
        <w:rPr>
          <w:rFonts w:cs="Times New Roman"/>
        </w:rPr>
        <w:t>3.29</w:t>
      </w:r>
      <w:r>
        <w:rPr>
          <w:rFonts w:hint="eastAsia" w:cs="Times New Roman"/>
        </w:rPr>
        <w:t>亿m³，基本满足人口增长和城市化发展需要；工业配置水量由现状</w:t>
      </w:r>
      <w:r>
        <w:rPr>
          <w:rFonts w:cs="Times New Roman"/>
        </w:rPr>
        <w:t>26.03</w:t>
      </w:r>
      <w:r>
        <w:rPr>
          <w:rFonts w:hint="eastAsia" w:cs="Times New Roman"/>
        </w:rPr>
        <w:t>亿m³增加到</w:t>
      </w:r>
      <w:r>
        <w:rPr>
          <w:rFonts w:cs="Times New Roman"/>
        </w:rPr>
        <w:t>27.26</w:t>
      </w:r>
      <w:r>
        <w:rPr>
          <w:rFonts w:hint="eastAsia" w:cs="Times New Roman"/>
        </w:rPr>
        <w:t>亿m³，在建设节水型工业体系的基础上，基本满足实现新型工业化发展需要；多年平均配置的农业用水由现状</w:t>
      </w:r>
      <w:r>
        <w:rPr>
          <w:rFonts w:cs="Times New Roman"/>
        </w:rPr>
        <w:t>20.66</w:t>
      </w:r>
      <w:r>
        <w:rPr>
          <w:rFonts w:hint="eastAsia" w:cs="Times New Roman"/>
        </w:rPr>
        <w:t>亿m³减少到</w:t>
      </w:r>
      <w:r>
        <w:rPr>
          <w:rFonts w:cs="Times New Roman"/>
        </w:rPr>
        <w:t>18.54</w:t>
      </w:r>
      <w:r>
        <w:rPr>
          <w:rFonts w:hint="eastAsia" w:cs="Times New Roman"/>
        </w:rPr>
        <w:t>亿m³，生态用水由现状</w:t>
      </w:r>
      <w:r>
        <w:rPr>
          <w:rFonts w:cs="Times New Roman"/>
        </w:rPr>
        <w:t>0.7</w:t>
      </w:r>
      <w:r>
        <w:rPr>
          <w:rFonts w:hint="eastAsia" w:cs="Times New Roman"/>
        </w:rPr>
        <w:t>亿m³增加到</w:t>
      </w:r>
      <w:r>
        <w:rPr>
          <w:rFonts w:cs="Times New Roman"/>
        </w:rPr>
        <w:t>1.41</w:t>
      </w:r>
      <w:r>
        <w:rPr>
          <w:rFonts w:hint="eastAsia" w:cs="Times New Roman"/>
        </w:rPr>
        <w:t>亿m³。</w:t>
      </w:r>
    </w:p>
    <w:p w14:paraId="5B2CAFC3">
      <w:pPr>
        <w:ind w:firstLine="480"/>
        <w:rPr>
          <w:rFonts w:cs="Times New Roman"/>
        </w:rPr>
      </w:pPr>
      <w:r>
        <w:rPr>
          <w:rStyle w:val="35"/>
          <w:rFonts w:hint="eastAsia"/>
        </w:rPr>
        <w:t>强化节水。</w:t>
      </w:r>
      <w:r>
        <w:rPr>
          <w:rFonts w:hint="eastAsia" w:cs="Times New Roman"/>
        </w:rPr>
        <w:t>根据水资源禀赋条件，进一步优化水资源配置格局，促进水资源联通互济、多源互补，加强统一调度与管理。到</w:t>
      </w:r>
      <w:r>
        <w:rPr>
          <w:rFonts w:cs="Times New Roman"/>
        </w:rPr>
        <w:t>2035</w:t>
      </w:r>
      <w:r>
        <w:rPr>
          <w:rFonts w:hint="eastAsia" w:cs="Times New Roman"/>
        </w:rPr>
        <w:t>年，泰州里下河片加强工农业节水等，多年平均总需水量减少</w:t>
      </w:r>
      <w:r>
        <w:rPr>
          <w:rFonts w:cs="Times New Roman"/>
        </w:rPr>
        <w:t>0.15</w:t>
      </w:r>
      <w:r>
        <w:rPr>
          <w:rFonts w:hint="eastAsia" w:cs="Times New Roman"/>
        </w:rPr>
        <w:t>亿m³，其中农业需水减少</w:t>
      </w:r>
      <w:r>
        <w:rPr>
          <w:rFonts w:cs="Times New Roman"/>
        </w:rPr>
        <w:t>0.19亿m³</w:t>
      </w:r>
      <w:r>
        <w:rPr>
          <w:rFonts w:hint="eastAsia" w:cs="Times New Roman"/>
        </w:rPr>
        <w:t>，非农需水增加</w:t>
      </w:r>
      <w:r>
        <w:rPr>
          <w:rFonts w:cs="Times New Roman"/>
        </w:rPr>
        <w:t>0.02亿m³</w:t>
      </w:r>
      <w:r>
        <w:rPr>
          <w:rFonts w:hint="eastAsia" w:cs="Times New Roman"/>
        </w:rPr>
        <w:t>，现有江水东引供水体系可满足供水需求；泰州通南沿江地区多年平均总需水量增加</w:t>
      </w:r>
      <w:r>
        <w:rPr>
          <w:rFonts w:cs="Times New Roman"/>
        </w:rPr>
        <w:t>0.36亿m³</w:t>
      </w:r>
      <w:r>
        <w:rPr>
          <w:rFonts w:hint="eastAsia" w:cs="Times New Roman"/>
        </w:rPr>
        <w:t>，通过沿江地区引江供水及加强河网配套可增加供水约</w:t>
      </w:r>
      <w:r>
        <w:rPr>
          <w:rFonts w:cs="Times New Roman"/>
        </w:rPr>
        <w:t>0.3亿m³</w:t>
      </w:r>
      <w:r>
        <w:rPr>
          <w:rFonts w:hint="eastAsia" w:cs="Times New Roman"/>
        </w:rPr>
        <w:t>，提高污水处理回用和雨水利用增加供水</w:t>
      </w:r>
      <w:r>
        <w:rPr>
          <w:rFonts w:cs="Times New Roman"/>
        </w:rPr>
        <w:t>0.06亿m³</w:t>
      </w:r>
      <w:r>
        <w:rPr>
          <w:rFonts w:hint="eastAsia" w:cs="Times New Roman"/>
        </w:rPr>
        <w:t>。</w:t>
      </w:r>
    </w:p>
    <w:p w14:paraId="7C18BBDC">
      <w:pPr>
        <w:ind w:firstLine="480"/>
        <w:rPr>
          <w:rFonts w:cs="Times New Roman"/>
        </w:rPr>
      </w:pPr>
      <w:r>
        <w:rPr>
          <w:rStyle w:val="35"/>
          <w:rFonts w:hint="eastAsia"/>
        </w:rPr>
        <w:t>水量平衡。</w:t>
      </w:r>
      <w:r>
        <w:rPr>
          <w:rFonts w:hint="eastAsia" w:cs="Times New Roman"/>
        </w:rPr>
        <w:t>到</w:t>
      </w:r>
      <w:r>
        <w:rPr>
          <w:rFonts w:cs="Times New Roman"/>
        </w:rPr>
        <w:t>2035</w:t>
      </w:r>
      <w:r>
        <w:rPr>
          <w:rFonts w:hint="eastAsia" w:cs="Times New Roman"/>
        </w:rPr>
        <w:t>年，全市全口径最大供水总量由现状</w:t>
      </w:r>
      <w:r>
        <w:rPr>
          <w:rFonts w:cs="Times New Roman"/>
        </w:rPr>
        <w:t>50.63亿m³</w:t>
      </w:r>
      <w:r>
        <w:rPr>
          <w:rFonts w:hint="eastAsia" w:cs="Times New Roman"/>
        </w:rPr>
        <w:t>减少到</w:t>
      </w:r>
      <w:r>
        <w:rPr>
          <w:rFonts w:cs="Times New Roman"/>
        </w:rPr>
        <w:t>50.5</w:t>
      </w:r>
      <w:r>
        <w:rPr>
          <w:rFonts w:hint="eastAsia" w:cs="Times New Roman"/>
        </w:rPr>
        <w:t>亿m³；全市多年平均可供水量与现状基本相当，其中地表水供水</w:t>
      </w:r>
      <w:r>
        <w:rPr>
          <w:rFonts w:cs="Times New Roman"/>
        </w:rPr>
        <w:t>48.95</w:t>
      </w:r>
      <w:r>
        <w:rPr>
          <w:rFonts w:hint="eastAsia" w:cs="Times New Roman"/>
        </w:rPr>
        <w:t>亿m³（其中外调及引江水量为</w:t>
      </w:r>
      <w:r>
        <w:rPr>
          <w:rFonts w:cs="Times New Roman"/>
        </w:rPr>
        <w:t>43.44</w:t>
      </w:r>
      <w:r>
        <w:rPr>
          <w:rFonts w:hint="eastAsia" w:cs="Times New Roman"/>
        </w:rPr>
        <w:t>亿m³），地下水供水</w:t>
      </w:r>
      <w:r>
        <w:rPr>
          <w:rFonts w:cs="Times New Roman"/>
        </w:rPr>
        <w:t>0.16</w:t>
      </w:r>
      <w:r>
        <w:rPr>
          <w:rFonts w:hint="eastAsia" w:cs="Times New Roman"/>
        </w:rPr>
        <w:t>亿m³，其他水源供水</w:t>
      </w:r>
      <w:r>
        <w:rPr>
          <w:rFonts w:cs="Times New Roman"/>
        </w:rPr>
        <w:t>1.39</w:t>
      </w:r>
      <w:r>
        <w:rPr>
          <w:rFonts w:hint="eastAsia" w:cs="Times New Roman"/>
        </w:rPr>
        <w:t>亿m³，基本能够满足经济社会发展用水需求，实现供需平衡。</w:t>
      </w:r>
    </w:p>
    <w:p w14:paraId="4D859D62">
      <w:pPr>
        <w:ind w:firstLine="480"/>
        <w:rPr>
          <w:rFonts w:cs="Times New Roman"/>
        </w:rPr>
      </w:pPr>
      <w:r>
        <w:rPr>
          <w:rStyle w:val="35"/>
          <w:rFonts w:hint="eastAsia"/>
        </w:rPr>
        <w:t>总量控制。</w:t>
      </w:r>
      <w:r>
        <w:rPr>
          <w:rFonts w:hint="eastAsia" w:cs="Times New Roman"/>
        </w:rPr>
        <w:t>按照实行最严格水资源管理制度考核办法，</w:t>
      </w:r>
      <w:r>
        <w:rPr>
          <w:rFonts w:cs="Times New Roman"/>
        </w:rPr>
        <w:t>2035</w:t>
      </w:r>
      <w:r>
        <w:rPr>
          <w:rFonts w:hint="eastAsia" w:cs="Times New Roman"/>
        </w:rPr>
        <w:t>年水资源控制总量</w:t>
      </w:r>
      <w:r>
        <w:rPr>
          <w:rFonts w:cs="Times New Roman"/>
        </w:rPr>
        <w:t>50.5</w:t>
      </w:r>
      <w:r>
        <w:rPr>
          <w:rFonts w:hint="eastAsia" w:cs="Times New Roman"/>
        </w:rPr>
        <w:t>亿m³（预测值，最终以省级下达指标为准）。</w:t>
      </w:r>
      <w:r>
        <w:rPr>
          <w:rFonts w:cs="Times New Roman"/>
        </w:rPr>
        <w:t>2035</w:t>
      </w:r>
      <w:r>
        <w:rPr>
          <w:rFonts w:hint="eastAsia" w:cs="Times New Roman"/>
        </w:rPr>
        <w:t>年全市多年平均总需水量</w:t>
      </w:r>
      <w:r>
        <w:rPr>
          <w:rFonts w:cs="Times New Roman"/>
        </w:rPr>
        <w:t>50.5</w:t>
      </w:r>
      <w:r>
        <w:rPr>
          <w:rFonts w:hint="eastAsia" w:cs="Times New Roman"/>
        </w:rPr>
        <w:t>亿m³，根据水资源供需平衡分析成果，</w:t>
      </w:r>
      <w:r>
        <w:rPr>
          <w:rFonts w:cs="Times New Roman"/>
        </w:rPr>
        <w:t>2035</w:t>
      </w:r>
      <w:r>
        <w:rPr>
          <w:rFonts w:hint="eastAsia" w:cs="Times New Roman"/>
        </w:rPr>
        <w:t>年多年平均供水量为</w:t>
      </w:r>
      <w:r>
        <w:rPr>
          <w:rFonts w:cs="Times New Roman"/>
        </w:rPr>
        <w:t>50.5</w:t>
      </w:r>
      <w:r>
        <w:rPr>
          <w:rFonts w:hint="eastAsia" w:cs="Times New Roman"/>
        </w:rPr>
        <w:t>亿m³，与总量控制指标持平，规划配置水量符合用水总量控制目标要求。</w:t>
      </w:r>
    </w:p>
    <w:p w14:paraId="56B1672A">
      <w:pPr>
        <w:pStyle w:val="64"/>
        <w:rPr>
          <w:rFonts w:cs="Times New Roman"/>
        </w:rPr>
      </w:pPr>
      <w:r>
        <w:rPr>
          <w:rFonts w:hint="eastAsia"/>
        </w:rPr>
        <w:t>表4</w:t>
      </w:r>
      <w:r>
        <w:t xml:space="preserve">.2-4  </w:t>
      </w:r>
      <w:r>
        <w:rPr>
          <w:rFonts w:hint="eastAsia"/>
        </w:rPr>
        <w:t xml:space="preserve"> </w:t>
      </w:r>
      <w:r>
        <w:t>2035年泰州市需水量预测表</w:t>
      </w:r>
      <w:r>
        <w:rPr>
          <w:rFonts w:hint="eastAsia"/>
        </w:rPr>
        <w:t xml:space="preserve">     单位：万m</w:t>
      </w:r>
      <w:r>
        <w:rPr>
          <w:rFonts w:ascii="Calibri" w:hAnsi="Calibri" w:cs="Calibri"/>
        </w:rPr>
        <w:t>³</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8"/>
        <w:gridCol w:w="1368"/>
        <w:gridCol w:w="910"/>
        <w:gridCol w:w="910"/>
        <w:gridCol w:w="910"/>
        <w:gridCol w:w="910"/>
        <w:gridCol w:w="910"/>
        <w:gridCol w:w="910"/>
        <w:gridCol w:w="886"/>
      </w:tblGrid>
      <w:tr w14:paraId="25127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05" w:type="pct"/>
            <w:gridSpan w:val="2"/>
            <w:shd w:val="clear" w:color="auto" w:fill="auto"/>
            <w:noWrap/>
            <w:vAlign w:val="center"/>
          </w:tcPr>
          <w:p w14:paraId="6B311CE0">
            <w:pPr>
              <w:widowControl/>
              <w:spacing w:before="20" w:after="20" w:line="240" w:lineRule="auto"/>
              <w:ind w:firstLine="0" w:firstLineChars="0"/>
              <w:jc w:val="center"/>
              <w:rPr>
                <w:rFonts w:ascii="方正楷体_GBK" w:eastAsia="方正楷体_GBK" w:cs="Times New Roman"/>
                <w:sz w:val="22"/>
              </w:rPr>
            </w:pPr>
            <w:r>
              <w:rPr>
                <w:rFonts w:hint="eastAsia" w:ascii="方正楷体_GBK" w:eastAsia="方正楷体_GBK" w:cs="Times New Roman"/>
                <w:sz w:val="22"/>
              </w:rPr>
              <w:t>行政分区</w:t>
            </w:r>
          </w:p>
        </w:tc>
        <w:tc>
          <w:tcPr>
            <w:tcW w:w="501" w:type="pct"/>
            <w:shd w:val="clear" w:color="auto" w:fill="auto"/>
            <w:noWrap/>
            <w:vAlign w:val="center"/>
          </w:tcPr>
          <w:p w14:paraId="71804D60">
            <w:pPr>
              <w:widowControl/>
              <w:spacing w:before="20" w:after="20" w:line="240" w:lineRule="auto"/>
              <w:ind w:firstLine="0" w:firstLineChars="0"/>
              <w:jc w:val="center"/>
              <w:rPr>
                <w:rFonts w:ascii="方正楷体_GBK" w:eastAsia="方正楷体_GBK" w:cs="Times New Roman"/>
                <w:sz w:val="22"/>
              </w:rPr>
            </w:pPr>
            <w:r>
              <w:rPr>
                <w:rFonts w:hint="eastAsia" w:ascii="方正楷体_GBK" w:eastAsia="方正楷体_GBK" w:cs="Times New Roman"/>
                <w:sz w:val="22"/>
              </w:rPr>
              <w:t>兴化市</w:t>
            </w:r>
          </w:p>
        </w:tc>
        <w:tc>
          <w:tcPr>
            <w:tcW w:w="501" w:type="pct"/>
            <w:shd w:val="clear" w:color="auto" w:fill="auto"/>
            <w:noWrap/>
            <w:vAlign w:val="center"/>
          </w:tcPr>
          <w:p w14:paraId="2A7F3AE3">
            <w:pPr>
              <w:widowControl/>
              <w:spacing w:before="20" w:after="20" w:line="240" w:lineRule="auto"/>
              <w:ind w:firstLine="0" w:firstLineChars="0"/>
              <w:jc w:val="center"/>
              <w:rPr>
                <w:rFonts w:ascii="方正楷体_GBK" w:eastAsia="方正楷体_GBK" w:cs="Times New Roman"/>
                <w:sz w:val="22"/>
              </w:rPr>
            </w:pPr>
            <w:r>
              <w:rPr>
                <w:rFonts w:hint="eastAsia" w:ascii="方正楷体_GBK" w:eastAsia="方正楷体_GBK" w:cs="Times New Roman"/>
                <w:sz w:val="22"/>
              </w:rPr>
              <w:t>姜堰区</w:t>
            </w:r>
          </w:p>
        </w:tc>
        <w:tc>
          <w:tcPr>
            <w:tcW w:w="501" w:type="pct"/>
            <w:shd w:val="clear" w:color="auto" w:fill="auto"/>
            <w:noWrap/>
            <w:vAlign w:val="center"/>
          </w:tcPr>
          <w:p w14:paraId="6E1DFB9E">
            <w:pPr>
              <w:widowControl/>
              <w:spacing w:before="20" w:after="20" w:line="240" w:lineRule="auto"/>
              <w:ind w:firstLine="0" w:firstLineChars="0"/>
              <w:jc w:val="center"/>
              <w:rPr>
                <w:rFonts w:ascii="方正楷体_GBK" w:eastAsia="方正楷体_GBK" w:cs="Times New Roman"/>
                <w:sz w:val="22"/>
              </w:rPr>
            </w:pPr>
            <w:r>
              <w:rPr>
                <w:rFonts w:hint="eastAsia" w:ascii="方正楷体_GBK" w:eastAsia="方正楷体_GBK" w:cs="Times New Roman"/>
                <w:sz w:val="22"/>
              </w:rPr>
              <w:t>海陵区</w:t>
            </w:r>
          </w:p>
        </w:tc>
        <w:tc>
          <w:tcPr>
            <w:tcW w:w="501" w:type="pct"/>
            <w:shd w:val="clear" w:color="auto" w:fill="auto"/>
            <w:noWrap/>
            <w:vAlign w:val="center"/>
          </w:tcPr>
          <w:p w14:paraId="650EA1EC">
            <w:pPr>
              <w:widowControl/>
              <w:spacing w:before="20" w:after="20" w:line="240" w:lineRule="auto"/>
              <w:ind w:firstLine="0" w:firstLineChars="0"/>
              <w:jc w:val="center"/>
              <w:rPr>
                <w:rFonts w:ascii="方正楷体_GBK" w:eastAsia="方正楷体_GBK" w:cs="Times New Roman"/>
                <w:sz w:val="22"/>
              </w:rPr>
            </w:pPr>
            <w:r>
              <w:rPr>
                <w:rFonts w:hint="eastAsia" w:ascii="方正楷体_GBK" w:eastAsia="方正楷体_GBK" w:cs="Times New Roman"/>
                <w:sz w:val="22"/>
              </w:rPr>
              <w:t>高港区</w:t>
            </w:r>
          </w:p>
        </w:tc>
        <w:tc>
          <w:tcPr>
            <w:tcW w:w="501" w:type="pct"/>
            <w:shd w:val="clear" w:color="auto" w:fill="auto"/>
            <w:noWrap/>
            <w:vAlign w:val="center"/>
          </w:tcPr>
          <w:p w14:paraId="1A295C45">
            <w:pPr>
              <w:widowControl/>
              <w:spacing w:before="20" w:after="20" w:line="240" w:lineRule="auto"/>
              <w:ind w:firstLine="0" w:firstLineChars="0"/>
              <w:jc w:val="center"/>
              <w:rPr>
                <w:rFonts w:ascii="方正楷体_GBK" w:eastAsia="方正楷体_GBK" w:cs="Times New Roman"/>
                <w:sz w:val="22"/>
              </w:rPr>
            </w:pPr>
            <w:r>
              <w:rPr>
                <w:rFonts w:hint="eastAsia" w:ascii="方正楷体_GBK" w:eastAsia="方正楷体_GBK" w:cs="Times New Roman"/>
                <w:sz w:val="22"/>
              </w:rPr>
              <w:t>泰兴市</w:t>
            </w:r>
          </w:p>
        </w:tc>
        <w:tc>
          <w:tcPr>
            <w:tcW w:w="501" w:type="pct"/>
            <w:shd w:val="clear" w:color="auto" w:fill="auto"/>
            <w:noWrap/>
            <w:vAlign w:val="center"/>
          </w:tcPr>
          <w:p w14:paraId="058E1A43">
            <w:pPr>
              <w:widowControl/>
              <w:spacing w:before="20" w:after="20" w:line="240" w:lineRule="auto"/>
              <w:ind w:firstLine="0" w:firstLineChars="0"/>
              <w:jc w:val="center"/>
              <w:rPr>
                <w:rFonts w:ascii="方正楷体_GBK" w:eastAsia="方正楷体_GBK" w:cs="Times New Roman"/>
                <w:sz w:val="22"/>
              </w:rPr>
            </w:pPr>
            <w:r>
              <w:rPr>
                <w:rFonts w:hint="eastAsia" w:ascii="方正楷体_GBK" w:eastAsia="方正楷体_GBK" w:cs="Times New Roman"/>
                <w:sz w:val="22"/>
              </w:rPr>
              <w:t>靖江市</w:t>
            </w:r>
          </w:p>
        </w:tc>
        <w:tc>
          <w:tcPr>
            <w:tcW w:w="489" w:type="pct"/>
            <w:shd w:val="clear" w:color="auto" w:fill="auto"/>
            <w:noWrap/>
            <w:vAlign w:val="center"/>
          </w:tcPr>
          <w:p w14:paraId="18D4879E">
            <w:pPr>
              <w:widowControl/>
              <w:spacing w:before="20" w:after="20" w:line="240" w:lineRule="auto"/>
              <w:ind w:firstLine="0" w:firstLineChars="0"/>
              <w:jc w:val="center"/>
              <w:rPr>
                <w:rFonts w:ascii="方正楷体_GBK" w:eastAsia="方正楷体_GBK" w:cs="Times New Roman"/>
                <w:sz w:val="22"/>
              </w:rPr>
            </w:pPr>
            <w:r>
              <w:rPr>
                <w:rFonts w:hint="eastAsia" w:ascii="方正楷体_GBK" w:eastAsia="方正楷体_GBK" w:cs="Times New Roman"/>
                <w:sz w:val="22"/>
              </w:rPr>
              <w:t>全市</w:t>
            </w:r>
          </w:p>
        </w:tc>
      </w:tr>
      <w:tr w14:paraId="369E0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3" w:type="pct"/>
            <w:vMerge w:val="restart"/>
            <w:shd w:val="clear" w:color="auto" w:fill="auto"/>
            <w:noWrap/>
            <w:vAlign w:val="center"/>
          </w:tcPr>
          <w:p w14:paraId="75263EB2">
            <w:pPr>
              <w:widowControl/>
              <w:spacing w:before="20" w:after="20" w:line="240" w:lineRule="auto"/>
              <w:ind w:firstLine="0" w:firstLineChars="0"/>
              <w:jc w:val="center"/>
              <w:rPr>
                <w:rFonts w:ascii="方正楷体_GBK" w:eastAsia="方正楷体_GBK" w:cs="Times New Roman"/>
                <w:sz w:val="22"/>
              </w:rPr>
            </w:pPr>
            <w:r>
              <w:rPr>
                <w:rFonts w:hint="eastAsia" w:ascii="方正楷体_GBK" w:eastAsia="方正楷体_GBK" w:cs="Times New Roman"/>
                <w:sz w:val="22"/>
              </w:rPr>
              <w:t>农业用水量</w:t>
            </w:r>
          </w:p>
        </w:tc>
        <w:tc>
          <w:tcPr>
            <w:tcW w:w="753" w:type="pct"/>
            <w:shd w:val="clear" w:color="auto" w:fill="auto"/>
            <w:noWrap/>
            <w:vAlign w:val="center"/>
          </w:tcPr>
          <w:p w14:paraId="76BA0D71">
            <w:pPr>
              <w:widowControl/>
              <w:spacing w:before="20" w:after="20" w:line="240" w:lineRule="auto"/>
              <w:ind w:firstLine="0" w:firstLineChars="0"/>
              <w:jc w:val="center"/>
              <w:rPr>
                <w:rFonts w:ascii="方正楷体_GBK" w:eastAsia="方正楷体_GBK" w:cs="Times New Roman"/>
                <w:sz w:val="22"/>
              </w:rPr>
            </w:pPr>
            <w:r>
              <w:rPr>
                <w:rFonts w:hint="eastAsia" w:ascii="方正楷体_GBK" w:eastAsia="方正楷体_GBK" w:cs="Times New Roman"/>
                <w:sz w:val="22"/>
              </w:rPr>
              <w:t>农田灌溉</w:t>
            </w:r>
          </w:p>
        </w:tc>
        <w:tc>
          <w:tcPr>
            <w:tcW w:w="501" w:type="pct"/>
            <w:shd w:val="clear" w:color="auto" w:fill="auto"/>
            <w:noWrap/>
            <w:vAlign w:val="center"/>
          </w:tcPr>
          <w:p w14:paraId="40E91096">
            <w:pPr>
              <w:widowControl/>
              <w:spacing w:before="20" w:after="20" w:line="240" w:lineRule="auto"/>
              <w:ind w:firstLine="0" w:firstLineChars="0"/>
              <w:jc w:val="center"/>
              <w:rPr>
                <w:rFonts w:ascii="方正楷体_GBK" w:eastAsia="方正楷体_GBK" w:cs="Times New Roman"/>
                <w:sz w:val="22"/>
              </w:rPr>
            </w:pPr>
            <w:r>
              <w:rPr>
                <w:rFonts w:hint="eastAsia" w:ascii="方正楷体_GBK" w:eastAsia="方正楷体_GBK" w:cs="Times New Roman"/>
                <w:sz w:val="22"/>
                <w:szCs w:val="22"/>
              </w:rPr>
              <w:t>79903</w:t>
            </w:r>
          </w:p>
        </w:tc>
        <w:tc>
          <w:tcPr>
            <w:tcW w:w="501" w:type="pct"/>
            <w:shd w:val="clear" w:color="auto" w:fill="auto"/>
            <w:noWrap/>
            <w:vAlign w:val="center"/>
          </w:tcPr>
          <w:p w14:paraId="1D7486F6">
            <w:pPr>
              <w:widowControl/>
              <w:spacing w:before="20" w:after="20" w:line="240" w:lineRule="auto"/>
              <w:ind w:firstLine="0" w:firstLineChars="0"/>
              <w:jc w:val="center"/>
              <w:rPr>
                <w:rFonts w:ascii="方正楷体_GBK" w:eastAsia="方正楷体_GBK" w:cs="Times New Roman"/>
                <w:sz w:val="22"/>
              </w:rPr>
            </w:pPr>
            <w:r>
              <w:rPr>
                <w:rFonts w:hint="eastAsia" w:ascii="方正楷体_GBK" w:eastAsia="方正楷体_GBK" w:cs="Times New Roman"/>
                <w:sz w:val="22"/>
                <w:szCs w:val="22"/>
              </w:rPr>
              <w:t>27099</w:t>
            </w:r>
          </w:p>
        </w:tc>
        <w:tc>
          <w:tcPr>
            <w:tcW w:w="501" w:type="pct"/>
            <w:shd w:val="clear" w:color="auto" w:fill="auto"/>
            <w:noWrap/>
            <w:vAlign w:val="center"/>
          </w:tcPr>
          <w:p w14:paraId="2158BCF3">
            <w:pPr>
              <w:widowControl/>
              <w:spacing w:before="20" w:after="20" w:line="240" w:lineRule="auto"/>
              <w:ind w:firstLine="0" w:firstLineChars="0"/>
              <w:jc w:val="center"/>
              <w:rPr>
                <w:rFonts w:ascii="方正楷体_GBK" w:eastAsia="方正楷体_GBK" w:cs="Times New Roman"/>
                <w:sz w:val="22"/>
              </w:rPr>
            </w:pPr>
            <w:r>
              <w:rPr>
                <w:rFonts w:hint="eastAsia" w:ascii="方正楷体_GBK" w:eastAsia="方正楷体_GBK" w:cs="Times New Roman"/>
                <w:sz w:val="22"/>
                <w:szCs w:val="22"/>
              </w:rPr>
              <w:t>5815</w:t>
            </w:r>
          </w:p>
        </w:tc>
        <w:tc>
          <w:tcPr>
            <w:tcW w:w="501" w:type="pct"/>
            <w:shd w:val="clear" w:color="auto" w:fill="auto"/>
            <w:noWrap/>
            <w:vAlign w:val="center"/>
          </w:tcPr>
          <w:p w14:paraId="332A8189">
            <w:pPr>
              <w:widowControl/>
              <w:spacing w:before="20" w:after="20" w:line="240" w:lineRule="auto"/>
              <w:ind w:firstLine="0" w:firstLineChars="0"/>
              <w:jc w:val="center"/>
              <w:rPr>
                <w:rFonts w:ascii="方正楷体_GBK" w:eastAsia="方正楷体_GBK" w:cs="Times New Roman"/>
                <w:sz w:val="22"/>
              </w:rPr>
            </w:pPr>
            <w:r>
              <w:rPr>
                <w:rFonts w:hint="eastAsia" w:ascii="方正楷体_GBK" w:eastAsia="方正楷体_GBK" w:cs="Times New Roman"/>
                <w:sz w:val="22"/>
                <w:szCs w:val="22"/>
              </w:rPr>
              <w:t>8080</w:t>
            </w:r>
          </w:p>
        </w:tc>
        <w:tc>
          <w:tcPr>
            <w:tcW w:w="501" w:type="pct"/>
            <w:shd w:val="clear" w:color="auto" w:fill="auto"/>
            <w:noWrap/>
            <w:vAlign w:val="center"/>
          </w:tcPr>
          <w:p w14:paraId="52679829">
            <w:pPr>
              <w:widowControl/>
              <w:spacing w:before="20" w:after="20" w:line="240" w:lineRule="auto"/>
              <w:ind w:firstLine="0" w:firstLineChars="0"/>
              <w:jc w:val="center"/>
              <w:rPr>
                <w:rFonts w:ascii="方正楷体_GBK" w:eastAsia="方正楷体_GBK" w:cs="Times New Roman"/>
                <w:sz w:val="22"/>
              </w:rPr>
            </w:pPr>
            <w:r>
              <w:rPr>
                <w:rFonts w:hint="eastAsia" w:ascii="方正楷体_GBK" w:eastAsia="方正楷体_GBK" w:cs="Times New Roman"/>
                <w:sz w:val="22"/>
                <w:szCs w:val="22"/>
              </w:rPr>
              <w:t>36205</w:t>
            </w:r>
          </w:p>
        </w:tc>
        <w:tc>
          <w:tcPr>
            <w:tcW w:w="501" w:type="pct"/>
            <w:shd w:val="clear" w:color="auto" w:fill="auto"/>
            <w:noWrap/>
            <w:vAlign w:val="center"/>
          </w:tcPr>
          <w:p w14:paraId="19A4A6F4">
            <w:pPr>
              <w:widowControl/>
              <w:spacing w:before="20" w:after="20" w:line="240" w:lineRule="auto"/>
              <w:ind w:firstLine="0" w:firstLineChars="0"/>
              <w:jc w:val="center"/>
              <w:rPr>
                <w:rFonts w:ascii="方正楷体_GBK" w:eastAsia="方正楷体_GBK" w:cs="Times New Roman"/>
                <w:sz w:val="22"/>
              </w:rPr>
            </w:pPr>
            <w:r>
              <w:rPr>
                <w:rFonts w:hint="eastAsia" w:ascii="方正楷体_GBK" w:eastAsia="方正楷体_GBK" w:cs="Times New Roman"/>
                <w:sz w:val="22"/>
                <w:szCs w:val="22"/>
              </w:rPr>
              <w:t>16111</w:t>
            </w:r>
          </w:p>
        </w:tc>
        <w:tc>
          <w:tcPr>
            <w:tcW w:w="489" w:type="pct"/>
            <w:shd w:val="clear" w:color="auto" w:fill="auto"/>
            <w:noWrap/>
            <w:vAlign w:val="center"/>
          </w:tcPr>
          <w:p w14:paraId="58B80400">
            <w:pPr>
              <w:widowControl/>
              <w:spacing w:before="20" w:after="20" w:line="240" w:lineRule="auto"/>
              <w:ind w:firstLine="0" w:firstLineChars="0"/>
              <w:jc w:val="center"/>
              <w:rPr>
                <w:rFonts w:ascii="方正楷体_GBK" w:eastAsia="方正楷体_GBK" w:cs="Times New Roman"/>
                <w:sz w:val="22"/>
              </w:rPr>
            </w:pPr>
            <w:r>
              <w:rPr>
                <w:rFonts w:hint="eastAsia" w:ascii="方正楷体_GBK" w:eastAsia="方正楷体_GBK" w:cs="Times New Roman"/>
                <w:sz w:val="22"/>
                <w:szCs w:val="22"/>
              </w:rPr>
              <w:t>173212</w:t>
            </w:r>
          </w:p>
        </w:tc>
      </w:tr>
      <w:tr w14:paraId="55B25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3" w:type="pct"/>
            <w:vMerge w:val="continue"/>
            <w:shd w:val="clear" w:color="auto" w:fill="auto"/>
            <w:noWrap/>
            <w:vAlign w:val="center"/>
          </w:tcPr>
          <w:p w14:paraId="747E5FFE">
            <w:pPr>
              <w:widowControl/>
              <w:spacing w:before="20" w:after="20" w:line="240" w:lineRule="auto"/>
              <w:ind w:firstLine="0" w:firstLineChars="0"/>
              <w:jc w:val="center"/>
              <w:rPr>
                <w:rFonts w:ascii="方正楷体_GBK" w:eastAsia="方正楷体_GBK" w:cs="Times New Roman"/>
                <w:sz w:val="22"/>
              </w:rPr>
            </w:pPr>
          </w:p>
        </w:tc>
        <w:tc>
          <w:tcPr>
            <w:tcW w:w="753" w:type="pct"/>
            <w:shd w:val="clear" w:color="auto" w:fill="auto"/>
            <w:noWrap/>
            <w:vAlign w:val="center"/>
          </w:tcPr>
          <w:p w14:paraId="2CE0A403">
            <w:pPr>
              <w:widowControl/>
              <w:spacing w:before="20" w:after="20" w:line="240" w:lineRule="auto"/>
              <w:ind w:firstLine="0" w:firstLineChars="0"/>
              <w:jc w:val="center"/>
              <w:rPr>
                <w:rFonts w:ascii="方正楷体_GBK" w:eastAsia="方正楷体_GBK" w:cs="Times New Roman"/>
                <w:sz w:val="22"/>
              </w:rPr>
            </w:pPr>
            <w:r>
              <w:rPr>
                <w:rFonts w:hint="eastAsia" w:ascii="方正楷体_GBK" w:eastAsia="方正楷体_GBK" w:cs="Times New Roman"/>
                <w:sz w:val="22"/>
              </w:rPr>
              <w:t>林牧渔畜</w:t>
            </w:r>
          </w:p>
        </w:tc>
        <w:tc>
          <w:tcPr>
            <w:tcW w:w="501" w:type="pct"/>
            <w:shd w:val="clear" w:color="auto" w:fill="auto"/>
            <w:noWrap/>
            <w:vAlign w:val="center"/>
          </w:tcPr>
          <w:p w14:paraId="3596D4AA">
            <w:pPr>
              <w:widowControl/>
              <w:spacing w:before="20" w:after="20" w:line="240" w:lineRule="auto"/>
              <w:ind w:firstLine="0" w:firstLineChars="0"/>
              <w:jc w:val="center"/>
              <w:rPr>
                <w:rFonts w:ascii="方正楷体_GBK" w:eastAsia="方正楷体_GBK" w:cs="Times New Roman"/>
                <w:sz w:val="22"/>
              </w:rPr>
            </w:pPr>
            <w:r>
              <w:rPr>
                <w:rFonts w:hint="eastAsia" w:ascii="方正楷体_GBK" w:eastAsia="方正楷体_GBK" w:cs="Times New Roman"/>
                <w:sz w:val="22"/>
                <w:szCs w:val="22"/>
              </w:rPr>
              <w:t>7685</w:t>
            </w:r>
          </w:p>
        </w:tc>
        <w:tc>
          <w:tcPr>
            <w:tcW w:w="501" w:type="pct"/>
            <w:shd w:val="clear" w:color="auto" w:fill="auto"/>
            <w:noWrap/>
            <w:vAlign w:val="center"/>
          </w:tcPr>
          <w:p w14:paraId="3F49E89D">
            <w:pPr>
              <w:widowControl/>
              <w:spacing w:before="20" w:after="20" w:line="240" w:lineRule="auto"/>
              <w:ind w:firstLine="0" w:firstLineChars="0"/>
              <w:jc w:val="center"/>
              <w:rPr>
                <w:rFonts w:ascii="方正楷体_GBK" w:eastAsia="方正楷体_GBK" w:cs="Times New Roman"/>
                <w:sz w:val="22"/>
              </w:rPr>
            </w:pPr>
            <w:r>
              <w:rPr>
                <w:rFonts w:hint="eastAsia" w:ascii="方正楷体_GBK" w:eastAsia="方正楷体_GBK" w:cs="Times New Roman"/>
                <w:sz w:val="22"/>
                <w:szCs w:val="22"/>
              </w:rPr>
              <w:t>1576</w:t>
            </w:r>
          </w:p>
        </w:tc>
        <w:tc>
          <w:tcPr>
            <w:tcW w:w="501" w:type="pct"/>
            <w:shd w:val="clear" w:color="auto" w:fill="auto"/>
            <w:noWrap/>
            <w:vAlign w:val="center"/>
          </w:tcPr>
          <w:p w14:paraId="0468BA04">
            <w:pPr>
              <w:widowControl/>
              <w:spacing w:before="20" w:after="20" w:line="240" w:lineRule="auto"/>
              <w:ind w:firstLine="0" w:firstLineChars="0"/>
              <w:jc w:val="center"/>
              <w:rPr>
                <w:rFonts w:ascii="方正楷体_GBK" w:eastAsia="方正楷体_GBK" w:cs="Times New Roman"/>
                <w:sz w:val="22"/>
              </w:rPr>
            </w:pPr>
            <w:r>
              <w:rPr>
                <w:rFonts w:hint="eastAsia" w:ascii="方正楷体_GBK" w:eastAsia="方正楷体_GBK" w:cs="Times New Roman"/>
                <w:sz w:val="22"/>
                <w:szCs w:val="22"/>
              </w:rPr>
              <w:t>887</w:t>
            </w:r>
          </w:p>
        </w:tc>
        <w:tc>
          <w:tcPr>
            <w:tcW w:w="501" w:type="pct"/>
            <w:shd w:val="clear" w:color="auto" w:fill="auto"/>
            <w:noWrap/>
            <w:vAlign w:val="center"/>
          </w:tcPr>
          <w:p w14:paraId="1E51A983">
            <w:pPr>
              <w:widowControl/>
              <w:spacing w:before="20" w:after="20" w:line="240" w:lineRule="auto"/>
              <w:ind w:firstLine="0" w:firstLineChars="0"/>
              <w:jc w:val="center"/>
              <w:rPr>
                <w:rFonts w:ascii="方正楷体_GBK" w:eastAsia="方正楷体_GBK" w:cs="Times New Roman"/>
                <w:sz w:val="22"/>
              </w:rPr>
            </w:pPr>
            <w:r>
              <w:rPr>
                <w:rFonts w:hint="eastAsia" w:ascii="方正楷体_GBK" w:eastAsia="方正楷体_GBK" w:cs="Times New Roman"/>
                <w:sz w:val="22"/>
                <w:szCs w:val="22"/>
              </w:rPr>
              <w:t>135</w:t>
            </w:r>
          </w:p>
        </w:tc>
        <w:tc>
          <w:tcPr>
            <w:tcW w:w="501" w:type="pct"/>
            <w:shd w:val="clear" w:color="auto" w:fill="auto"/>
            <w:noWrap/>
            <w:vAlign w:val="center"/>
          </w:tcPr>
          <w:p w14:paraId="073F3A76">
            <w:pPr>
              <w:widowControl/>
              <w:spacing w:before="20" w:after="20" w:line="240" w:lineRule="auto"/>
              <w:ind w:firstLine="0" w:firstLineChars="0"/>
              <w:jc w:val="center"/>
              <w:rPr>
                <w:rFonts w:ascii="方正楷体_GBK" w:eastAsia="方正楷体_GBK" w:cs="Times New Roman"/>
                <w:sz w:val="22"/>
              </w:rPr>
            </w:pPr>
            <w:r>
              <w:rPr>
                <w:rFonts w:hint="eastAsia" w:ascii="方正楷体_GBK" w:eastAsia="方正楷体_GBK" w:cs="Times New Roman"/>
                <w:sz w:val="22"/>
                <w:szCs w:val="22"/>
              </w:rPr>
              <w:t>1065</w:t>
            </w:r>
          </w:p>
        </w:tc>
        <w:tc>
          <w:tcPr>
            <w:tcW w:w="501" w:type="pct"/>
            <w:shd w:val="clear" w:color="auto" w:fill="auto"/>
            <w:noWrap/>
            <w:vAlign w:val="center"/>
          </w:tcPr>
          <w:p w14:paraId="70D0682B">
            <w:pPr>
              <w:widowControl/>
              <w:spacing w:before="20" w:after="20" w:line="240" w:lineRule="auto"/>
              <w:ind w:firstLine="0" w:firstLineChars="0"/>
              <w:jc w:val="center"/>
              <w:rPr>
                <w:rFonts w:ascii="方正楷体_GBK" w:eastAsia="方正楷体_GBK" w:cs="Times New Roman"/>
                <w:sz w:val="22"/>
              </w:rPr>
            </w:pPr>
            <w:r>
              <w:rPr>
                <w:rFonts w:hint="eastAsia" w:ascii="方正楷体_GBK" w:eastAsia="方正楷体_GBK" w:cs="Times New Roman"/>
                <w:sz w:val="22"/>
                <w:szCs w:val="22"/>
              </w:rPr>
              <w:t>874</w:t>
            </w:r>
          </w:p>
        </w:tc>
        <w:tc>
          <w:tcPr>
            <w:tcW w:w="489" w:type="pct"/>
            <w:shd w:val="clear" w:color="auto" w:fill="auto"/>
            <w:noWrap/>
            <w:vAlign w:val="center"/>
          </w:tcPr>
          <w:p w14:paraId="31134358">
            <w:pPr>
              <w:widowControl/>
              <w:spacing w:before="20" w:after="20" w:line="240" w:lineRule="auto"/>
              <w:ind w:firstLine="0" w:firstLineChars="0"/>
              <w:jc w:val="center"/>
              <w:rPr>
                <w:rFonts w:ascii="方正楷体_GBK" w:eastAsia="方正楷体_GBK" w:cs="Times New Roman"/>
                <w:sz w:val="22"/>
              </w:rPr>
            </w:pPr>
            <w:r>
              <w:rPr>
                <w:rFonts w:hint="eastAsia" w:ascii="方正楷体_GBK" w:eastAsia="方正楷体_GBK" w:cs="Times New Roman"/>
                <w:sz w:val="22"/>
                <w:szCs w:val="22"/>
              </w:rPr>
              <w:t>12222</w:t>
            </w:r>
          </w:p>
        </w:tc>
      </w:tr>
      <w:tr w14:paraId="70EB4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3" w:type="pct"/>
            <w:vMerge w:val="continue"/>
            <w:shd w:val="clear" w:color="auto" w:fill="auto"/>
            <w:noWrap/>
            <w:vAlign w:val="center"/>
          </w:tcPr>
          <w:p w14:paraId="2CBE84AA">
            <w:pPr>
              <w:widowControl/>
              <w:spacing w:before="20" w:after="20" w:line="240" w:lineRule="auto"/>
              <w:ind w:firstLine="0" w:firstLineChars="0"/>
              <w:jc w:val="center"/>
              <w:rPr>
                <w:rFonts w:ascii="方正楷体_GBK" w:eastAsia="方正楷体_GBK" w:cs="Times New Roman"/>
                <w:sz w:val="22"/>
              </w:rPr>
            </w:pPr>
          </w:p>
        </w:tc>
        <w:tc>
          <w:tcPr>
            <w:tcW w:w="753" w:type="pct"/>
            <w:shd w:val="clear" w:color="auto" w:fill="auto"/>
            <w:noWrap/>
            <w:vAlign w:val="center"/>
          </w:tcPr>
          <w:p w14:paraId="43B31B50">
            <w:pPr>
              <w:widowControl/>
              <w:spacing w:before="20" w:after="20" w:line="240" w:lineRule="auto"/>
              <w:ind w:firstLine="0" w:firstLineChars="0"/>
              <w:jc w:val="center"/>
              <w:rPr>
                <w:rFonts w:ascii="方正楷体_GBK" w:eastAsia="方正楷体_GBK" w:cs="Times New Roman"/>
                <w:sz w:val="22"/>
              </w:rPr>
            </w:pPr>
            <w:r>
              <w:rPr>
                <w:rFonts w:hint="eastAsia" w:ascii="方正楷体_GBK" w:eastAsia="方正楷体_GBK" w:cs="Times New Roman"/>
                <w:sz w:val="22"/>
              </w:rPr>
              <w:t>小计</w:t>
            </w:r>
          </w:p>
        </w:tc>
        <w:tc>
          <w:tcPr>
            <w:tcW w:w="501" w:type="pct"/>
            <w:shd w:val="clear" w:color="auto" w:fill="auto"/>
            <w:noWrap/>
            <w:vAlign w:val="center"/>
          </w:tcPr>
          <w:p w14:paraId="04AFF2DB">
            <w:pPr>
              <w:widowControl/>
              <w:spacing w:before="20" w:after="20" w:line="240" w:lineRule="auto"/>
              <w:ind w:firstLine="0" w:firstLineChars="0"/>
              <w:jc w:val="center"/>
              <w:rPr>
                <w:rFonts w:ascii="方正楷体_GBK" w:eastAsia="方正楷体_GBK" w:cs="Times New Roman"/>
                <w:sz w:val="22"/>
              </w:rPr>
            </w:pPr>
            <w:r>
              <w:rPr>
                <w:rFonts w:hint="eastAsia" w:ascii="方正楷体_GBK" w:eastAsia="方正楷体_GBK" w:cs="Times New Roman"/>
                <w:sz w:val="22"/>
                <w:szCs w:val="22"/>
              </w:rPr>
              <w:t>87588</w:t>
            </w:r>
          </w:p>
        </w:tc>
        <w:tc>
          <w:tcPr>
            <w:tcW w:w="501" w:type="pct"/>
            <w:shd w:val="clear" w:color="auto" w:fill="auto"/>
            <w:noWrap/>
            <w:vAlign w:val="center"/>
          </w:tcPr>
          <w:p w14:paraId="1AB30560">
            <w:pPr>
              <w:widowControl/>
              <w:spacing w:before="20" w:after="20" w:line="240" w:lineRule="auto"/>
              <w:ind w:firstLine="0" w:firstLineChars="0"/>
              <w:jc w:val="center"/>
              <w:rPr>
                <w:rFonts w:ascii="方正楷体_GBK" w:eastAsia="方正楷体_GBK" w:cs="Times New Roman"/>
                <w:sz w:val="22"/>
              </w:rPr>
            </w:pPr>
            <w:r>
              <w:rPr>
                <w:rFonts w:hint="eastAsia" w:ascii="方正楷体_GBK" w:eastAsia="方正楷体_GBK" w:cs="Times New Roman"/>
                <w:sz w:val="22"/>
                <w:szCs w:val="22"/>
              </w:rPr>
              <w:t>28675</w:t>
            </w:r>
          </w:p>
        </w:tc>
        <w:tc>
          <w:tcPr>
            <w:tcW w:w="501" w:type="pct"/>
            <w:shd w:val="clear" w:color="auto" w:fill="auto"/>
            <w:noWrap/>
            <w:vAlign w:val="center"/>
          </w:tcPr>
          <w:p w14:paraId="1A2197EC">
            <w:pPr>
              <w:widowControl/>
              <w:spacing w:before="20" w:after="20" w:line="240" w:lineRule="auto"/>
              <w:ind w:firstLine="0" w:firstLineChars="0"/>
              <w:jc w:val="center"/>
              <w:rPr>
                <w:rFonts w:ascii="方正楷体_GBK" w:eastAsia="方正楷体_GBK" w:cs="Times New Roman"/>
                <w:sz w:val="22"/>
              </w:rPr>
            </w:pPr>
            <w:r>
              <w:rPr>
                <w:rFonts w:hint="eastAsia" w:ascii="方正楷体_GBK" w:eastAsia="方正楷体_GBK" w:cs="Times New Roman"/>
                <w:sz w:val="22"/>
                <w:szCs w:val="22"/>
              </w:rPr>
              <w:t>6702</w:t>
            </w:r>
          </w:p>
        </w:tc>
        <w:tc>
          <w:tcPr>
            <w:tcW w:w="501" w:type="pct"/>
            <w:shd w:val="clear" w:color="auto" w:fill="auto"/>
            <w:noWrap/>
            <w:vAlign w:val="center"/>
          </w:tcPr>
          <w:p w14:paraId="2D89A3D0">
            <w:pPr>
              <w:widowControl/>
              <w:spacing w:before="20" w:after="20" w:line="240" w:lineRule="auto"/>
              <w:ind w:firstLine="0" w:firstLineChars="0"/>
              <w:jc w:val="center"/>
              <w:rPr>
                <w:rFonts w:ascii="方正楷体_GBK" w:eastAsia="方正楷体_GBK" w:cs="Times New Roman"/>
                <w:sz w:val="22"/>
              </w:rPr>
            </w:pPr>
            <w:r>
              <w:rPr>
                <w:rFonts w:hint="eastAsia" w:ascii="方正楷体_GBK" w:eastAsia="方正楷体_GBK" w:cs="Times New Roman"/>
                <w:sz w:val="22"/>
                <w:szCs w:val="22"/>
              </w:rPr>
              <w:t>8214</w:t>
            </w:r>
          </w:p>
        </w:tc>
        <w:tc>
          <w:tcPr>
            <w:tcW w:w="501" w:type="pct"/>
            <w:shd w:val="clear" w:color="auto" w:fill="auto"/>
            <w:noWrap/>
            <w:vAlign w:val="center"/>
          </w:tcPr>
          <w:p w14:paraId="4D255BE9">
            <w:pPr>
              <w:widowControl/>
              <w:spacing w:before="20" w:after="20" w:line="240" w:lineRule="auto"/>
              <w:ind w:firstLine="0" w:firstLineChars="0"/>
              <w:jc w:val="center"/>
              <w:rPr>
                <w:rFonts w:ascii="方正楷体_GBK" w:eastAsia="方正楷体_GBK" w:cs="Times New Roman"/>
                <w:sz w:val="22"/>
              </w:rPr>
            </w:pPr>
            <w:r>
              <w:rPr>
                <w:rFonts w:hint="eastAsia" w:ascii="方正楷体_GBK" w:eastAsia="方正楷体_GBK" w:cs="Times New Roman"/>
                <w:sz w:val="22"/>
                <w:szCs w:val="22"/>
              </w:rPr>
              <w:t>37270</w:t>
            </w:r>
          </w:p>
        </w:tc>
        <w:tc>
          <w:tcPr>
            <w:tcW w:w="501" w:type="pct"/>
            <w:shd w:val="clear" w:color="auto" w:fill="auto"/>
            <w:noWrap/>
            <w:vAlign w:val="center"/>
          </w:tcPr>
          <w:p w14:paraId="7E6DB882">
            <w:pPr>
              <w:widowControl/>
              <w:spacing w:before="20" w:after="20" w:line="240" w:lineRule="auto"/>
              <w:ind w:firstLine="0" w:firstLineChars="0"/>
              <w:jc w:val="center"/>
              <w:rPr>
                <w:rFonts w:ascii="方正楷体_GBK" w:eastAsia="方正楷体_GBK" w:cs="Times New Roman"/>
                <w:sz w:val="22"/>
              </w:rPr>
            </w:pPr>
            <w:r>
              <w:rPr>
                <w:rFonts w:hint="eastAsia" w:ascii="方正楷体_GBK" w:eastAsia="方正楷体_GBK" w:cs="Times New Roman"/>
                <w:sz w:val="22"/>
                <w:szCs w:val="22"/>
              </w:rPr>
              <w:t>16985</w:t>
            </w:r>
          </w:p>
        </w:tc>
        <w:tc>
          <w:tcPr>
            <w:tcW w:w="489" w:type="pct"/>
            <w:shd w:val="clear" w:color="auto" w:fill="auto"/>
            <w:noWrap/>
            <w:vAlign w:val="center"/>
          </w:tcPr>
          <w:p w14:paraId="6DDA352C">
            <w:pPr>
              <w:widowControl/>
              <w:spacing w:before="20" w:after="20" w:line="240" w:lineRule="auto"/>
              <w:ind w:firstLine="0" w:firstLineChars="0"/>
              <w:jc w:val="center"/>
              <w:rPr>
                <w:rFonts w:ascii="方正楷体_GBK" w:eastAsia="方正楷体_GBK" w:cs="Times New Roman"/>
                <w:sz w:val="22"/>
              </w:rPr>
            </w:pPr>
            <w:r>
              <w:rPr>
                <w:rFonts w:hint="eastAsia" w:ascii="方正楷体_GBK" w:eastAsia="方正楷体_GBK" w:cs="Times New Roman"/>
                <w:sz w:val="22"/>
                <w:szCs w:val="22"/>
              </w:rPr>
              <w:t>185434</w:t>
            </w:r>
          </w:p>
        </w:tc>
      </w:tr>
      <w:tr w14:paraId="55EA5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05" w:type="pct"/>
            <w:gridSpan w:val="2"/>
            <w:shd w:val="clear" w:color="auto" w:fill="auto"/>
            <w:noWrap/>
            <w:vAlign w:val="center"/>
          </w:tcPr>
          <w:p w14:paraId="3ADB6450">
            <w:pPr>
              <w:widowControl/>
              <w:spacing w:before="20" w:after="20" w:line="240" w:lineRule="auto"/>
              <w:ind w:firstLine="0" w:firstLineChars="0"/>
              <w:jc w:val="center"/>
              <w:rPr>
                <w:rFonts w:ascii="方正楷体_GBK" w:eastAsia="方正楷体_GBK" w:cs="Times New Roman"/>
                <w:sz w:val="22"/>
              </w:rPr>
            </w:pPr>
            <w:r>
              <w:rPr>
                <w:rFonts w:hint="eastAsia" w:ascii="方正楷体_GBK" w:eastAsia="方正楷体_GBK" w:cs="Times New Roman"/>
                <w:sz w:val="22"/>
              </w:rPr>
              <w:t>工业用水量</w:t>
            </w:r>
          </w:p>
        </w:tc>
        <w:tc>
          <w:tcPr>
            <w:tcW w:w="501" w:type="pct"/>
            <w:shd w:val="clear" w:color="auto" w:fill="auto"/>
            <w:noWrap/>
            <w:vAlign w:val="center"/>
          </w:tcPr>
          <w:p w14:paraId="581BE23E">
            <w:pPr>
              <w:widowControl/>
              <w:spacing w:before="20" w:after="20" w:line="240" w:lineRule="auto"/>
              <w:ind w:firstLine="0" w:firstLineChars="0"/>
              <w:jc w:val="center"/>
              <w:rPr>
                <w:rFonts w:ascii="方正楷体_GBK" w:eastAsia="方正楷体_GBK" w:cs="Times New Roman"/>
                <w:sz w:val="22"/>
              </w:rPr>
            </w:pPr>
            <w:r>
              <w:rPr>
                <w:rFonts w:hint="eastAsia" w:ascii="方正楷体_GBK" w:eastAsia="方正楷体_GBK" w:cs="Times New Roman"/>
                <w:sz w:val="22"/>
                <w:szCs w:val="22"/>
              </w:rPr>
              <w:t>2199</w:t>
            </w:r>
          </w:p>
        </w:tc>
        <w:tc>
          <w:tcPr>
            <w:tcW w:w="501" w:type="pct"/>
            <w:shd w:val="clear" w:color="auto" w:fill="auto"/>
            <w:noWrap/>
            <w:vAlign w:val="center"/>
          </w:tcPr>
          <w:p w14:paraId="39293CCB">
            <w:pPr>
              <w:widowControl/>
              <w:spacing w:before="20" w:after="20" w:line="240" w:lineRule="auto"/>
              <w:ind w:firstLine="0" w:firstLineChars="0"/>
              <w:jc w:val="center"/>
              <w:rPr>
                <w:rFonts w:ascii="方正楷体_GBK" w:eastAsia="方正楷体_GBK" w:cs="Times New Roman"/>
                <w:sz w:val="22"/>
              </w:rPr>
            </w:pPr>
            <w:r>
              <w:rPr>
                <w:rFonts w:hint="eastAsia" w:ascii="方正楷体_GBK" w:eastAsia="方正楷体_GBK" w:cs="Times New Roman"/>
                <w:sz w:val="22"/>
                <w:szCs w:val="22"/>
              </w:rPr>
              <w:t>1722</w:t>
            </w:r>
          </w:p>
        </w:tc>
        <w:tc>
          <w:tcPr>
            <w:tcW w:w="501" w:type="pct"/>
            <w:shd w:val="clear" w:color="auto" w:fill="auto"/>
            <w:noWrap/>
            <w:vAlign w:val="center"/>
          </w:tcPr>
          <w:p w14:paraId="67B612F7">
            <w:pPr>
              <w:widowControl/>
              <w:spacing w:before="20" w:after="20" w:line="240" w:lineRule="auto"/>
              <w:ind w:firstLine="0" w:firstLineChars="0"/>
              <w:jc w:val="center"/>
              <w:rPr>
                <w:rFonts w:ascii="方正楷体_GBK" w:eastAsia="方正楷体_GBK" w:cs="Times New Roman"/>
                <w:sz w:val="22"/>
              </w:rPr>
            </w:pPr>
            <w:r>
              <w:rPr>
                <w:rFonts w:hint="eastAsia" w:ascii="方正楷体_GBK" w:eastAsia="方正楷体_GBK" w:cs="Times New Roman"/>
                <w:sz w:val="22"/>
                <w:szCs w:val="22"/>
              </w:rPr>
              <w:t>3126</w:t>
            </w:r>
          </w:p>
        </w:tc>
        <w:tc>
          <w:tcPr>
            <w:tcW w:w="501" w:type="pct"/>
            <w:shd w:val="clear" w:color="auto" w:fill="auto"/>
            <w:noWrap/>
            <w:vAlign w:val="center"/>
          </w:tcPr>
          <w:p w14:paraId="286956A8">
            <w:pPr>
              <w:widowControl/>
              <w:spacing w:before="20" w:after="20" w:line="240" w:lineRule="auto"/>
              <w:ind w:firstLine="0" w:firstLineChars="0"/>
              <w:jc w:val="center"/>
              <w:rPr>
                <w:rFonts w:ascii="方正楷体_GBK" w:eastAsia="方正楷体_GBK" w:cs="Times New Roman"/>
                <w:sz w:val="22"/>
              </w:rPr>
            </w:pPr>
            <w:r>
              <w:rPr>
                <w:rFonts w:hint="eastAsia" w:ascii="方正楷体_GBK" w:eastAsia="方正楷体_GBK" w:cs="Times New Roman"/>
                <w:sz w:val="22"/>
                <w:szCs w:val="22"/>
              </w:rPr>
              <w:t>183809</w:t>
            </w:r>
          </w:p>
        </w:tc>
        <w:tc>
          <w:tcPr>
            <w:tcW w:w="501" w:type="pct"/>
            <w:shd w:val="clear" w:color="auto" w:fill="auto"/>
            <w:noWrap/>
            <w:vAlign w:val="center"/>
          </w:tcPr>
          <w:p w14:paraId="6E6770AC">
            <w:pPr>
              <w:widowControl/>
              <w:spacing w:before="20" w:after="20" w:line="240" w:lineRule="auto"/>
              <w:ind w:firstLine="0" w:firstLineChars="0"/>
              <w:jc w:val="center"/>
              <w:rPr>
                <w:rFonts w:ascii="方正楷体_GBK" w:eastAsia="方正楷体_GBK" w:cs="Times New Roman"/>
                <w:sz w:val="22"/>
              </w:rPr>
            </w:pPr>
            <w:r>
              <w:rPr>
                <w:rFonts w:hint="eastAsia" w:ascii="方正楷体_GBK" w:eastAsia="方正楷体_GBK" w:cs="Times New Roman"/>
                <w:sz w:val="22"/>
                <w:szCs w:val="22"/>
              </w:rPr>
              <w:t>12912</w:t>
            </w:r>
          </w:p>
        </w:tc>
        <w:tc>
          <w:tcPr>
            <w:tcW w:w="501" w:type="pct"/>
            <w:shd w:val="clear" w:color="auto" w:fill="auto"/>
            <w:noWrap/>
            <w:vAlign w:val="center"/>
          </w:tcPr>
          <w:p w14:paraId="6509995A">
            <w:pPr>
              <w:widowControl/>
              <w:spacing w:before="20" w:after="20" w:line="240" w:lineRule="auto"/>
              <w:ind w:firstLine="0" w:firstLineChars="0"/>
              <w:jc w:val="center"/>
              <w:rPr>
                <w:rFonts w:ascii="方正楷体_GBK" w:eastAsia="方正楷体_GBK" w:cs="Times New Roman"/>
                <w:sz w:val="22"/>
              </w:rPr>
            </w:pPr>
            <w:r>
              <w:rPr>
                <w:rFonts w:hint="eastAsia" w:ascii="方正楷体_GBK" w:eastAsia="方正楷体_GBK" w:cs="Times New Roman"/>
                <w:sz w:val="22"/>
                <w:szCs w:val="22"/>
              </w:rPr>
              <w:t>68829</w:t>
            </w:r>
          </w:p>
        </w:tc>
        <w:tc>
          <w:tcPr>
            <w:tcW w:w="489" w:type="pct"/>
            <w:shd w:val="clear" w:color="auto" w:fill="auto"/>
            <w:noWrap/>
            <w:vAlign w:val="center"/>
          </w:tcPr>
          <w:p w14:paraId="043D17A7">
            <w:pPr>
              <w:widowControl/>
              <w:spacing w:before="20" w:after="20" w:line="240" w:lineRule="auto"/>
              <w:ind w:firstLine="0" w:firstLineChars="0"/>
              <w:jc w:val="center"/>
              <w:rPr>
                <w:rFonts w:ascii="方正楷体_GBK" w:eastAsia="方正楷体_GBK" w:cs="Times New Roman"/>
                <w:sz w:val="22"/>
              </w:rPr>
            </w:pPr>
            <w:r>
              <w:rPr>
                <w:rFonts w:hint="eastAsia" w:ascii="方正楷体_GBK" w:eastAsia="方正楷体_GBK" w:cs="Times New Roman"/>
                <w:sz w:val="22"/>
                <w:szCs w:val="22"/>
              </w:rPr>
              <w:t>272597</w:t>
            </w:r>
          </w:p>
        </w:tc>
      </w:tr>
      <w:tr w14:paraId="133BD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3" w:type="pct"/>
            <w:vMerge w:val="restart"/>
            <w:shd w:val="clear" w:color="auto" w:fill="auto"/>
            <w:noWrap/>
            <w:vAlign w:val="center"/>
          </w:tcPr>
          <w:p w14:paraId="4A841271">
            <w:pPr>
              <w:widowControl/>
              <w:spacing w:before="20" w:after="20" w:line="240" w:lineRule="auto"/>
              <w:ind w:firstLine="0" w:firstLineChars="0"/>
              <w:jc w:val="center"/>
              <w:rPr>
                <w:rFonts w:ascii="方正楷体_GBK" w:eastAsia="方正楷体_GBK" w:cs="Times New Roman"/>
                <w:sz w:val="22"/>
              </w:rPr>
            </w:pPr>
            <w:r>
              <w:rPr>
                <w:rFonts w:hint="eastAsia" w:ascii="方正楷体_GBK" w:eastAsia="方正楷体_GBK" w:cs="Times New Roman"/>
                <w:sz w:val="22"/>
              </w:rPr>
              <w:t>生活用水量</w:t>
            </w:r>
          </w:p>
        </w:tc>
        <w:tc>
          <w:tcPr>
            <w:tcW w:w="753" w:type="pct"/>
            <w:shd w:val="clear" w:color="auto" w:fill="auto"/>
            <w:noWrap/>
            <w:vAlign w:val="center"/>
          </w:tcPr>
          <w:p w14:paraId="7C5A373C">
            <w:pPr>
              <w:widowControl/>
              <w:spacing w:before="20" w:after="20" w:line="240" w:lineRule="auto"/>
              <w:ind w:firstLine="0" w:firstLineChars="0"/>
              <w:jc w:val="center"/>
              <w:rPr>
                <w:rFonts w:ascii="方正楷体_GBK" w:eastAsia="方正楷体_GBK" w:cs="Times New Roman"/>
                <w:sz w:val="22"/>
              </w:rPr>
            </w:pPr>
            <w:r>
              <w:rPr>
                <w:rFonts w:hint="eastAsia" w:ascii="方正楷体_GBK" w:eastAsia="方正楷体_GBK" w:cs="Times New Roman"/>
                <w:sz w:val="22"/>
              </w:rPr>
              <w:t>城镇居民</w:t>
            </w:r>
          </w:p>
        </w:tc>
        <w:tc>
          <w:tcPr>
            <w:tcW w:w="501" w:type="pct"/>
            <w:shd w:val="clear" w:color="auto" w:fill="auto"/>
            <w:noWrap/>
            <w:vAlign w:val="center"/>
          </w:tcPr>
          <w:p w14:paraId="3AAED47E">
            <w:pPr>
              <w:widowControl/>
              <w:spacing w:before="20" w:after="20" w:line="240" w:lineRule="auto"/>
              <w:ind w:firstLine="0" w:firstLineChars="0"/>
              <w:jc w:val="center"/>
              <w:rPr>
                <w:rFonts w:ascii="方正楷体_GBK" w:eastAsia="方正楷体_GBK" w:cs="Times New Roman"/>
                <w:sz w:val="22"/>
              </w:rPr>
            </w:pPr>
            <w:r>
              <w:rPr>
                <w:rFonts w:hint="eastAsia" w:ascii="方正楷体_GBK" w:eastAsia="方正楷体_GBK" w:cs="Times New Roman"/>
                <w:sz w:val="22"/>
                <w:szCs w:val="22"/>
              </w:rPr>
              <w:t>4246</w:t>
            </w:r>
          </w:p>
        </w:tc>
        <w:tc>
          <w:tcPr>
            <w:tcW w:w="501" w:type="pct"/>
            <w:shd w:val="clear" w:color="auto" w:fill="auto"/>
            <w:noWrap/>
            <w:vAlign w:val="center"/>
          </w:tcPr>
          <w:p w14:paraId="45E5F775">
            <w:pPr>
              <w:widowControl/>
              <w:spacing w:before="20" w:after="20" w:line="240" w:lineRule="auto"/>
              <w:ind w:firstLine="0" w:firstLineChars="0"/>
              <w:jc w:val="center"/>
              <w:rPr>
                <w:rFonts w:ascii="方正楷体_GBK" w:eastAsia="方正楷体_GBK" w:cs="Times New Roman"/>
                <w:sz w:val="22"/>
              </w:rPr>
            </w:pPr>
            <w:r>
              <w:rPr>
                <w:rFonts w:hint="eastAsia" w:ascii="方正楷体_GBK" w:eastAsia="方正楷体_GBK" w:cs="Times New Roman"/>
                <w:sz w:val="22"/>
                <w:szCs w:val="22"/>
              </w:rPr>
              <w:t>2276</w:t>
            </w:r>
          </w:p>
        </w:tc>
        <w:tc>
          <w:tcPr>
            <w:tcW w:w="501" w:type="pct"/>
            <w:shd w:val="clear" w:color="auto" w:fill="auto"/>
            <w:noWrap/>
            <w:vAlign w:val="center"/>
          </w:tcPr>
          <w:p w14:paraId="1A9F2C5C">
            <w:pPr>
              <w:widowControl/>
              <w:spacing w:before="20" w:after="20" w:line="240" w:lineRule="auto"/>
              <w:ind w:firstLine="0" w:firstLineChars="0"/>
              <w:jc w:val="center"/>
              <w:rPr>
                <w:rFonts w:ascii="方正楷体_GBK" w:eastAsia="方正楷体_GBK" w:cs="Times New Roman"/>
                <w:sz w:val="22"/>
              </w:rPr>
            </w:pPr>
            <w:r>
              <w:rPr>
                <w:rFonts w:hint="eastAsia" w:ascii="方正楷体_GBK" w:eastAsia="方正楷体_GBK" w:cs="Times New Roman"/>
                <w:sz w:val="22"/>
                <w:szCs w:val="22"/>
              </w:rPr>
              <w:t>3143</w:t>
            </w:r>
          </w:p>
        </w:tc>
        <w:tc>
          <w:tcPr>
            <w:tcW w:w="501" w:type="pct"/>
            <w:shd w:val="clear" w:color="auto" w:fill="auto"/>
            <w:noWrap/>
            <w:vAlign w:val="center"/>
          </w:tcPr>
          <w:p w14:paraId="3BFF3C00">
            <w:pPr>
              <w:widowControl/>
              <w:spacing w:before="20" w:after="20" w:line="240" w:lineRule="auto"/>
              <w:ind w:firstLine="0" w:firstLineChars="0"/>
              <w:jc w:val="center"/>
              <w:rPr>
                <w:rFonts w:ascii="方正楷体_GBK" w:eastAsia="方正楷体_GBK" w:cs="Times New Roman"/>
                <w:sz w:val="22"/>
              </w:rPr>
            </w:pPr>
            <w:r>
              <w:rPr>
                <w:rFonts w:hint="eastAsia" w:ascii="方正楷体_GBK" w:eastAsia="方正楷体_GBK" w:cs="Times New Roman"/>
                <w:sz w:val="22"/>
                <w:szCs w:val="22"/>
              </w:rPr>
              <w:t>2379</w:t>
            </w:r>
          </w:p>
        </w:tc>
        <w:tc>
          <w:tcPr>
            <w:tcW w:w="501" w:type="pct"/>
            <w:shd w:val="clear" w:color="auto" w:fill="auto"/>
            <w:noWrap/>
            <w:vAlign w:val="center"/>
          </w:tcPr>
          <w:p w14:paraId="373AF038">
            <w:pPr>
              <w:widowControl/>
              <w:spacing w:before="20" w:after="20" w:line="240" w:lineRule="auto"/>
              <w:ind w:firstLine="0" w:firstLineChars="0"/>
              <w:jc w:val="center"/>
              <w:rPr>
                <w:rFonts w:ascii="方正楷体_GBK" w:eastAsia="方正楷体_GBK" w:cs="Times New Roman"/>
                <w:sz w:val="22"/>
              </w:rPr>
            </w:pPr>
            <w:r>
              <w:rPr>
                <w:rFonts w:hint="eastAsia" w:ascii="方正楷体_GBK" w:eastAsia="方正楷体_GBK" w:cs="Times New Roman"/>
                <w:sz w:val="22"/>
                <w:szCs w:val="22"/>
              </w:rPr>
              <w:t>3692</w:t>
            </w:r>
          </w:p>
        </w:tc>
        <w:tc>
          <w:tcPr>
            <w:tcW w:w="501" w:type="pct"/>
            <w:shd w:val="clear" w:color="auto" w:fill="auto"/>
            <w:noWrap/>
            <w:vAlign w:val="center"/>
          </w:tcPr>
          <w:p w14:paraId="79016B53">
            <w:pPr>
              <w:widowControl/>
              <w:spacing w:before="20" w:after="20" w:line="240" w:lineRule="auto"/>
              <w:ind w:firstLine="0" w:firstLineChars="0"/>
              <w:jc w:val="center"/>
              <w:rPr>
                <w:rFonts w:ascii="方正楷体_GBK" w:eastAsia="方正楷体_GBK" w:cs="Times New Roman"/>
                <w:sz w:val="22"/>
              </w:rPr>
            </w:pPr>
            <w:r>
              <w:rPr>
                <w:rFonts w:hint="eastAsia" w:ascii="方正楷体_GBK" w:eastAsia="方正楷体_GBK" w:cs="Times New Roman"/>
                <w:sz w:val="22"/>
                <w:szCs w:val="22"/>
              </w:rPr>
              <w:t>2707</w:t>
            </w:r>
          </w:p>
        </w:tc>
        <w:tc>
          <w:tcPr>
            <w:tcW w:w="489" w:type="pct"/>
            <w:shd w:val="clear" w:color="auto" w:fill="auto"/>
            <w:noWrap/>
            <w:vAlign w:val="center"/>
          </w:tcPr>
          <w:p w14:paraId="7B602519">
            <w:pPr>
              <w:widowControl/>
              <w:spacing w:before="20" w:after="20" w:line="240" w:lineRule="auto"/>
              <w:ind w:firstLine="0" w:firstLineChars="0"/>
              <w:jc w:val="center"/>
              <w:rPr>
                <w:rFonts w:ascii="方正楷体_GBK" w:eastAsia="方正楷体_GBK" w:cs="Times New Roman"/>
                <w:sz w:val="22"/>
              </w:rPr>
            </w:pPr>
            <w:r>
              <w:rPr>
                <w:rFonts w:hint="eastAsia" w:ascii="方正楷体_GBK" w:eastAsia="方正楷体_GBK" w:cs="Times New Roman"/>
                <w:sz w:val="22"/>
                <w:szCs w:val="22"/>
              </w:rPr>
              <w:t>18443</w:t>
            </w:r>
          </w:p>
        </w:tc>
      </w:tr>
      <w:tr w14:paraId="62F95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3" w:type="pct"/>
            <w:vMerge w:val="continue"/>
            <w:shd w:val="clear" w:color="auto" w:fill="auto"/>
            <w:noWrap/>
            <w:vAlign w:val="center"/>
          </w:tcPr>
          <w:p w14:paraId="7E7EC803">
            <w:pPr>
              <w:widowControl/>
              <w:spacing w:before="20" w:after="20" w:line="240" w:lineRule="auto"/>
              <w:ind w:firstLine="0" w:firstLineChars="0"/>
              <w:jc w:val="center"/>
              <w:rPr>
                <w:rFonts w:ascii="方正楷体_GBK" w:eastAsia="方正楷体_GBK" w:cs="Times New Roman"/>
                <w:sz w:val="22"/>
              </w:rPr>
            </w:pPr>
          </w:p>
        </w:tc>
        <w:tc>
          <w:tcPr>
            <w:tcW w:w="753" w:type="pct"/>
            <w:shd w:val="clear" w:color="auto" w:fill="auto"/>
            <w:noWrap/>
            <w:vAlign w:val="center"/>
          </w:tcPr>
          <w:p w14:paraId="038E5728">
            <w:pPr>
              <w:widowControl/>
              <w:spacing w:before="20" w:after="20" w:line="240" w:lineRule="auto"/>
              <w:ind w:firstLine="0" w:firstLineChars="0"/>
              <w:jc w:val="center"/>
              <w:rPr>
                <w:rFonts w:ascii="方正楷体_GBK" w:eastAsia="方正楷体_GBK" w:cs="Times New Roman"/>
                <w:sz w:val="22"/>
              </w:rPr>
            </w:pPr>
            <w:r>
              <w:rPr>
                <w:rFonts w:hint="eastAsia" w:ascii="方正楷体_GBK" w:eastAsia="方正楷体_GBK" w:cs="Times New Roman"/>
                <w:sz w:val="22"/>
              </w:rPr>
              <w:t>农村居民</w:t>
            </w:r>
          </w:p>
        </w:tc>
        <w:tc>
          <w:tcPr>
            <w:tcW w:w="501" w:type="pct"/>
            <w:shd w:val="clear" w:color="auto" w:fill="auto"/>
            <w:noWrap/>
            <w:vAlign w:val="center"/>
          </w:tcPr>
          <w:p w14:paraId="20A7FFFF">
            <w:pPr>
              <w:widowControl/>
              <w:spacing w:before="20" w:after="20" w:line="240" w:lineRule="auto"/>
              <w:ind w:firstLine="0" w:firstLineChars="0"/>
              <w:jc w:val="center"/>
              <w:rPr>
                <w:rFonts w:ascii="方正楷体_GBK" w:eastAsia="方正楷体_GBK" w:cs="Times New Roman"/>
                <w:sz w:val="22"/>
              </w:rPr>
            </w:pPr>
            <w:r>
              <w:rPr>
                <w:rFonts w:hint="eastAsia" w:ascii="方正楷体_GBK" w:eastAsia="方正楷体_GBK" w:cs="Times New Roman"/>
                <w:sz w:val="22"/>
                <w:szCs w:val="22"/>
              </w:rPr>
              <w:t>1728</w:t>
            </w:r>
          </w:p>
        </w:tc>
        <w:tc>
          <w:tcPr>
            <w:tcW w:w="501" w:type="pct"/>
            <w:shd w:val="clear" w:color="auto" w:fill="auto"/>
            <w:noWrap/>
            <w:vAlign w:val="center"/>
          </w:tcPr>
          <w:p w14:paraId="018378F0">
            <w:pPr>
              <w:widowControl/>
              <w:spacing w:before="20" w:after="20" w:line="240" w:lineRule="auto"/>
              <w:ind w:firstLine="0" w:firstLineChars="0"/>
              <w:jc w:val="center"/>
              <w:rPr>
                <w:rFonts w:ascii="方正楷体_GBK" w:eastAsia="方正楷体_GBK" w:cs="Times New Roman"/>
                <w:sz w:val="22"/>
              </w:rPr>
            </w:pPr>
            <w:r>
              <w:rPr>
                <w:rFonts w:hint="eastAsia" w:ascii="方正楷体_GBK" w:eastAsia="方正楷体_GBK" w:cs="Times New Roman"/>
                <w:sz w:val="22"/>
                <w:szCs w:val="22"/>
              </w:rPr>
              <w:t>851</w:t>
            </w:r>
          </w:p>
        </w:tc>
        <w:tc>
          <w:tcPr>
            <w:tcW w:w="501" w:type="pct"/>
            <w:shd w:val="clear" w:color="auto" w:fill="auto"/>
            <w:noWrap/>
            <w:vAlign w:val="center"/>
          </w:tcPr>
          <w:p w14:paraId="72910BC0">
            <w:pPr>
              <w:widowControl/>
              <w:spacing w:before="20" w:after="20" w:line="240" w:lineRule="auto"/>
              <w:ind w:firstLine="0" w:firstLineChars="0"/>
              <w:jc w:val="center"/>
              <w:rPr>
                <w:rFonts w:ascii="方正楷体_GBK" w:eastAsia="方正楷体_GBK" w:cs="Times New Roman"/>
                <w:sz w:val="22"/>
              </w:rPr>
            </w:pPr>
            <w:r>
              <w:rPr>
                <w:rFonts w:hint="eastAsia" w:ascii="方正楷体_GBK" w:eastAsia="方正楷体_GBK" w:cs="Times New Roman"/>
                <w:sz w:val="22"/>
                <w:szCs w:val="22"/>
              </w:rPr>
              <w:t>155</w:t>
            </w:r>
          </w:p>
        </w:tc>
        <w:tc>
          <w:tcPr>
            <w:tcW w:w="501" w:type="pct"/>
            <w:shd w:val="clear" w:color="auto" w:fill="auto"/>
            <w:noWrap/>
            <w:vAlign w:val="center"/>
          </w:tcPr>
          <w:p w14:paraId="405F6209">
            <w:pPr>
              <w:widowControl/>
              <w:spacing w:before="20" w:after="20" w:line="240" w:lineRule="auto"/>
              <w:ind w:firstLine="0" w:firstLineChars="0"/>
              <w:jc w:val="center"/>
              <w:rPr>
                <w:rFonts w:ascii="方正楷体_GBK" w:eastAsia="方正楷体_GBK" w:cs="Times New Roman"/>
                <w:sz w:val="22"/>
              </w:rPr>
            </w:pPr>
            <w:r>
              <w:rPr>
                <w:rFonts w:hint="eastAsia" w:ascii="方正楷体_GBK" w:eastAsia="方正楷体_GBK" w:cs="Times New Roman"/>
                <w:sz w:val="22"/>
                <w:szCs w:val="22"/>
              </w:rPr>
              <w:t>336</w:t>
            </w:r>
          </w:p>
        </w:tc>
        <w:tc>
          <w:tcPr>
            <w:tcW w:w="501" w:type="pct"/>
            <w:shd w:val="clear" w:color="auto" w:fill="auto"/>
            <w:noWrap/>
            <w:vAlign w:val="center"/>
          </w:tcPr>
          <w:p w14:paraId="59B07BB6">
            <w:pPr>
              <w:widowControl/>
              <w:spacing w:before="20" w:after="20" w:line="240" w:lineRule="auto"/>
              <w:ind w:firstLine="0" w:firstLineChars="0"/>
              <w:jc w:val="center"/>
              <w:rPr>
                <w:rFonts w:ascii="方正楷体_GBK" w:eastAsia="方正楷体_GBK" w:cs="Times New Roman"/>
                <w:sz w:val="22"/>
              </w:rPr>
            </w:pPr>
            <w:r>
              <w:rPr>
                <w:rFonts w:hint="eastAsia" w:ascii="方正楷体_GBK" w:eastAsia="方正楷体_GBK" w:cs="Times New Roman"/>
                <w:sz w:val="22"/>
                <w:szCs w:val="22"/>
              </w:rPr>
              <w:t>1402</w:t>
            </w:r>
          </w:p>
        </w:tc>
        <w:tc>
          <w:tcPr>
            <w:tcW w:w="501" w:type="pct"/>
            <w:shd w:val="clear" w:color="auto" w:fill="auto"/>
            <w:noWrap/>
            <w:vAlign w:val="center"/>
          </w:tcPr>
          <w:p w14:paraId="47FBBB08">
            <w:pPr>
              <w:widowControl/>
              <w:spacing w:before="20" w:after="20" w:line="240" w:lineRule="auto"/>
              <w:ind w:firstLine="0" w:firstLineChars="0"/>
              <w:jc w:val="center"/>
              <w:rPr>
                <w:rFonts w:ascii="方正楷体_GBK" w:eastAsia="方正楷体_GBK" w:cs="Times New Roman"/>
                <w:sz w:val="22"/>
              </w:rPr>
            </w:pPr>
            <w:r>
              <w:rPr>
                <w:rFonts w:hint="eastAsia" w:ascii="方正楷体_GBK" w:eastAsia="方正楷体_GBK" w:cs="Times New Roman"/>
                <w:sz w:val="22"/>
                <w:szCs w:val="22"/>
              </w:rPr>
              <w:t>748</w:t>
            </w:r>
          </w:p>
        </w:tc>
        <w:tc>
          <w:tcPr>
            <w:tcW w:w="489" w:type="pct"/>
            <w:shd w:val="clear" w:color="auto" w:fill="auto"/>
            <w:noWrap/>
            <w:vAlign w:val="center"/>
          </w:tcPr>
          <w:p w14:paraId="2C0BBC02">
            <w:pPr>
              <w:widowControl/>
              <w:spacing w:before="20" w:after="20" w:line="240" w:lineRule="auto"/>
              <w:ind w:firstLine="0" w:firstLineChars="0"/>
              <w:jc w:val="center"/>
              <w:rPr>
                <w:rFonts w:ascii="方正楷体_GBK" w:eastAsia="方正楷体_GBK" w:cs="Times New Roman"/>
                <w:sz w:val="22"/>
              </w:rPr>
            </w:pPr>
            <w:r>
              <w:rPr>
                <w:rFonts w:hint="eastAsia" w:ascii="方正楷体_GBK" w:eastAsia="方正楷体_GBK" w:cs="Times New Roman"/>
                <w:sz w:val="22"/>
                <w:szCs w:val="22"/>
              </w:rPr>
              <w:t>5220</w:t>
            </w:r>
          </w:p>
        </w:tc>
      </w:tr>
      <w:tr w14:paraId="3CDE0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3" w:type="pct"/>
            <w:vMerge w:val="continue"/>
            <w:shd w:val="clear" w:color="auto" w:fill="auto"/>
            <w:noWrap/>
            <w:vAlign w:val="center"/>
          </w:tcPr>
          <w:p w14:paraId="160225EC">
            <w:pPr>
              <w:widowControl/>
              <w:spacing w:before="20" w:after="20" w:line="240" w:lineRule="auto"/>
              <w:ind w:firstLine="0" w:firstLineChars="0"/>
              <w:jc w:val="center"/>
              <w:rPr>
                <w:rFonts w:ascii="方正楷体_GBK" w:eastAsia="方正楷体_GBK" w:cs="Times New Roman"/>
                <w:sz w:val="22"/>
              </w:rPr>
            </w:pPr>
          </w:p>
        </w:tc>
        <w:tc>
          <w:tcPr>
            <w:tcW w:w="753" w:type="pct"/>
            <w:shd w:val="clear" w:color="auto" w:fill="auto"/>
            <w:noWrap/>
            <w:vAlign w:val="center"/>
          </w:tcPr>
          <w:p w14:paraId="7CFD64A1">
            <w:pPr>
              <w:widowControl/>
              <w:spacing w:before="20" w:after="20" w:line="240" w:lineRule="auto"/>
              <w:ind w:firstLine="0" w:firstLineChars="0"/>
              <w:jc w:val="center"/>
              <w:rPr>
                <w:rFonts w:ascii="方正楷体_GBK" w:eastAsia="方正楷体_GBK" w:cs="Times New Roman"/>
                <w:sz w:val="22"/>
              </w:rPr>
            </w:pPr>
            <w:r>
              <w:rPr>
                <w:rFonts w:hint="eastAsia" w:ascii="方正楷体_GBK" w:eastAsia="方正楷体_GBK" w:cs="Times New Roman"/>
                <w:sz w:val="22"/>
              </w:rPr>
              <w:t>城镇公共</w:t>
            </w:r>
          </w:p>
        </w:tc>
        <w:tc>
          <w:tcPr>
            <w:tcW w:w="501" w:type="pct"/>
            <w:shd w:val="clear" w:color="auto" w:fill="auto"/>
            <w:noWrap/>
            <w:vAlign w:val="center"/>
          </w:tcPr>
          <w:p w14:paraId="48462EE5">
            <w:pPr>
              <w:widowControl/>
              <w:spacing w:before="20" w:after="20" w:line="240" w:lineRule="auto"/>
              <w:ind w:firstLine="0" w:firstLineChars="0"/>
              <w:jc w:val="center"/>
              <w:rPr>
                <w:rFonts w:ascii="方正楷体_GBK" w:eastAsia="方正楷体_GBK" w:cs="Times New Roman"/>
                <w:sz w:val="22"/>
              </w:rPr>
            </w:pPr>
            <w:r>
              <w:rPr>
                <w:rFonts w:hint="eastAsia" w:ascii="方正楷体_GBK" w:eastAsia="方正楷体_GBK" w:cs="Times New Roman"/>
                <w:sz w:val="22"/>
                <w:szCs w:val="22"/>
              </w:rPr>
              <w:t>3864</w:t>
            </w:r>
          </w:p>
        </w:tc>
        <w:tc>
          <w:tcPr>
            <w:tcW w:w="501" w:type="pct"/>
            <w:shd w:val="clear" w:color="auto" w:fill="auto"/>
            <w:noWrap/>
            <w:vAlign w:val="center"/>
          </w:tcPr>
          <w:p w14:paraId="0607DA84">
            <w:pPr>
              <w:widowControl/>
              <w:spacing w:before="20" w:after="20" w:line="240" w:lineRule="auto"/>
              <w:ind w:firstLine="0" w:firstLineChars="0"/>
              <w:jc w:val="center"/>
              <w:rPr>
                <w:rFonts w:ascii="方正楷体_GBK" w:eastAsia="方正楷体_GBK" w:cs="Times New Roman"/>
                <w:sz w:val="22"/>
              </w:rPr>
            </w:pPr>
            <w:r>
              <w:rPr>
                <w:rFonts w:hint="eastAsia" w:ascii="方正楷体_GBK" w:eastAsia="方正楷体_GBK" w:cs="Times New Roman"/>
                <w:sz w:val="22"/>
                <w:szCs w:val="22"/>
              </w:rPr>
              <w:t>422</w:t>
            </w:r>
          </w:p>
        </w:tc>
        <w:tc>
          <w:tcPr>
            <w:tcW w:w="501" w:type="pct"/>
            <w:shd w:val="clear" w:color="auto" w:fill="auto"/>
            <w:noWrap/>
            <w:vAlign w:val="center"/>
          </w:tcPr>
          <w:p w14:paraId="32FEF807">
            <w:pPr>
              <w:widowControl/>
              <w:spacing w:before="20" w:after="20" w:line="240" w:lineRule="auto"/>
              <w:ind w:firstLine="0" w:firstLineChars="0"/>
              <w:jc w:val="center"/>
              <w:rPr>
                <w:rFonts w:ascii="方正楷体_GBK" w:eastAsia="方正楷体_GBK" w:cs="Times New Roman"/>
                <w:sz w:val="22"/>
              </w:rPr>
            </w:pPr>
            <w:r>
              <w:rPr>
                <w:rFonts w:hint="eastAsia" w:ascii="方正楷体_GBK" w:eastAsia="方正楷体_GBK" w:cs="Times New Roman"/>
                <w:sz w:val="22"/>
                <w:szCs w:val="22"/>
              </w:rPr>
              <w:t>1608</w:t>
            </w:r>
          </w:p>
        </w:tc>
        <w:tc>
          <w:tcPr>
            <w:tcW w:w="501" w:type="pct"/>
            <w:shd w:val="clear" w:color="auto" w:fill="auto"/>
            <w:noWrap/>
            <w:vAlign w:val="center"/>
          </w:tcPr>
          <w:p w14:paraId="011BD6C9">
            <w:pPr>
              <w:widowControl/>
              <w:spacing w:before="20" w:after="20" w:line="240" w:lineRule="auto"/>
              <w:ind w:firstLine="0" w:firstLineChars="0"/>
              <w:jc w:val="center"/>
              <w:rPr>
                <w:rFonts w:ascii="方正楷体_GBK" w:eastAsia="方正楷体_GBK" w:cs="Times New Roman"/>
                <w:sz w:val="22"/>
              </w:rPr>
            </w:pPr>
            <w:r>
              <w:rPr>
                <w:rFonts w:hint="eastAsia" w:ascii="方正楷体_GBK" w:eastAsia="方正楷体_GBK" w:cs="Times New Roman"/>
                <w:sz w:val="22"/>
                <w:szCs w:val="22"/>
              </w:rPr>
              <w:t>1980</w:t>
            </w:r>
          </w:p>
        </w:tc>
        <w:tc>
          <w:tcPr>
            <w:tcW w:w="501" w:type="pct"/>
            <w:shd w:val="clear" w:color="auto" w:fill="auto"/>
            <w:noWrap/>
            <w:vAlign w:val="center"/>
          </w:tcPr>
          <w:p w14:paraId="4DB0BDDF">
            <w:pPr>
              <w:widowControl/>
              <w:spacing w:before="20" w:after="20" w:line="240" w:lineRule="auto"/>
              <w:ind w:firstLine="0" w:firstLineChars="0"/>
              <w:jc w:val="center"/>
              <w:rPr>
                <w:rFonts w:ascii="方正楷体_GBK" w:eastAsia="方正楷体_GBK" w:cs="Times New Roman"/>
                <w:sz w:val="22"/>
              </w:rPr>
            </w:pPr>
            <w:r>
              <w:rPr>
                <w:rFonts w:hint="eastAsia" w:ascii="方正楷体_GBK" w:eastAsia="方正楷体_GBK" w:cs="Times New Roman"/>
                <w:sz w:val="22"/>
                <w:szCs w:val="22"/>
              </w:rPr>
              <w:t>1609</w:t>
            </w:r>
          </w:p>
        </w:tc>
        <w:tc>
          <w:tcPr>
            <w:tcW w:w="501" w:type="pct"/>
            <w:shd w:val="clear" w:color="auto" w:fill="auto"/>
            <w:noWrap/>
            <w:vAlign w:val="center"/>
          </w:tcPr>
          <w:p w14:paraId="30D83AB1">
            <w:pPr>
              <w:widowControl/>
              <w:spacing w:before="20" w:after="20" w:line="240" w:lineRule="auto"/>
              <w:ind w:firstLine="0" w:firstLineChars="0"/>
              <w:jc w:val="center"/>
              <w:rPr>
                <w:rFonts w:ascii="方正楷体_GBK" w:eastAsia="方正楷体_GBK" w:cs="Times New Roman"/>
                <w:sz w:val="22"/>
              </w:rPr>
            </w:pPr>
            <w:r>
              <w:rPr>
                <w:rFonts w:hint="eastAsia" w:ascii="方正楷体_GBK" w:eastAsia="方正楷体_GBK" w:cs="Times New Roman"/>
                <w:sz w:val="22"/>
                <w:szCs w:val="22"/>
              </w:rPr>
              <w:t>1428</w:t>
            </w:r>
          </w:p>
        </w:tc>
        <w:tc>
          <w:tcPr>
            <w:tcW w:w="489" w:type="pct"/>
            <w:shd w:val="clear" w:color="auto" w:fill="auto"/>
            <w:noWrap/>
            <w:vAlign w:val="center"/>
          </w:tcPr>
          <w:p w14:paraId="1A2A63D9">
            <w:pPr>
              <w:widowControl/>
              <w:spacing w:before="20" w:after="20" w:line="240" w:lineRule="auto"/>
              <w:ind w:firstLine="0" w:firstLineChars="0"/>
              <w:jc w:val="center"/>
              <w:rPr>
                <w:rFonts w:ascii="方正楷体_GBK" w:eastAsia="方正楷体_GBK" w:cs="Times New Roman"/>
                <w:sz w:val="22"/>
              </w:rPr>
            </w:pPr>
            <w:r>
              <w:rPr>
                <w:rFonts w:hint="eastAsia" w:ascii="方正楷体_GBK" w:eastAsia="方正楷体_GBK" w:cs="Times New Roman"/>
                <w:sz w:val="22"/>
                <w:szCs w:val="22"/>
              </w:rPr>
              <w:t>10911</w:t>
            </w:r>
          </w:p>
        </w:tc>
      </w:tr>
      <w:tr w14:paraId="0079C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3" w:type="pct"/>
            <w:vMerge w:val="continue"/>
            <w:shd w:val="clear" w:color="auto" w:fill="auto"/>
            <w:noWrap/>
            <w:vAlign w:val="center"/>
          </w:tcPr>
          <w:p w14:paraId="1D64C87E">
            <w:pPr>
              <w:widowControl/>
              <w:spacing w:before="20" w:after="20" w:line="240" w:lineRule="auto"/>
              <w:ind w:firstLine="0" w:firstLineChars="0"/>
              <w:jc w:val="center"/>
              <w:rPr>
                <w:rFonts w:ascii="方正楷体_GBK" w:eastAsia="方正楷体_GBK" w:cs="Times New Roman"/>
                <w:sz w:val="22"/>
              </w:rPr>
            </w:pPr>
          </w:p>
        </w:tc>
        <w:tc>
          <w:tcPr>
            <w:tcW w:w="753" w:type="pct"/>
            <w:shd w:val="clear" w:color="auto" w:fill="auto"/>
            <w:noWrap/>
            <w:vAlign w:val="center"/>
          </w:tcPr>
          <w:p w14:paraId="1A50C113">
            <w:pPr>
              <w:widowControl/>
              <w:spacing w:before="20" w:after="20" w:line="240" w:lineRule="auto"/>
              <w:ind w:firstLine="0" w:firstLineChars="0"/>
              <w:jc w:val="center"/>
              <w:rPr>
                <w:rFonts w:ascii="方正楷体_GBK" w:eastAsia="方正楷体_GBK" w:cs="Times New Roman"/>
                <w:sz w:val="22"/>
              </w:rPr>
            </w:pPr>
            <w:r>
              <w:rPr>
                <w:rFonts w:hint="eastAsia" w:ascii="方正楷体_GBK" w:eastAsia="方正楷体_GBK" w:cs="Times New Roman"/>
                <w:sz w:val="22"/>
              </w:rPr>
              <w:t>小计</w:t>
            </w:r>
          </w:p>
        </w:tc>
        <w:tc>
          <w:tcPr>
            <w:tcW w:w="501" w:type="pct"/>
            <w:shd w:val="clear" w:color="auto" w:fill="auto"/>
            <w:noWrap/>
            <w:vAlign w:val="center"/>
          </w:tcPr>
          <w:p w14:paraId="3B94DC2A">
            <w:pPr>
              <w:widowControl/>
              <w:spacing w:before="20" w:after="20" w:line="240" w:lineRule="auto"/>
              <w:ind w:firstLine="0" w:firstLineChars="0"/>
              <w:jc w:val="center"/>
              <w:rPr>
                <w:rFonts w:ascii="方正楷体_GBK" w:eastAsia="方正楷体_GBK" w:cs="Times New Roman"/>
                <w:sz w:val="22"/>
              </w:rPr>
            </w:pPr>
            <w:r>
              <w:rPr>
                <w:rFonts w:hint="eastAsia" w:ascii="方正楷体_GBK" w:eastAsia="方正楷体_GBK" w:cs="Times New Roman"/>
                <w:sz w:val="22"/>
                <w:szCs w:val="22"/>
              </w:rPr>
              <w:t>9452</w:t>
            </w:r>
          </w:p>
        </w:tc>
        <w:tc>
          <w:tcPr>
            <w:tcW w:w="501" w:type="pct"/>
            <w:shd w:val="clear" w:color="auto" w:fill="auto"/>
            <w:noWrap/>
            <w:vAlign w:val="center"/>
          </w:tcPr>
          <w:p w14:paraId="29C4125C">
            <w:pPr>
              <w:widowControl/>
              <w:spacing w:before="20" w:after="20" w:line="240" w:lineRule="auto"/>
              <w:ind w:firstLine="0" w:firstLineChars="0"/>
              <w:jc w:val="center"/>
              <w:rPr>
                <w:rFonts w:ascii="方正楷体_GBK" w:eastAsia="方正楷体_GBK" w:cs="Times New Roman"/>
                <w:sz w:val="22"/>
              </w:rPr>
            </w:pPr>
            <w:r>
              <w:rPr>
                <w:rFonts w:hint="eastAsia" w:ascii="方正楷体_GBK" w:eastAsia="方正楷体_GBK" w:cs="Times New Roman"/>
                <w:sz w:val="22"/>
                <w:szCs w:val="22"/>
              </w:rPr>
              <w:t>3342</w:t>
            </w:r>
          </w:p>
        </w:tc>
        <w:tc>
          <w:tcPr>
            <w:tcW w:w="501" w:type="pct"/>
            <w:shd w:val="clear" w:color="auto" w:fill="auto"/>
            <w:noWrap/>
            <w:vAlign w:val="center"/>
          </w:tcPr>
          <w:p w14:paraId="2410155A">
            <w:pPr>
              <w:widowControl/>
              <w:spacing w:before="20" w:after="20" w:line="240" w:lineRule="auto"/>
              <w:ind w:firstLine="0" w:firstLineChars="0"/>
              <w:jc w:val="center"/>
              <w:rPr>
                <w:rFonts w:ascii="方正楷体_GBK" w:eastAsia="方正楷体_GBK" w:cs="Times New Roman"/>
                <w:sz w:val="22"/>
              </w:rPr>
            </w:pPr>
            <w:r>
              <w:rPr>
                <w:rFonts w:hint="eastAsia" w:ascii="方正楷体_GBK" w:eastAsia="方正楷体_GBK" w:cs="Times New Roman"/>
                <w:sz w:val="22"/>
                <w:szCs w:val="22"/>
              </w:rPr>
              <w:t>4620</w:t>
            </w:r>
          </w:p>
        </w:tc>
        <w:tc>
          <w:tcPr>
            <w:tcW w:w="501" w:type="pct"/>
            <w:shd w:val="clear" w:color="auto" w:fill="auto"/>
            <w:noWrap/>
            <w:vAlign w:val="center"/>
          </w:tcPr>
          <w:p w14:paraId="49707238">
            <w:pPr>
              <w:widowControl/>
              <w:spacing w:before="20" w:after="20" w:line="240" w:lineRule="auto"/>
              <w:ind w:firstLine="0" w:firstLineChars="0"/>
              <w:jc w:val="center"/>
              <w:rPr>
                <w:rFonts w:ascii="方正楷体_GBK" w:eastAsia="方正楷体_GBK" w:cs="Times New Roman"/>
                <w:sz w:val="22"/>
              </w:rPr>
            </w:pPr>
            <w:r>
              <w:rPr>
                <w:rFonts w:hint="eastAsia" w:ascii="方正楷体_GBK" w:eastAsia="方正楷体_GBK" w:cs="Times New Roman"/>
                <w:sz w:val="22"/>
                <w:szCs w:val="22"/>
              </w:rPr>
              <w:t>4479</w:t>
            </w:r>
          </w:p>
        </w:tc>
        <w:tc>
          <w:tcPr>
            <w:tcW w:w="501" w:type="pct"/>
            <w:shd w:val="clear" w:color="auto" w:fill="auto"/>
            <w:noWrap/>
            <w:vAlign w:val="center"/>
          </w:tcPr>
          <w:p w14:paraId="1FEC8BAF">
            <w:pPr>
              <w:widowControl/>
              <w:spacing w:before="20" w:after="20" w:line="240" w:lineRule="auto"/>
              <w:ind w:firstLine="0" w:firstLineChars="0"/>
              <w:jc w:val="center"/>
              <w:rPr>
                <w:rFonts w:ascii="方正楷体_GBK" w:eastAsia="方正楷体_GBK" w:cs="Times New Roman"/>
                <w:sz w:val="22"/>
              </w:rPr>
            </w:pPr>
            <w:r>
              <w:rPr>
                <w:rFonts w:hint="eastAsia" w:ascii="方正楷体_GBK" w:eastAsia="方正楷体_GBK" w:cs="Times New Roman"/>
                <w:sz w:val="22"/>
                <w:szCs w:val="22"/>
              </w:rPr>
              <w:t>6368</w:t>
            </w:r>
          </w:p>
        </w:tc>
        <w:tc>
          <w:tcPr>
            <w:tcW w:w="501" w:type="pct"/>
            <w:shd w:val="clear" w:color="auto" w:fill="auto"/>
            <w:noWrap/>
            <w:vAlign w:val="center"/>
          </w:tcPr>
          <w:p w14:paraId="16A45DB8">
            <w:pPr>
              <w:widowControl/>
              <w:spacing w:before="20" w:after="20" w:line="240" w:lineRule="auto"/>
              <w:ind w:firstLine="0" w:firstLineChars="0"/>
              <w:jc w:val="center"/>
              <w:rPr>
                <w:rFonts w:ascii="方正楷体_GBK" w:eastAsia="方正楷体_GBK" w:cs="Times New Roman"/>
                <w:sz w:val="22"/>
              </w:rPr>
            </w:pPr>
            <w:r>
              <w:rPr>
                <w:rFonts w:hint="eastAsia" w:ascii="方正楷体_GBK" w:eastAsia="方正楷体_GBK" w:cs="Times New Roman"/>
                <w:sz w:val="22"/>
                <w:szCs w:val="22"/>
              </w:rPr>
              <w:t>4637</w:t>
            </w:r>
          </w:p>
        </w:tc>
        <w:tc>
          <w:tcPr>
            <w:tcW w:w="489" w:type="pct"/>
            <w:shd w:val="clear" w:color="auto" w:fill="auto"/>
            <w:noWrap/>
            <w:vAlign w:val="center"/>
          </w:tcPr>
          <w:p w14:paraId="25803562">
            <w:pPr>
              <w:widowControl/>
              <w:spacing w:before="20" w:after="20" w:line="240" w:lineRule="auto"/>
              <w:ind w:firstLine="0" w:firstLineChars="0"/>
              <w:jc w:val="center"/>
              <w:rPr>
                <w:rFonts w:ascii="方正楷体_GBK" w:eastAsia="方正楷体_GBK" w:cs="Times New Roman"/>
                <w:sz w:val="22"/>
              </w:rPr>
            </w:pPr>
            <w:r>
              <w:rPr>
                <w:rFonts w:hint="eastAsia" w:ascii="方正楷体_GBK" w:eastAsia="方正楷体_GBK" w:cs="Times New Roman"/>
                <w:sz w:val="22"/>
                <w:szCs w:val="22"/>
              </w:rPr>
              <w:t>32898</w:t>
            </w:r>
          </w:p>
        </w:tc>
      </w:tr>
      <w:tr w14:paraId="1FB25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05" w:type="pct"/>
            <w:gridSpan w:val="2"/>
            <w:shd w:val="clear" w:color="auto" w:fill="auto"/>
            <w:noWrap/>
            <w:vAlign w:val="center"/>
          </w:tcPr>
          <w:p w14:paraId="77EFAE91">
            <w:pPr>
              <w:widowControl/>
              <w:spacing w:before="20" w:after="20" w:line="240" w:lineRule="auto"/>
              <w:ind w:firstLine="0" w:firstLineChars="0"/>
              <w:jc w:val="center"/>
              <w:rPr>
                <w:rFonts w:ascii="方正楷体_GBK" w:eastAsia="方正楷体_GBK" w:cs="Times New Roman"/>
                <w:sz w:val="22"/>
              </w:rPr>
            </w:pPr>
            <w:r>
              <w:rPr>
                <w:rFonts w:hint="eastAsia" w:ascii="方正楷体_GBK" w:eastAsia="方正楷体_GBK" w:cs="Times New Roman"/>
                <w:sz w:val="22"/>
              </w:rPr>
              <w:t>人工生态环境补水</w:t>
            </w:r>
          </w:p>
        </w:tc>
        <w:tc>
          <w:tcPr>
            <w:tcW w:w="501" w:type="pct"/>
            <w:shd w:val="clear" w:color="auto" w:fill="auto"/>
            <w:noWrap/>
            <w:vAlign w:val="center"/>
          </w:tcPr>
          <w:p w14:paraId="6E792750">
            <w:pPr>
              <w:widowControl/>
              <w:spacing w:before="20" w:after="20" w:line="240" w:lineRule="auto"/>
              <w:ind w:firstLine="0" w:firstLineChars="0"/>
              <w:jc w:val="center"/>
              <w:rPr>
                <w:rFonts w:ascii="方正楷体_GBK" w:eastAsia="方正楷体_GBK" w:cs="Times New Roman"/>
                <w:sz w:val="22"/>
              </w:rPr>
            </w:pPr>
            <w:r>
              <w:rPr>
                <w:rFonts w:hint="eastAsia" w:ascii="方正楷体_GBK" w:eastAsia="方正楷体_GBK" w:cs="Times New Roman"/>
                <w:sz w:val="22"/>
                <w:szCs w:val="22"/>
              </w:rPr>
              <w:t>1895</w:t>
            </w:r>
          </w:p>
        </w:tc>
        <w:tc>
          <w:tcPr>
            <w:tcW w:w="501" w:type="pct"/>
            <w:shd w:val="clear" w:color="auto" w:fill="auto"/>
            <w:noWrap/>
            <w:vAlign w:val="center"/>
          </w:tcPr>
          <w:p w14:paraId="3ED6E532">
            <w:pPr>
              <w:widowControl/>
              <w:spacing w:before="20" w:after="20" w:line="240" w:lineRule="auto"/>
              <w:ind w:firstLine="0" w:firstLineChars="0"/>
              <w:jc w:val="center"/>
              <w:rPr>
                <w:rFonts w:ascii="方正楷体_GBK" w:eastAsia="方正楷体_GBK" w:cs="Times New Roman"/>
                <w:sz w:val="22"/>
              </w:rPr>
            </w:pPr>
            <w:r>
              <w:rPr>
                <w:rFonts w:hint="eastAsia" w:ascii="方正楷体_GBK" w:eastAsia="方正楷体_GBK" w:cs="Times New Roman"/>
                <w:sz w:val="22"/>
                <w:szCs w:val="22"/>
              </w:rPr>
              <w:t>1177</w:t>
            </w:r>
          </w:p>
        </w:tc>
        <w:tc>
          <w:tcPr>
            <w:tcW w:w="501" w:type="pct"/>
            <w:shd w:val="clear" w:color="auto" w:fill="auto"/>
            <w:noWrap/>
            <w:vAlign w:val="center"/>
          </w:tcPr>
          <w:p w14:paraId="5CB05460">
            <w:pPr>
              <w:widowControl/>
              <w:spacing w:before="20" w:after="20" w:line="240" w:lineRule="auto"/>
              <w:ind w:firstLine="0" w:firstLineChars="0"/>
              <w:jc w:val="center"/>
              <w:rPr>
                <w:rFonts w:ascii="方正楷体_GBK" w:eastAsia="方正楷体_GBK" w:cs="Times New Roman"/>
                <w:sz w:val="22"/>
              </w:rPr>
            </w:pPr>
            <w:r>
              <w:rPr>
                <w:rFonts w:hint="eastAsia" w:ascii="方正楷体_GBK" w:eastAsia="方正楷体_GBK" w:cs="Times New Roman"/>
                <w:sz w:val="22"/>
                <w:szCs w:val="22"/>
              </w:rPr>
              <w:t>1253</w:t>
            </w:r>
          </w:p>
        </w:tc>
        <w:tc>
          <w:tcPr>
            <w:tcW w:w="501" w:type="pct"/>
            <w:shd w:val="clear" w:color="auto" w:fill="auto"/>
            <w:noWrap/>
            <w:vAlign w:val="center"/>
          </w:tcPr>
          <w:p w14:paraId="3F9E9956">
            <w:pPr>
              <w:widowControl/>
              <w:spacing w:before="20" w:after="20" w:line="240" w:lineRule="auto"/>
              <w:ind w:firstLine="0" w:firstLineChars="0"/>
              <w:jc w:val="center"/>
              <w:rPr>
                <w:rFonts w:ascii="方正楷体_GBK" w:eastAsia="方正楷体_GBK" w:cs="Times New Roman"/>
                <w:sz w:val="22"/>
              </w:rPr>
            </w:pPr>
            <w:r>
              <w:rPr>
                <w:rFonts w:hint="eastAsia" w:ascii="方正楷体_GBK" w:eastAsia="方正楷体_GBK" w:cs="Times New Roman"/>
                <w:sz w:val="22"/>
                <w:szCs w:val="22"/>
              </w:rPr>
              <w:t>5758</w:t>
            </w:r>
          </w:p>
        </w:tc>
        <w:tc>
          <w:tcPr>
            <w:tcW w:w="501" w:type="pct"/>
            <w:shd w:val="clear" w:color="auto" w:fill="auto"/>
            <w:noWrap/>
            <w:vAlign w:val="center"/>
          </w:tcPr>
          <w:p w14:paraId="239BACA6">
            <w:pPr>
              <w:widowControl/>
              <w:spacing w:before="20" w:after="20" w:line="240" w:lineRule="auto"/>
              <w:ind w:firstLine="0" w:firstLineChars="0"/>
              <w:jc w:val="center"/>
              <w:rPr>
                <w:rFonts w:ascii="方正楷体_GBK" w:eastAsia="方正楷体_GBK" w:cs="Times New Roman"/>
                <w:sz w:val="22"/>
              </w:rPr>
            </w:pPr>
            <w:r>
              <w:rPr>
                <w:rFonts w:hint="eastAsia" w:ascii="方正楷体_GBK" w:eastAsia="方正楷体_GBK" w:cs="Times New Roman"/>
                <w:sz w:val="22"/>
                <w:szCs w:val="22"/>
              </w:rPr>
              <w:t>2886</w:t>
            </w:r>
          </w:p>
        </w:tc>
        <w:tc>
          <w:tcPr>
            <w:tcW w:w="501" w:type="pct"/>
            <w:shd w:val="clear" w:color="auto" w:fill="auto"/>
            <w:noWrap/>
            <w:vAlign w:val="center"/>
          </w:tcPr>
          <w:p w14:paraId="170B8399">
            <w:pPr>
              <w:widowControl/>
              <w:spacing w:before="20" w:after="20" w:line="240" w:lineRule="auto"/>
              <w:ind w:firstLine="0" w:firstLineChars="0"/>
              <w:jc w:val="center"/>
              <w:rPr>
                <w:rFonts w:ascii="方正楷体_GBK" w:eastAsia="方正楷体_GBK" w:cs="Times New Roman"/>
                <w:sz w:val="22"/>
              </w:rPr>
            </w:pPr>
            <w:r>
              <w:rPr>
                <w:rFonts w:hint="eastAsia" w:ascii="方正楷体_GBK" w:eastAsia="方正楷体_GBK" w:cs="Times New Roman"/>
                <w:sz w:val="22"/>
                <w:szCs w:val="22"/>
              </w:rPr>
              <w:t>1101</w:t>
            </w:r>
          </w:p>
        </w:tc>
        <w:tc>
          <w:tcPr>
            <w:tcW w:w="489" w:type="pct"/>
            <w:shd w:val="clear" w:color="auto" w:fill="auto"/>
            <w:noWrap/>
            <w:vAlign w:val="center"/>
          </w:tcPr>
          <w:p w14:paraId="30976AC0">
            <w:pPr>
              <w:widowControl/>
              <w:spacing w:before="20" w:after="20" w:line="240" w:lineRule="auto"/>
              <w:ind w:firstLine="0" w:firstLineChars="0"/>
              <w:jc w:val="center"/>
              <w:rPr>
                <w:rFonts w:ascii="方正楷体_GBK" w:eastAsia="方正楷体_GBK" w:cs="Times New Roman"/>
                <w:sz w:val="22"/>
              </w:rPr>
            </w:pPr>
            <w:r>
              <w:rPr>
                <w:rFonts w:hint="eastAsia" w:ascii="方正楷体_GBK" w:eastAsia="方正楷体_GBK" w:cs="Times New Roman"/>
                <w:sz w:val="22"/>
                <w:szCs w:val="22"/>
              </w:rPr>
              <w:t>14070</w:t>
            </w:r>
          </w:p>
        </w:tc>
      </w:tr>
      <w:tr w14:paraId="16C9F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3" w:type="pct"/>
            <w:vMerge w:val="restart"/>
            <w:shd w:val="clear" w:color="auto" w:fill="auto"/>
            <w:noWrap/>
            <w:vAlign w:val="center"/>
          </w:tcPr>
          <w:p w14:paraId="08F4A825">
            <w:pPr>
              <w:widowControl/>
              <w:spacing w:before="20" w:after="20" w:line="240" w:lineRule="auto"/>
              <w:ind w:firstLine="0" w:firstLineChars="0"/>
              <w:jc w:val="center"/>
              <w:rPr>
                <w:rFonts w:ascii="方正楷体_GBK" w:eastAsia="方正楷体_GBK" w:cs="Times New Roman"/>
                <w:sz w:val="22"/>
              </w:rPr>
            </w:pPr>
            <w:r>
              <w:rPr>
                <w:rFonts w:hint="eastAsia" w:ascii="方正楷体_GBK" w:eastAsia="方正楷体_GBK" w:cs="Times New Roman"/>
                <w:sz w:val="22"/>
              </w:rPr>
              <w:t>总用水量</w:t>
            </w:r>
          </w:p>
        </w:tc>
        <w:tc>
          <w:tcPr>
            <w:tcW w:w="753" w:type="pct"/>
            <w:shd w:val="clear" w:color="auto" w:fill="auto"/>
            <w:noWrap/>
            <w:vAlign w:val="center"/>
          </w:tcPr>
          <w:p w14:paraId="386F7459">
            <w:pPr>
              <w:widowControl/>
              <w:spacing w:before="20" w:after="20" w:line="240" w:lineRule="auto"/>
              <w:ind w:firstLine="0" w:firstLineChars="0"/>
              <w:jc w:val="center"/>
              <w:rPr>
                <w:rFonts w:ascii="方正楷体_GBK" w:eastAsia="方正楷体_GBK" w:cs="Times New Roman"/>
                <w:sz w:val="22"/>
              </w:rPr>
            </w:pPr>
            <w:r>
              <w:rPr>
                <w:rFonts w:hint="eastAsia" w:ascii="方正楷体_GBK" w:eastAsia="方正楷体_GBK" w:cs="Times New Roman"/>
                <w:sz w:val="22"/>
              </w:rPr>
              <w:t>总用水量</w:t>
            </w:r>
          </w:p>
        </w:tc>
        <w:tc>
          <w:tcPr>
            <w:tcW w:w="501" w:type="pct"/>
            <w:shd w:val="clear" w:color="auto" w:fill="auto"/>
            <w:noWrap/>
            <w:vAlign w:val="center"/>
          </w:tcPr>
          <w:p w14:paraId="02350468">
            <w:pPr>
              <w:widowControl/>
              <w:spacing w:before="20" w:after="20" w:line="240" w:lineRule="auto"/>
              <w:ind w:firstLine="0" w:firstLineChars="0"/>
              <w:jc w:val="center"/>
              <w:rPr>
                <w:rFonts w:ascii="方正楷体_GBK" w:eastAsia="方正楷体_GBK" w:cs="Times New Roman"/>
                <w:sz w:val="22"/>
              </w:rPr>
            </w:pPr>
            <w:r>
              <w:rPr>
                <w:rFonts w:hint="eastAsia" w:ascii="方正楷体_GBK" w:eastAsia="方正楷体_GBK" w:cs="Times New Roman"/>
                <w:sz w:val="22"/>
                <w:szCs w:val="22"/>
              </w:rPr>
              <w:t>109589</w:t>
            </w:r>
          </w:p>
        </w:tc>
        <w:tc>
          <w:tcPr>
            <w:tcW w:w="501" w:type="pct"/>
            <w:shd w:val="clear" w:color="auto" w:fill="auto"/>
            <w:noWrap/>
            <w:vAlign w:val="center"/>
          </w:tcPr>
          <w:p w14:paraId="4410EE03">
            <w:pPr>
              <w:widowControl/>
              <w:spacing w:before="20" w:after="20" w:line="240" w:lineRule="auto"/>
              <w:ind w:firstLine="0" w:firstLineChars="0"/>
              <w:jc w:val="center"/>
              <w:rPr>
                <w:rFonts w:ascii="方正楷体_GBK" w:eastAsia="方正楷体_GBK" w:cs="Times New Roman"/>
                <w:sz w:val="22"/>
              </w:rPr>
            </w:pPr>
            <w:r>
              <w:rPr>
                <w:rFonts w:hint="eastAsia" w:ascii="方正楷体_GBK" w:eastAsia="方正楷体_GBK" w:cs="Times New Roman"/>
                <w:sz w:val="22"/>
                <w:szCs w:val="22"/>
              </w:rPr>
              <w:t>37365</w:t>
            </w:r>
          </w:p>
        </w:tc>
        <w:tc>
          <w:tcPr>
            <w:tcW w:w="501" w:type="pct"/>
            <w:shd w:val="clear" w:color="auto" w:fill="auto"/>
            <w:noWrap/>
            <w:vAlign w:val="center"/>
          </w:tcPr>
          <w:p w14:paraId="18218BBC">
            <w:pPr>
              <w:widowControl/>
              <w:spacing w:before="20" w:after="20" w:line="240" w:lineRule="auto"/>
              <w:ind w:firstLine="0" w:firstLineChars="0"/>
              <w:jc w:val="center"/>
              <w:rPr>
                <w:rFonts w:ascii="方正楷体_GBK" w:eastAsia="方正楷体_GBK" w:cs="Times New Roman"/>
                <w:sz w:val="22"/>
              </w:rPr>
            </w:pPr>
            <w:r>
              <w:rPr>
                <w:rFonts w:hint="eastAsia" w:ascii="方正楷体_GBK" w:eastAsia="方正楷体_GBK" w:cs="Times New Roman"/>
                <w:sz w:val="22"/>
                <w:szCs w:val="22"/>
              </w:rPr>
              <w:t>15569</w:t>
            </w:r>
          </w:p>
        </w:tc>
        <w:tc>
          <w:tcPr>
            <w:tcW w:w="501" w:type="pct"/>
            <w:shd w:val="clear" w:color="auto" w:fill="auto"/>
            <w:noWrap/>
            <w:vAlign w:val="center"/>
          </w:tcPr>
          <w:p w14:paraId="046917E5">
            <w:pPr>
              <w:widowControl/>
              <w:spacing w:before="20" w:after="20" w:line="240" w:lineRule="auto"/>
              <w:ind w:firstLine="0" w:firstLineChars="0"/>
              <w:jc w:val="center"/>
              <w:rPr>
                <w:rFonts w:ascii="方正楷体_GBK" w:eastAsia="方正楷体_GBK" w:cs="Times New Roman"/>
                <w:sz w:val="22"/>
              </w:rPr>
            </w:pPr>
            <w:r>
              <w:rPr>
                <w:rFonts w:hint="eastAsia" w:ascii="方正楷体_GBK" w:eastAsia="方正楷体_GBK" w:cs="Times New Roman"/>
                <w:sz w:val="22"/>
                <w:szCs w:val="22"/>
              </w:rPr>
              <w:t>191561</w:t>
            </w:r>
          </w:p>
        </w:tc>
        <w:tc>
          <w:tcPr>
            <w:tcW w:w="501" w:type="pct"/>
            <w:shd w:val="clear" w:color="auto" w:fill="auto"/>
            <w:noWrap/>
            <w:vAlign w:val="center"/>
          </w:tcPr>
          <w:p w14:paraId="7F346622">
            <w:pPr>
              <w:widowControl/>
              <w:spacing w:before="20" w:after="20" w:line="240" w:lineRule="auto"/>
              <w:ind w:firstLine="0" w:firstLineChars="0"/>
              <w:jc w:val="center"/>
              <w:rPr>
                <w:rFonts w:ascii="方正楷体_GBK" w:eastAsia="方正楷体_GBK" w:cs="Times New Roman"/>
                <w:sz w:val="22"/>
              </w:rPr>
            </w:pPr>
            <w:r>
              <w:rPr>
                <w:rFonts w:hint="eastAsia" w:ascii="方正楷体_GBK" w:eastAsia="方正楷体_GBK" w:cs="Times New Roman"/>
                <w:sz w:val="22"/>
                <w:szCs w:val="22"/>
              </w:rPr>
              <w:t>61410</w:t>
            </w:r>
          </w:p>
        </w:tc>
        <w:tc>
          <w:tcPr>
            <w:tcW w:w="501" w:type="pct"/>
            <w:shd w:val="clear" w:color="auto" w:fill="auto"/>
            <w:noWrap/>
            <w:vAlign w:val="center"/>
          </w:tcPr>
          <w:p w14:paraId="32DCFED3">
            <w:pPr>
              <w:widowControl/>
              <w:spacing w:before="20" w:after="20" w:line="240" w:lineRule="auto"/>
              <w:ind w:firstLine="0" w:firstLineChars="0"/>
              <w:jc w:val="center"/>
              <w:rPr>
                <w:rFonts w:ascii="方正楷体_GBK" w:eastAsia="方正楷体_GBK" w:cs="Times New Roman"/>
                <w:sz w:val="22"/>
              </w:rPr>
            </w:pPr>
            <w:r>
              <w:rPr>
                <w:rFonts w:hint="eastAsia" w:ascii="方正楷体_GBK" w:eastAsia="方正楷体_GBK" w:cs="Times New Roman"/>
                <w:sz w:val="22"/>
                <w:szCs w:val="22"/>
              </w:rPr>
              <w:t>89505</w:t>
            </w:r>
          </w:p>
        </w:tc>
        <w:tc>
          <w:tcPr>
            <w:tcW w:w="489" w:type="pct"/>
            <w:shd w:val="clear" w:color="auto" w:fill="auto"/>
            <w:noWrap/>
            <w:vAlign w:val="center"/>
          </w:tcPr>
          <w:p w14:paraId="4136B3E5">
            <w:pPr>
              <w:widowControl/>
              <w:spacing w:before="20" w:after="20" w:line="240" w:lineRule="auto"/>
              <w:ind w:firstLine="0" w:firstLineChars="0"/>
              <w:jc w:val="center"/>
              <w:rPr>
                <w:rFonts w:ascii="方正楷体_GBK" w:eastAsia="方正楷体_GBK" w:cs="Times New Roman"/>
                <w:sz w:val="22"/>
              </w:rPr>
            </w:pPr>
            <w:r>
              <w:rPr>
                <w:rFonts w:hint="eastAsia" w:ascii="方正楷体_GBK" w:eastAsia="方正楷体_GBK" w:cs="Times New Roman"/>
                <w:sz w:val="22"/>
                <w:szCs w:val="22"/>
              </w:rPr>
              <w:t>505000</w:t>
            </w:r>
          </w:p>
        </w:tc>
      </w:tr>
      <w:tr w14:paraId="28B4B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3" w:type="pct"/>
            <w:vMerge w:val="continue"/>
            <w:shd w:val="clear" w:color="auto" w:fill="auto"/>
            <w:noWrap/>
            <w:vAlign w:val="center"/>
          </w:tcPr>
          <w:p w14:paraId="7DB8C93C">
            <w:pPr>
              <w:widowControl/>
              <w:spacing w:before="20" w:after="20" w:line="240" w:lineRule="auto"/>
              <w:ind w:firstLine="440" w:firstLineChars="0"/>
              <w:jc w:val="center"/>
              <w:rPr>
                <w:rFonts w:ascii="方正楷体_GBK" w:eastAsia="方正楷体_GBK" w:cs="Times New Roman"/>
                <w:sz w:val="22"/>
              </w:rPr>
            </w:pPr>
          </w:p>
        </w:tc>
        <w:tc>
          <w:tcPr>
            <w:tcW w:w="753" w:type="pct"/>
            <w:shd w:val="clear" w:color="auto" w:fill="auto"/>
            <w:noWrap/>
            <w:vAlign w:val="center"/>
          </w:tcPr>
          <w:p w14:paraId="346C0E8C">
            <w:pPr>
              <w:widowControl/>
              <w:spacing w:before="20" w:after="20" w:line="240" w:lineRule="auto"/>
              <w:ind w:firstLine="0" w:firstLineChars="0"/>
              <w:jc w:val="center"/>
              <w:rPr>
                <w:rFonts w:ascii="方正楷体_GBK" w:eastAsia="方正楷体_GBK" w:cs="Times New Roman"/>
                <w:sz w:val="22"/>
              </w:rPr>
            </w:pPr>
            <w:r>
              <w:rPr>
                <w:rFonts w:hint="eastAsia" w:ascii="方正楷体_GBK" w:eastAsia="方正楷体_GBK" w:cs="Times New Roman"/>
                <w:sz w:val="22"/>
              </w:rPr>
              <w:t>其中地下水</w:t>
            </w:r>
          </w:p>
        </w:tc>
        <w:tc>
          <w:tcPr>
            <w:tcW w:w="501" w:type="pct"/>
            <w:shd w:val="clear" w:color="auto" w:fill="auto"/>
            <w:noWrap/>
            <w:vAlign w:val="center"/>
          </w:tcPr>
          <w:p w14:paraId="0BB95388">
            <w:pPr>
              <w:widowControl/>
              <w:spacing w:before="20" w:after="20" w:line="240" w:lineRule="auto"/>
              <w:ind w:firstLine="0" w:firstLineChars="0"/>
              <w:jc w:val="center"/>
              <w:rPr>
                <w:rFonts w:ascii="方正楷体_GBK" w:eastAsia="方正楷体_GBK" w:cs="Times New Roman"/>
                <w:sz w:val="22"/>
              </w:rPr>
            </w:pPr>
            <w:r>
              <w:rPr>
                <w:rFonts w:hint="eastAsia" w:ascii="方正楷体_GBK" w:eastAsia="方正楷体_GBK" w:cs="Times New Roman"/>
                <w:sz w:val="22"/>
                <w:szCs w:val="22"/>
              </w:rPr>
              <w:t>76</w:t>
            </w:r>
          </w:p>
        </w:tc>
        <w:tc>
          <w:tcPr>
            <w:tcW w:w="501" w:type="pct"/>
            <w:shd w:val="clear" w:color="auto" w:fill="auto"/>
            <w:noWrap/>
            <w:vAlign w:val="center"/>
          </w:tcPr>
          <w:p w14:paraId="497017DC">
            <w:pPr>
              <w:widowControl/>
              <w:spacing w:before="20" w:after="20" w:line="240" w:lineRule="auto"/>
              <w:ind w:firstLine="0" w:firstLineChars="0"/>
              <w:jc w:val="center"/>
              <w:rPr>
                <w:rFonts w:ascii="方正楷体_GBK" w:eastAsia="方正楷体_GBK" w:cs="Times New Roman"/>
                <w:sz w:val="22"/>
              </w:rPr>
            </w:pPr>
            <w:r>
              <w:rPr>
                <w:rFonts w:hint="eastAsia" w:ascii="方正楷体_GBK" w:eastAsia="方正楷体_GBK" w:cs="Times New Roman"/>
                <w:sz w:val="22"/>
                <w:szCs w:val="22"/>
              </w:rPr>
              <w:t>35</w:t>
            </w:r>
          </w:p>
        </w:tc>
        <w:tc>
          <w:tcPr>
            <w:tcW w:w="501" w:type="pct"/>
            <w:shd w:val="clear" w:color="auto" w:fill="auto"/>
            <w:noWrap/>
            <w:vAlign w:val="center"/>
          </w:tcPr>
          <w:p w14:paraId="0F3279B5">
            <w:pPr>
              <w:widowControl/>
              <w:spacing w:before="20" w:after="20" w:line="240" w:lineRule="auto"/>
              <w:ind w:firstLine="0" w:firstLineChars="0"/>
              <w:jc w:val="center"/>
              <w:rPr>
                <w:rFonts w:ascii="方正楷体_GBK" w:eastAsia="方正楷体_GBK" w:cs="Times New Roman"/>
                <w:sz w:val="22"/>
              </w:rPr>
            </w:pPr>
            <w:r>
              <w:rPr>
                <w:rFonts w:hint="eastAsia" w:ascii="方正楷体_GBK" w:eastAsia="方正楷体_GBK" w:cs="Times New Roman"/>
                <w:sz w:val="22"/>
                <w:szCs w:val="22"/>
              </w:rPr>
              <w:t>15</w:t>
            </w:r>
          </w:p>
        </w:tc>
        <w:tc>
          <w:tcPr>
            <w:tcW w:w="501" w:type="pct"/>
            <w:shd w:val="clear" w:color="auto" w:fill="auto"/>
            <w:noWrap/>
            <w:vAlign w:val="center"/>
          </w:tcPr>
          <w:p w14:paraId="5D24C143">
            <w:pPr>
              <w:widowControl/>
              <w:spacing w:before="20" w:after="20" w:line="240" w:lineRule="auto"/>
              <w:ind w:firstLine="0" w:firstLineChars="0"/>
              <w:jc w:val="center"/>
              <w:rPr>
                <w:rFonts w:ascii="方正楷体_GBK" w:eastAsia="方正楷体_GBK" w:cs="Times New Roman"/>
                <w:sz w:val="22"/>
              </w:rPr>
            </w:pPr>
            <w:r>
              <w:rPr>
                <w:rFonts w:hint="eastAsia" w:ascii="方正楷体_GBK" w:eastAsia="方正楷体_GBK" w:cs="Times New Roman"/>
                <w:sz w:val="22"/>
                <w:szCs w:val="22"/>
              </w:rPr>
              <w:t>20</w:t>
            </w:r>
          </w:p>
        </w:tc>
        <w:tc>
          <w:tcPr>
            <w:tcW w:w="501" w:type="pct"/>
            <w:shd w:val="clear" w:color="auto" w:fill="auto"/>
            <w:noWrap/>
            <w:vAlign w:val="center"/>
          </w:tcPr>
          <w:p w14:paraId="68A271B7">
            <w:pPr>
              <w:widowControl/>
              <w:spacing w:before="20" w:after="20" w:line="240" w:lineRule="auto"/>
              <w:ind w:firstLine="0" w:firstLineChars="0"/>
              <w:jc w:val="center"/>
              <w:rPr>
                <w:rFonts w:ascii="方正楷体_GBK" w:eastAsia="方正楷体_GBK" w:cs="Times New Roman"/>
                <w:sz w:val="22"/>
              </w:rPr>
            </w:pPr>
            <w:r>
              <w:rPr>
                <w:rFonts w:hint="eastAsia" w:ascii="方正楷体_GBK" w:eastAsia="方正楷体_GBK" w:cs="Times New Roman"/>
                <w:sz w:val="22"/>
                <w:szCs w:val="22"/>
              </w:rPr>
              <w:t>0</w:t>
            </w:r>
          </w:p>
        </w:tc>
        <w:tc>
          <w:tcPr>
            <w:tcW w:w="501" w:type="pct"/>
            <w:shd w:val="clear" w:color="auto" w:fill="auto"/>
            <w:noWrap/>
            <w:vAlign w:val="center"/>
          </w:tcPr>
          <w:p w14:paraId="271EFEA0">
            <w:pPr>
              <w:widowControl/>
              <w:spacing w:before="20" w:after="20" w:line="240" w:lineRule="auto"/>
              <w:ind w:firstLine="0" w:firstLineChars="0"/>
              <w:jc w:val="center"/>
              <w:rPr>
                <w:rFonts w:ascii="方正楷体_GBK" w:eastAsia="方正楷体_GBK" w:cs="Times New Roman"/>
                <w:sz w:val="22"/>
              </w:rPr>
            </w:pPr>
            <w:r>
              <w:rPr>
                <w:rFonts w:hint="eastAsia" w:ascii="方正楷体_GBK" w:eastAsia="方正楷体_GBK" w:cs="Times New Roman"/>
                <w:sz w:val="22"/>
                <w:szCs w:val="22"/>
              </w:rPr>
              <w:t>4</w:t>
            </w:r>
          </w:p>
        </w:tc>
        <w:tc>
          <w:tcPr>
            <w:tcW w:w="489" w:type="pct"/>
            <w:shd w:val="clear" w:color="auto" w:fill="auto"/>
            <w:noWrap/>
            <w:vAlign w:val="center"/>
          </w:tcPr>
          <w:p w14:paraId="69F0CDE6">
            <w:pPr>
              <w:widowControl/>
              <w:spacing w:before="20" w:after="20" w:line="240" w:lineRule="auto"/>
              <w:ind w:firstLine="0" w:firstLineChars="0"/>
              <w:jc w:val="center"/>
              <w:rPr>
                <w:rFonts w:ascii="方正楷体_GBK" w:eastAsia="方正楷体_GBK" w:cs="Times New Roman"/>
                <w:sz w:val="22"/>
              </w:rPr>
            </w:pPr>
            <w:r>
              <w:rPr>
                <w:rFonts w:hint="eastAsia" w:ascii="方正楷体_GBK" w:eastAsia="方正楷体_GBK" w:cs="Times New Roman"/>
                <w:sz w:val="22"/>
                <w:szCs w:val="22"/>
              </w:rPr>
              <w:t>150</w:t>
            </w:r>
          </w:p>
        </w:tc>
      </w:tr>
    </w:tbl>
    <w:p w14:paraId="4113F968">
      <w:pPr>
        <w:ind w:firstLine="480"/>
      </w:pPr>
    </w:p>
    <w:p w14:paraId="4795C5FC">
      <w:pPr>
        <w:pStyle w:val="64"/>
      </w:pPr>
      <w:r>
        <w:rPr>
          <w:rFonts w:hint="eastAsia"/>
        </w:rPr>
        <w:t>表</w:t>
      </w:r>
      <w:r>
        <w:t>4.2-5</w:t>
      </w:r>
      <w:r>
        <w:rPr>
          <w:rFonts w:hint="eastAsia"/>
        </w:rPr>
        <w:t xml:space="preserve">  </w:t>
      </w:r>
      <w:r>
        <w:t>2035</w:t>
      </w:r>
      <w:r>
        <w:rPr>
          <w:rFonts w:hint="eastAsia"/>
        </w:rPr>
        <w:t>年泰州市供水水源配置方案     单位：万m</w:t>
      </w:r>
      <w:r>
        <w:rPr>
          <w:rFonts w:ascii="Calibri" w:hAnsi="Calibri" w:cs="Calibri"/>
        </w:rPr>
        <w:t>³</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7"/>
        <w:gridCol w:w="1601"/>
        <w:gridCol w:w="1057"/>
        <w:gridCol w:w="1057"/>
        <w:gridCol w:w="839"/>
        <w:gridCol w:w="787"/>
        <w:gridCol w:w="1057"/>
        <w:gridCol w:w="1057"/>
        <w:gridCol w:w="840"/>
      </w:tblGrid>
      <w:tr w14:paraId="50CFD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433" w:type="pct"/>
            <w:vMerge w:val="restart"/>
            <w:shd w:val="clear" w:color="auto" w:fill="auto"/>
            <w:noWrap/>
            <w:vAlign w:val="center"/>
          </w:tcPr>
          <w:p w14:paraId="7313E116">
            <w:pPr>
              <w:widowControl/>
              <w:spacing w:before="20" w:after="20" w:line="240" w:lineRule="auto"/>
              <w:ind w:firstLine="0" w:firstLineChars="0"/>
              <w:jc w:val="center"/>
              <w:rPr>
                <w:rFonts w:eastAsia="方正楷体_GBK" w:cs="Times New Roman"/>
                <w:b/>
                <w:sz w:val="22"/>
                <w:szCs w:val="22"/>
              </w:rPr>
            </w:pPr>
            <w:r>
              <w:rPr>
                <w:rFonts w:eastAsia="方正楷体_GBK" w:cs="Times New Roman"/>
                <w:b/>
                <w:sz w:val="22"/>
                <w:szCs w:val="22"/>
              </w:rPr>
              <w:t>频率</w:t>
            </w:r>
          </w:p>
        </w:tc>
        <w:tc>
          <w:tcPr>
            <w:tcW w:w="881" w:type="pct"/>
            <w:vMerge w:val="restart"/>
            <w:shd w:val="clear" w:color="auto" w:fill="auto"/>
            <w:noWrap/>
            <w:vAlign w:val="center"/>
          </w:tcPr>
          <w:p w14:paraId="61AC0153">
            <w:pPr>
              <w:widowControl/>
              <w:spacing w:before="20" w:after="20" w:line="240" w:lineRule="auto"/>
              <w:ind w:firstLine="0" w:firstLineChars="0"/>
              <w:jc w:val="center"/>
              <w:rPr>
                <w:rFonts w:eastAsia="方正楷体_GBK" w:cs="Times New Roman"/>
                <w:b/>
                <w:sz w:val="22"/>
                <w:szCs w:val="22"/>
              </w:rPr>
            </w:pPr>
            <w:r>
              <w:rPr>
                <w:rFonts w:eastAsia="方正楷体_GBK" w:cs="Times New Roman"/>
                <w:b/>
                <w:sz w:val="22"/>
                <w:szCs w:val="22"/>
              </w:rPr>
              <w:t>区域</w:t>
            </w:r>
          </w:p>
        </w:tc>
        <w:tc>
          <w:tcPr>
            <w:tcW w:w="1164" w:type="pct"/>
            <w:gridSpan w:val="2"/>
            <w:shd w:val="clear" w:color="auto" w:fill="auto"/>
            <w:noWrap/>
            <w:vAlign w:val="center"/>
          </w:tcPr>
          <w:p w14:paraId="29AD48A7">
            <w:pPr>
              <w:widowControl/>
              <w:spacing w:before="20" w:after="20" w:line="240" w:lineRule="auto"/>
              <w:ind w:firstLine="0" w:firstLineChars="0"/>
              <w:jc w:val="center"/>
              <w:rPr>
                <w:rFonts w:eastAsia="方正楷体_GBK" w:cs="Times New Roman"/>
                <w:b/>
                <w:sz w:val="22"/>
                <w:szCs w:val="22"/>
              </w:rPr>
            </w:pPr>
            <w:r>
              <w:rPr>
                <w:rFonts w:eastAsia="方正楷体_GBK" w:cs="Times New Roman"/>
                <w:b/>
                <w:sz w:val="22"/>
                <w:szCs w:val="22"/>
              </w:rPr>
              <w:t>长江</w:t>
            </w:r>
          </w:p>
        </w:tc>
        <w:tc>
          <w:tcPr>
            <w:tcW w:w="462" w:type="pct"/>
            <w:vMerge w:val="restart"/>
            <w:shd w:val="clear" w:color="auto" w:fill="auto"/>
            <w:noWrap/>
            <w:vAlign w:val="center"/>
          </w:tcPr>
          <w:p w14:paraId="052848F5">
            <w:pPr>
              <w:widowControl/>
              <w:spacing w:before="20" w:after="20" w:line="240" w:lineRule="auto"/>
              <w:ind w:firstLine="0" w:firstLineChars="0"/>
              <w:jc w:val="center"/>
              <w:rPr>
                <w:rFonts w:eastAsia="方正楷体_GBK" w:cs="Times New Roman"/>
                <w:b/>
                <w:sz w:val="22"/>
                <w:szCs w:val="22"/>
              </w:rPr>
            </w:pPr>
            <w:r>
              <w:rPr>
                <w:rFonts w:eastAsia="方正楷体_GBK" w:cs="Times New Roman"/>
                <w:b/>
                <w:sz w:val="22"/>
                <w:szCs w:val="22"/>
              </w:rPr>
              <w:t>小计</w:t>
            </w:r>
          </w:p>
        </w:tc>
        <w:tc>
          <w:tcPr>
            <w:tcW w:w="433" w:type="pct"/>
            <w:vMerge w:val="restart"/>
            <w:shd w:val="clear" w:color="auto" w:fill="auto"/>
            <w:noWrap/>
            <w:vAlign w:val="center"/>
          </w:tcPr>
          <w:p w14:paraId="2AC71914">
            <w:pPr>
              <w:widowControl/>
              <w:spacing w:before="20" w:after="20" w:line="240" w:lineRule="auto"/>
              <w:ind w:firstLine="0" w:firstLineChars="0"/>
              <w:jc w:val="center"/>
              <w:rPr>
                <w:rFonts w:eastAsia="方正楷体_GBK" w:cs="Times New Roman"/>
                <w:b/>
                <w:sz w:val="22"/>
                <w:szCs w:val="22"/>
              </w:rPr>
            </w:pPr>
            <w:r>
              <w:rPr>
                <w:rFonts w:eastAsia="方正楷体_GBK" w:cs="Times New Roman"/>
                <w:b/>
                <w:sz w:val="22"/>
                <w:szCs w:val="22"/>
              </w:rPr>
              <w:t>本地</w:t>
            </w:r>
          </w:p>
          <w:p w14:paraId="5B9518F1">
            <w:pPr>
              <w:widowControl/>
              <w:spacing w:before="20" w:after="20" w:line="240" w:lineRule="auto"/>
              <w:ind w:firstLine="0" w:firstLineChars="0"/>
              <w:jc w:val="center"/>
              <w:rPr>
                <w:rFonts w:eastAsia="方正楷体_GBK" w:cs="Times New Roman"/>
                <w:b/>
                <w:sz w:val="22"/>
                <w:szCs w:val="22"/>
              </w:rPr>
            </w:pPr>
            <w:r>
              <w:rPr>
                <w:rFonts w:eastAsia="方正楷体_GBK" w:cs="Times New Roman"/>
                <w:b/>
                <w:sz w:val="22"/>
                <w:szCs w:val="22"/>
              </w:rPr>
              <w:t>河网</w:t>
            </w:r>
          </w:p>
        </w:tc>
        <w:tc>
          <w:tcPr>
            <w:tcW w:w="582" w:type="pct"/>
            <w:vMerge w:val="restart"/>
            <w:shd w:val="clear" w:color="auto" w:fill="auto"/>
            <w:noWrap/>
            <w:vAlign w:val="center"/>
          </w:tcPr>
          <w:p w14:paraId="5CFAC3CF">
            <w:pPr>
              <w:widowControl/>
              <w:spacing w:before="20" w:after="20" w:line="240" w:lineRule="auto"/>
              <w:ind w:firstLine="0" w:firstLineChars="0"/>
              <w:jc w:val="center"/>
              <w:rPr>
                <w:rFonts w:eastAsia="方正楷体_GBK" w:cs="Times New Roman"/>
                <w:b/>
                <w:sz w:val="22"/>
                <w:szCs w:val="22"/>
              </w:rPr>
            </w:pPr>
            <w:r>
              <w:rPr>
                <w:rFonts w:eastAsia="方正楷体_GBK" w:cs="Times New Roman"/>
                <w:b/>
                <w:sz w:val="22"/>
                <w:szCs w:val="22"/>
              </w:rPr>
              <w:t>地下水</w:t>
            </w:r>
          </w:p>
        </w:tc>
        <w:tc>
          <w:tcPr>
            <w:tcW w:w="582" w:type="pct"/>
            <w:vMerge w:val="restart"/>
            <w:shd w:val="clear" w:color="auto" w:fill="auto"/>
            <w:noWrap/>
            <w:vAlign w:val="center"/>
          </w:tcPr>
          <w:p w14:paraId="62A1B820">
            <w:pPr>
              <w:widowControl/>
              <w:spacing w:before="20" w:after="20" w:line="240" w:lineRule="auto"/>
              <w:ind w:firstLine="0" w:firstLineChars="0"/>
              <w:jc w:val="center"/>
              <w:rPr>
                <w:rFonts w:eastAsia="方正楷体_GBK" w:cs="Times New Roman"/>
                <w:b/>
                <w:sz w:val="22"/>
                <w:szCs w:val="22"/>
              </w:rPr>
            </w:pPr>
            <w:r>
              <w:rPr>
                <w:rFonts w:eastAsia="方正楷体_GBK" w:cs="Times New Roman"/>
                <w:b/>
                <w:sz w:val="22"/>
                <w:szCs w:val="22"/>
              </w:rPr>
              <w:t>非常</w:t>
            </w:r>
          </w:p>
          <w:p w14:paraId="721D695D">
            <w:pPr>
              <w:widowControl/>
              <w:spacing w:before="20" w:after="20" w:line="240" w:lineRule="auto"/>
              <w:ind w:firstLine="0" w:firstLineChars="0"/>
              <w:jc w:val="center"/>
              <w:rPr>
                <w:rFonts w:eastAsia="方正楷体_GBK" w:cs="Times New Roman"/>
                <w:b/>
                <w:sz w:val="22"/>
                <w:szCs w:val="22"/>
              </w:rPr>
            </w:pPr>
            <w:r>
              <w:rPr>
                <w:rFonts w:eastAsia="方正楷体_GBK" w:cs="Times New Roman"/>
                <w:b/>
                <w:sz w:val="22"/>
                <w:szCs w:val="22"/>
              </w:rPr>
              <w:t>规水源</w:t>
            </w:r>
          </w:p>
        </w:tc>
        <w:tc>
          <w:tcPr>
            <w:tcW w:w="462" w:type="pct"/>
            <w:vMerge w:val="restart"/>
            <w:shd w:val="clear" w:color="auto" w:fill="auto"/>
            <w:noWrap/>
            <w:vAlign w:val="center"/>
          </w:tcPr>
          <w:p w14:paraId="7A8E179F">
            <w:pPr>
              <w:widowControl/>
              <w:spacing w:before="20" w:after="20" w:line="240" w:lineRule="auto"/>
              <w:ind w:firstLine="0" w:firstLineChars="0"/>
              <w:jc w:val="center"/>
              <w:rPr>
                <w:rFonts w:eastAsia="方正楷体_GBK" w:cs="Times New Roman"/>
                <w:b/>
                <w:sz w:val="22"/>
                <w:szCs w:val="22"/>
              </w:rPr>
            </w:pPr>
            <w:r>
              <w:rPr>
                <w:rFonts w:eastAsia="方正楷体_GBK" w:cs="Times New Roman"/>
                <w:b/>
                <w:sz w:val="22"/>
                <w:szCs w:val="22"/>
              </w:rPr>
              <w:t>合计</w:t>
            </w:r>
          </w:p>
        </w:tc>
      </w:tr>
      <w:tr w14:paraId="46780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blHeader/>
        </w:trPr>
        <w:tc>
          <w:tcPr>
            <w:tcW w:w="433" w:type="pct"/>
            <w:vMerge w:val="continue"/>
            <w:shd w:val="clear" w:color="auto" w:fill="auto"/>
            <w:vAlign w:val="center"/>
          </w:tcPr>
          <w:p w14:paraId="1D7C2A33">
            <w:pPr>
              <w:widowControl/>
              <w:spacing w:before="20" w:after="20" w:line="240" w:lineRule="auto"/>
              <w:ind w:firstLine="0" w:firstLineChars="0"/>
              <w:jc w:val="center"/>
              <w:rPr>
                <w:rFonts w:eastAsia="方正楷体_GBK" w:cs="Times New Roman"/>
                <w:b/>
                <w:sz w:val="22"/>
                <w:szCs w:val="22"/>
              </w:rPr>
            </w:pPr>
          </w:p>
        </w:tc>
        <w:tc>
          <w:tcPr>
            <w:tcW w:w="881" w:type="pct"/>
            <w:vMerge w:val="continue"/>
            <w:shd w:val="clear" w:color="auto" w:fill="auto"/>
            <w:vAlign w:val="center"/>
          </w:tcPr>
          <w:p w14:paraId="7087C703">
            <w:pPr>
              <w:widowControl/>
              <w:spacing w:before="20" w:after="20" w:line="240" w:lineRule="auto"/>
              <w:ind w:firstLine="0" w:firstLineChars="0"/>
              <w:jc w:val="center"/>
              <w:rPr>
                <w:rFonts w:eastAsia="方正楷体_GBK" w:cs="Times New Roman"/>
                <w:b/>
                <w:sz w:val="22"/>
                <w:szCs w:val="22"/>
              </w:rPr>
            </w:pPr>
          </w:p>
        </w:tc>
        <w:tc>
          <w:tcPr>
            <w:tcW w:w="582" w:type="pct"/>
            <w:shd w:val="clear" w:color="auto" w:fill="auto"/>
            <w:noWrap/>
            <w:vAlign w:val="center"/>
          </w:tcPr>
          <w:p w14:paraId="29806C51">
            <w:pPr>
              <w:widowControl/>
              <w:spacing w:before="20" w:after="20" w:line="240" w:lineRule="auto"/>
              <w:ind w:firstLine="0" w:firstLineChars="0"/>
              <w:jc w:val="center"/>
              <w:rPr>
                <w:rFonts w:eastAsia="方正楷体_GBK" w:cs="Times New Roman"/>
                <w:b/>
                <w:sz w:val="22"/>
                <w:szCs w:val="22"/>
              </w:rPr>
            </w:pPr>
            <w:r>
              <w:rPr>
                <w:rFonts w:eastAsia="方正楷体_GBK" w:cs="Times New Roman"/>
                <w:b/>
                <w:sz w:val="22"/>
                <w:szCs w:val="22"/>
              </w:rPr>
              <w:t>公共自</w:t>
            </w:r>
          </w:p>
          <w:p w14:paraId="5046771A">
            <w:pPr>
              <w:widowControl/>
              <w:spacing w:before="20" w:after="20" w:line="240" w:lineRule="auto"/>
              <w:ind w:firstLine="0" w:firstLineChars="0"/>
              <w:jc w:val="center"/>
              <w:rPr>
                <w:rFonts w:eastAsia="方正楷体_GBK" w:cs="Times New Roman"/>
                <w:b/>
                <w:sz w:val="22"/>
                <w:szCs w:val="22"/>
              </w:rPr>
            </w:pPr>
            <w:r>
              <w:rPr>
                <w:rFonts w:eastAsia="方正楷体_GBK" w:cs="Times New Roman"/>
                <w:b/>
                <w:sz w:val="22"/>
                <w:szCs w:val="22"/>
              </w:rPr>
              <w:t>来水厂</w:t>
            </w:r>
          </w:p>
        </w:tc>
        <w:tc>
          <w:tcPr>
            <w:tcW w:w="582" w:type="pct"/>
            <w:shd w:val="clear" w:color="auto" w:fill="auto"/>
            <w:noWrap/>
            <w:vAlign w:val="center"/>
          </w:tcPr>
          <w:p w14:paraId="4920A1AE">
            <w:pPr>
              <w:widowControl/>
              <w:spacing w:before="20" w:after="20" w:line="240" w:lineRule="auto"/>
              <w:ind w:firstLine="0" w:firstLineChars="0"/>
              <w:jc w:val="center"/>
              <w:rPr>
                <w:rFonts w:eastAsia="方正楷体_GBK" w:cs="Times New Roman"/>
                <w:b/>
                <w:sz w:val="22"/>
                <w:szCs w:val="22"/>
              </w:rPr>
            </w:pPr>
            <w:r>
              <w:rPr>
                <w:rFonts w:eastAsia="方正楷体_GBK" w:cs="Times New Roman"/>
                <w:b/>
                <w:sz w:val="22"/>
                <w:szCs w:val="22"/>
              </w:rPr>
              <w:t>河网</w:t>
            </w:r>
          </w:p>
          <w:p w14:paraId="025784FA">
            <w:pPr>
              <w:widowControl/>
              <w:spacing w:before="20" w:after="20" w:line="240" w:lineRule="auto"/>
              <w:ind w:firstLine="0" w:firstLineChars="0"/>
              <w:jc w:val="center"/>
              <w:rPr>
                <w:rFonts w:eastAsia="方正楷体_GBK" w:cs="Times New Roman"/>
                <w:b/>
                <w:sz w:val="22"/>
                <w:szCs w:val="22"/>
              </w:rPr>
            </w:pPr>
            <w:r>
              <w:rPr>
                <w:rFonts w:eastAsia="方正楷体_GBK" w:cs="Times New Roman"/>
                <w:b/>
                <w:sz w:val="22"/>
                <w:szCs w:val="22"/>
              </w:rPr>
              <w:t>引提水</w:t>
            </w:r>
          </w:p>
        </w:tc>
        <w:tc>
          <w:tcPr>
            <w:tcW w:w="462" w:type="pct"/>
            <w:vMerge w:val="continue"/>
            <w:shd w:val="clear" w:color="auto" w:fill="auto"/>
            <w:vAlign w:val="center"/>
          </w:tcPr>
          <w:p w14:paraId="0DE67879">
            <w:pPr>
              <w:widowControl/>
              <w:spacing w:before="20" w:after="20" w:line="240" w:lineRule="auto"/>
              <w:ind w:firstLine="0" w:firstLineChars="0"/>
              <w:jc w:val="center"/>
              <w:rPr>
                <w:rFonts w:eastAsia="方正楷体_GBK" w:cs="Times New Roman"/>
                <w:b/>
                <w:sz w:val="22"/>
                <w:szCs w:val="22"/>
              </w:rPr>
            </w:pPr>
          </w:p>
        </w:tc>
        <w:tc>
          <w:tcPr>
            <w:tcW w:w="433" w:type="pct"/>
            <w:vMerge w:val="continue"/>
            <w:shd w:val="clear" w:color="auto" w:fill="auto"/>
            <w:noWrap/>
            <w:vAlign w:val="center"/>
          </w:tcPr>
          <w:p w14:paraId="78368F07">
            <w:pPr>
              <w:widowControl/>
              <w:spacing w:before="20" w:after="20" w:line="240" w:lineRule="auto"/>
              <w:ind w:firstLine="0" w:firstLineChars="0"/>
              <w:jc w:val="center"/>
              <w:rPr>
                <w:rFonts w:eastAsia="方正楷体_GBK" w:cs="Times New Roman"/>
                <w:b/>
                <w:sz w:val="22"/>
                <w:szCs w:val="22"/>
              </w:rPr>
            </w:pPr>
          </w:p>
        </w:tc>
        <w:tc>
          <w:tcPr>
            <w:tcW w:w="582" w:type="pct"/>
            <w:vMerge w:val="continue"/>
            <w:shd w:val="clear" w:color="auto" w:fill="auto"/>
            <w:vAlign w:val="center"/>
          </w:tcPr>
          <w:p w14:paraId="5812E93C">
            <w:pPr>
              <w:widowControl/>
              <w:spacing w:before="20" w:after="20" w:line="240" w:lineRule="auto"/>
              <w:ind w:firstLine="0" w:firstLineChars="0"/>
              <w:jc w:val="center"/>
              <w:rPr>
                <w:rFonts w:eastAsia="方正楷体_GBK" w:cs="Times New Roman"/>
                <w:b/>
                <w:sz w:val="22"/>
                <w:szCs w:val="22"/>
              </w:rPr>
            </w:pPr>
          </w:p>
        </w:tc>
        <w:tc>
          <w:tcPr>
            <w:tcW w:w="582" w:type="pct"/>
            <w:vMerge w:val="continue"/>
            <w:shd w:val="clear" w:color="auto" w:fill="auto"/>
            <w:noWrap/>
            <w:vAlign w:val="center"/>
          </w:tcPr>
          <w:p w14:paraId="795A496E">
            <w:pPr>
              <w:widowControl/>
              <w:spacing w:before="20" w:after="20" w:line="240" w:lineRule="auto"/>
              <w:ind w:firstLine="0" w:firstLineChars="0"/>
              <w:jc w:val="center"/>
              <w:rPr>
                <w:rFonts w:eastAsia="方正楷体_GBK" w:cs="Times New Roman"/>
                <w:b/>
                <w:sz w:val="22"/>
                <w:szCs w:val="22"/>
              </w:rPr>
            </w:pPr>
          </w:p>
        </w:tc>
        <w:tc>
          <w:tcPr>
            <w:tcW w:w="462" w:type="pct"/>
            <w:vMerge w:val="continue"/>
            <w:shd w:val="clear" w:color="auto" w:fill="auto"/>
            <w:vAlign w:val="center"/>
          </w:tcPr>
          <w:p w14:paraId="67157350">
            <w:pPr>
              <w:widowControl/>
              <w:spacing w:before="20" w:after="20" w:line="240" w:lineRule="auto"/>
              <w:ind w:firstLine="0" w:firstLineChars="0"/>
              <w:jc w:val="center"/>
              <w:rPr>
                <w:rFonts w:eastAsia="方正楷体_GBK" w:cs="Times New Roman"/>
                <w:b/>
                <w:sz w:val="22"/>
                <w:szCs w:val="22"/>
              </w:rPr>
            </w:pPr>
          </w:p>
        </w:tc>
      </w:tr>
      <w:tr w14:paraId="1E7F8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3" w:type="pct"/>
            <w:vMerge w:val="restart"/>
            <w:shd w:val="clear" w:color="auto" w:fill="auto"/>
            <w:noWrap/>
            <w:vAlign w:val="center"/>
          </w:tcPr>
          <w:p w14:paraId="75CA0F80">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P=</w:t>
            </w:r>
          </w:p>
          <w:p w14:paraId="1C26E6A4">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50%</w:t>
            </w:r>
          </w:p>
        </w:tc>
        <w:tc>
          <w:tcPr>
            <w:tcW w:w="881" w:type="pct"/>
            <w:shd w:val="clear" w:color="auto" w:fill="auto"/>
            <w:vAlign w:val="center"/>
          </w:tcPr>
          <w:p w14:paraId="6903A13D">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海陵区</w:t>
            </w:r>
          </w:p>
        </w:tc>
        <w:tc>
          <w:tcPr>
            <w:tcW w:w="582" w:type="pct"/>
            <w:shd w:val="clear" w:color="auto" w:fill="auto"/>
            <w:noWrap/>
            <w:vAlign w:val="center"/>
          </w:tcPr>
          <w:p w14:paraId="22FB9E69">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2.16</w:t>
            </w:r>
          </w:p>
        </w:tc>
        <w:tc>
          <w:tcPr>
            <w:tcW w:w="582" w:type="pct"/>
            <w:shd w:val="clear" w:color="auto" w:fill="auto"/>
            <w:noWrap/>
            <w:vAlign w:val="center"/>
          </w:tcPr>
          <w:p w14:paraId="4BCFFB79">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0.83</w:t>
            </w:r>
          </w:p>
        </w:tc>
        <w:tc>
          <w:tcPr>
            <w:tcW w:w="462" w:type="pct"/>
            <w:shd w:val="clear" w:color="auto" w:fill="auto"/>
            <w:noWrap/>
            <w:vAlign w:val="center"/>
          </w:tcPr>
          <w:p w14:paraId="2769395D">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2.99</w:t>
            </w:r>
          </w:p>
        </w:tc>
        <w:tc>
          <w:tcPr>
            <w:tcW w:w="433" w:type="pct"/>
            <w:shd w:val="clear" w:color="auto" w:fill="auto"/>
            <w:noWrap/>
            <w:vAlign w:val="center"/>
          </w:tcPr>
          <w:p w14:paraId="1398B9DC">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0.26</w:t>
            </w:r>
          </w:p>
        </w:tc>
        <w:tc>
          <w:tcPr>
            <w:tcW w:w="582" w:type="pct"/>
            <w:shd w:val="clear" w:color="auto" w:fill="auto"/>
            <w:noWrap/>
            <w:vAlign w:val="center"/>
          </w:tcPr>
          <w:p w14:paraId="7B93E032">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0.01</w:t>
            </w:r>
          </w:p>
        </w:tc>
        <w:tc>
          <w:tcPr>
            <w:tcW w:w="582" w:type="pct"/>
            <w:shd w:val="clear" w:color="auto" w:fill="auto"/>
            <w:noWrap/>
            <w:vAlign w:val="center"/>
          </w:tcPr>
          <w:p w14:paraId="4A6878CC">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0.26</w:t>
            </w:r>
          </w:p>
        </w:tc>
        <w:tc>
          <w:tcPr>
            <w:tcW w:w="462" w:type="pct"/>
            <w:shd w:val="clear" w:color="auto" w:fill="auto"/>
            <w:noWrap/>
            <w:vAlign w:val="center"/>
          </w:tcPr>
          <w:p w14:paraId="799FFB0F">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3.51</w:t>
            </w:r>
          </w:p>
        </w:tc>
      </w:tr>
      <w:tr w14:paraId="47989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3" w:type="pct"/>
            <w:vMerge w:val="continue"/>
            <w:shd w:val="clear" w:color="auto" w:fill="auto"/>
            <w:vAlign w:val="center"/>
          </w:tcPr>
          <w:p w14:paraId="6F1E8763">
            <w:pPr>
              <w:widowControl/>
              <w:spacing w:before="20" w:after="20" w:line="240" w:lineRule="auto"/>
              <w:ind w:firstLine="0" w:firstLineChars="0"/>
              <w:jc w:val="center"/>
              <w:rPr>
                <w:rFonts w:eastAsia="方正楷体_GBK" w:cs="Times New Roman"/>
                <w:sz w:val="22"/>
                <w:szCs w:val="22"/>
              </w:rPr>
            </w:pPr>
          </w:p>
        </w:tc>
        <w:tc>
          <w:tcPr>
            <w:tcW w:w="881" w:type="pct"/>
            <w:shd w:val="clear" w:color="auto" w:fill="auto"/>
            <w:vAlign w:val="center"/>
          </w:tcPr>
          <w:p w14:paraId="21DDCC0F">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高港区</w:t>
            </w:r>
          </w:p>
        </w:tc>
        <w:tc>
          <w:tcPr>
            <w:tcW w:w="582" w:type="pct"/>
            <w:shd w:val="clear" w:color="auto" w:fill="auto"/>
            <w:noWrap/>
            <w:vAlign w:val="center"/>
          </w:tcPr>
          <w:p w14:paraId="5811B7C5">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0.88</w:t>
            </w:r>
          </w:p>
        </w:tc>
        <w:tc>
          <w:tcPr>
            <w:tcW w:w="582" w:type="pct"/>
            <w:shd w:val="clear" w:color="auto" w:fill="auto"/>
            <w:noWrap/>
            <w:vAlign w:val="center"/>
          </w:tcPr>
          <w:p w14:paraId="1A2B7589">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1.28</w:t>
            </w:r>
          </w:p>
        </w:tc>
        <w:tc>
          <w:tcPr>
            <w:tcW w:w="462" w:type="pct"/>
            <w:shd w:val="clear" w:color="auto" w:fill="auto"/>
            <w:noWrap/>
            <w:vAlign w:val="center"/>
          </w:tcPr>
          <w:p w14:paraId="22B22A93">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2.14</w:t>
            </w:r>
          </w:p>
        </w:tc>
        <w:tc>
          <w:tcPr>
            <w:tcW w:w="433" w:type="pct"/>
            <w:shd w:val="clear" w:color="auto" w:fill="auto"/>
            <w:noWrap/>
            <w:vAlign w:val="center"/>
          </w:tcPr>
          <w:p w14:paraId="3D1AD9FE">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0.24</w:t>
            </w:r>
          </w:p>
        </w:tc>
        <w:tc>
          <w:tcPr>
            <w:tcW w:w="582" w:type="pct"/>
            <w:shd w:val="clear" w:color="auto" w:fill="auto"/>
            <w:noWrap/>
            <w:vAlign w:val="center"/>
          </w:tcPr>
          <w:p w14:paraId="26300C63">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0.01</w:t>
            </w:r>
          </w:p>
        </w:tc>
        <w:tc>
          <w:tcPr>
            <w:tcW w:w="582" w:type="pct"/>
            <w:shd w:val="clear" w:color="auto" w:fill="auto"/>
            <w:noWrap/>
            <w:vAlign w:val="center"/>
          </w:tcPr>
          <w:p w14:paraId="075C470A">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0.19</w:t>
            </w:r>
          </w:p>
        </w:tc>
        <w:tc>
          <w:tcPr>
            <w:tcW w:w="462" w:type="pct"/>
            <w:shd w:val="clear" w:color="auto" w:fill="auto"/>
            <w:noWrap/>
            <w:vAlign w:val="center"/>
          </w:tcPr>
          <w:p w14:paraId="58168FFD">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2.59</w:t>
            </w:r>
          </w:p>
        </w:tc>
      </w:tr>
      <w:tr w14:paraId="7271C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3" w:type="pct"/>
            <w:vMerge w:val="continue"/>
            <w:shd w:val="clear" w:color="auto" w:fill="auto"/>
            <w:vAlign w:val="center"/>
          </w:tcPr>
          <w:p w14:paraId="682395AC">
            <w:pPr>
              <w:widowControl/>
              <w:spacing w:before="20" w:after="20" w:line="240" w:lineRule="auto"/>
              <w:ind w:firstLine="0" w:firstLineChars="0"/>
              <w:jc w:val="center"/>
              <w:rPr>
                <w:rFonts w:eastAsia="方正楷体_GBK" w:cs="Times New Roman"/>
                <w:sz w:val="22"/>
                <w:szCs w:val="22"/>
              </w:rPr>
            </w:pPr>
          </w:p>
        </w:tc>
        <w:tc>
          <w:tcPr>
            <w:tcW w:w="881" w:type="pct"/>
            <w:shd w:val="clear" w:color="auto" w:fill="auto"/>
            <w:vAlign w:val="center"/>
          </w:tcPr>
          <w:p w14:paraId="56D465BF">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姜堰区</w:t>
            </w:r>
          </w:p>
        </w:tc>
        <w:tc>
          <w:tcPr>
            <w:tcW w:w="582" w:type="pct"/>
            <w:shd w:val="clear" w:color="auto" w:fill="auto"/>
            <w:noWrap/>
            <w:vAlign w:val="center"/>
          </w:tcPr>
          <w:p w14:paraId="13436949">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1.23</w:t>
            </w:r>
          </w:p>
        </w:tc>
        <w:tc>
          <w:tcPr>
            <w:tcW w:w="582" w:type="pct"/>
            <w:shd w:val="clear" w:color="auto" w:fill="auto"/>
            <w:noWrap/>
            <w:vAlign w:val="center"/>
          </w:tcPr>
          <w:p w14:paraId="1995D840">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4.82</w:t>
            </w:r>
          </w:p>
        </w:tc>
        <w:tc>
          <w:tcPr>
            <w:tcW w:w="462" w:type="pct"/>
            <w:shd w:val="clear" w:color="auto" w:fill="auto"/>
            <w:noWrap/>
            <w:vAlign w:val="center"/>
          </w:tcPr>
          <w:p w14:paraId="015256E4">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6.05</w:t>
            </w:r>
          </w:p>
        </w:tc>
        <w:tc>
          <w:tcPr>
            <w:tcW w:w="433" w:type="pct"/>
            <w:shd w:val="clear" w:color="auto" w:fill="auto"/>
            <w:noWrap/>
            <w:vAlign w:val="center"/>
          </w:tcPr>
          <w:p w14:paraId="7B3FF322">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0.83</w:t>
            </w:r>
          </w:p>
        </w:tc>
        <w:tc>
          <w:tcPr>
            <w:tcW w:w="582" w:type="pct"/>
            <w:shd w:val="clear" w:color="auto" w:fill="auto"/>
            <w:noWrap/>
            <w:vAlign w:val="center"/>
          </w:tcPr>
          <w:p w14:paraId="10A7708C">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0.05</w:t>
            </w:r>
          </w:p>
        </w:tc>
        <w:tc>
          <w:tcPr>
            <w:tcW w:w="582" w:type="pct"/>
            <w:shd w:val="clear" w:color="auto" w:fill="auto"/>
            <w:noWrap/>
            <w:vAlign w:val="center"/>
          </w:tcPr>
          <w:p w14:paraId="18EEC0FE">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0.13</w:t>
            </w:r>
          </w:p>
        </w:tc>
        <w:tc>
          <w:tcPr>
            <w:tcW w:w="462" w:type="pct"/>
            <w:shd w:val="clear" w:color="auto" w:fill="auto"/>
            <w:noWrap/>
            <w:vAlign w:val="center"/>
          </w:tcPr>
          <w:p w14:paraId="47722440">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7.06</w:t>
            </w:r>
          </w:p>
        </w:tc>
      </w:tr>
      <w:tr w14:paraId="47FEC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3" w:type="pct"/>
            <w:vMerge w:val="continue"/>
            <w:shd w:val="clear" w:color="auto" w:fill="auto"/>
            <w:vAlign w:val="center"/>
          </w:tcPr>
          <w:p w14:paraId="29886BF3">
            <w:pPr>
              <w:widowControl/>
              <w:spacing w:before="20" w:after="20" w:line="240" w:lineRule="auto"/>
              <w:ind w:firstLine="0" w:firstLineChars="0"/>
              <w:jc w:val="center"/>
              <w:rPr>
                <w:rFonts w:eastAsia="方正楷体_GBK" w:cs="Times New Roman"/>
                <w:sz w:val="22"/>
                <w:szCs w:val="22"/>
              </w:rPr>
            </w:pPr>
          </w:p>
        </w:tc>
        <w:tc>
          <w:tcPr>
            <w:tcW w:w="881" w:type="pct"/>
            <w:shd w:val="clear" w:color="auto" w:fill="auto"/>
            <w:vAlign w:val="center"/>
          </w:tcPr>
          <w:p w14:paraId="25E7178E">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兴化市</w:t>
            </w:r>
          </w:p>
        </w:tc>
        <w:tc>
          <w:tcPr>
            <w:tcW w:w="582" w:type="pct"/>
            <w:shd w:val="clear" w:color="auto" w:fill="auto"/>
            <w:noWrap/>
            <w:vAlign w:val="center"/>
          </w:tcPr>
          <w:p w14:paraId="34C3346B">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0.53</w:t>
            </w:r>
          </w:p>
        </w:tc>
        <w:tc>
          <w:tcPr>
            <w:tcW w:w="582" w:type="pct"/>
            <w:shd w:val="clear" w:color="auto" w:fill="auto"/>
            <w:noWrap/>
            <w:vAlign w:val="center"/>
          </w:tcPr>
          <w:p w14:paraId="747FE3E2">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0.08</w:t>
            </w:r>
          </w:p>
        </w:tc>
        <w:tc>
          <w:tcPr>
            <w:tcW w:w="462" w:type="pct"/>
            <w:shd w:val="clear" w:color="auto" w:fill="auto"/>
            <w:noWrap/>
            <w:vAlign w:val="center"/>
          </w:tcPr>
          <w:p w14:paraId="4905B93E">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0.61</w:t>
            </w:r>
          </w:p>
        </w:tc>
        <w:tc>
          <w:tcPr>
            <w:tcW w:w="433" w:type="pct"/>
            <w:shd w:val="clear" w:color="auto" w:fill="auto"/>
            <w:noWrap/>
            <w:vAlign w:val="center"/>
          </w:tcPr>
          <w:p w14:paraId="261071DD">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0.18</w:t>
            </w:r>
          </w:p>
        </w:tc>
        <w:tc>
          <w:tcPr>
            <w:tcW w:w="582" w:type="pct"/>
            <w:shd w:val="clear" w:color="auto" w:fill="auto"/>
            <w:noWrap/>
            <w:vAlign w:val="center"/>
          </w:tcPr>
          <w:p w14:paraId="605FFA7A">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0.00</w:t>
            </w:r>
          </w:p>
        </w:tc>
        <w:tc>
          <w:tcPr>
            <w:tcW w:w="582" w:type="pct"/>
            <w:shd w:val="clear" w:color="auto" w:fill="auto"/>
            <w:noWrap/>
            <w:vAlign w:val="center"/>
          </w:tcPr>
          <w:p w14:paraId="3DE3FD9B">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0.17</w:t>
            </w:r>
          </w:p>
        </w:tc>
        <w:tc>
          <w:tcPr>
            <w:tcW w:w="462" w:type="pct"/>
            <w:shd w:val="clear" w:color="auto" w:fill="auto"/>
            <w:noWrap/>
            <w:vAlign w:val="center"/>
          </w:tcPr>
          <w:p w14:paraId="75F935EE">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0.96</w:t>
            </w:r>
          </w:p>
        </w:tc>
      </w:tr>
      <w:tr w14:paraId="482EB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3" w:type="pct"/>
            <w:vMerge w:val="continue"/>
            <w:shd w:val="clear" w:color="auto" w:fill="auto"/>
            <w:vAlign w:val="center"/>
          </w:tcPr>
          <w:p w14:paraId="001191B9">
            <w:pPr>
              <w:widowControl/>
              <w:spacing w:before="20" w:after="20" w:line="240" w:lineRule="auto"/>
              <w:ind w:firstLine="0" w:firstLineChars="0"/>
              <w:jc w:val="center"/>
              <w:rPr>
                <w:rFonts w:eastAsia="方正楷体_GBK" w:cs="Times New Roman"/>
                <w:sz w:val="22"/>
                <w:szCs w:val="22"/>
              </w:rPr>
            </w:pPr>
          </w:p>
        </w:tc>
        <w:tc>
          <w:tcPr>
            <w:tcW w:w="881" w:type="pct"/>
            <w:shd w:val="clear" w:color="auto" w:fill="auto"/>
            <w:vAlign w:val="center"/>
          </w:tcPr>
          <w:p w14:paraId="15791148">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医药高新区</w:t>
            </w:r>
          </w:p>
        </w:tc>
        <w:tc>
          <w:tcPr>
            <w:tcW w:w="582" w:type="pct"/>
            <w:shd w:val="clear" w:color="auto" w:fill="auto"/>
            <w:noWrap/>
            <w:vAlign w:val="center"/>
          </w:tcPr>
          <w:p w14:paraId="1536A05C">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1.92</w:t>
            </w:r>
          </w:p>
        </w:tc>
        <w:tc>
          <w:tcPr>
            <w:tcW w:w="582" w:type="pct"/>
            <w:shd w:val="clear" w:color="auto" w:fill="auto"/>
            <w:noWrap/>
            <w:vAlign w:val="center"/>
          </w:tcPr>
          <w:p w14:paraId="298B985E">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12.87</w:t>
            </w:r>
          </w:p>
        </w:tc>
        <w:tc>
          <w:tcPr>
            <w:tcW w:w="462" w:type="pct"/>
            <w:shd w:val="clear" w:color="auto" w:fill="auto"/>
            <w:noWrap/>
            <w:vAlign w:val="center"/>
          </w:tcPr>
          <w:p w14:paraId="0945DA78">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14.78</w:t>
            </w:r>
          </w:p>
        </w:tc>
        <w:tc>
          <w:tcPr>
            <w:tcW w:w="433" w:type="pct"/>
            <w:shd w:val="clear" w:color="auto" w:fill="auto"/>
            <w:noWrap/>
            <w:vAlign w:val="center"/>
          </w:tcPr>
          <w:p w14:paraId="2367892B">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2.24</w:t>
            </w:r>
          </w:p>
        </w:tc>
        <w:tc>
          <w:tcPr>
            <w:tcW w:w="582" w:type="pct"/>
            <w:shd w:val="clear" w:color="auto" w:fill="auto"/>
            <w:noWrap/>
            <w:vAlign w:val="center"/>
          </w:tcPr>
          <w:p w14:paraId="642FEA70">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0.05</w:t>
            </w:r>
          </w:p>
        </w:tc>
        <w:tc>
          <w:tcPr>
            <w:tcW w:w="582" w:type="pct"/>
            <w:shd w:val="clear" w:color="auto" w:fill="auto"/>
            <w:noWrap/>
            <w:vAlign w:val="center"/>
          </w:tcPr>
          <w:p w14:paraId="45F10151">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0.13</w:t>
            </w:r>
          </w:p>
        </w:tc>
        <w:tc>
          <w:tcPr>
            <w:tcW w:w="462" w:type="pct"/>
            <w:shd w:val="clear" w:color="auto" w:fill="auto"/>
            <w:noWrap/>
            <w:vAlign w:val="center"/>
          </w:tcPr>
          <w:p w14:paraId="69F5A991">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17.21</w:t>
            </w:r>
          </w:p>
        </w:tc>
      </w:tr>
      <w:tr w14:paraId="62C9C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3" w:type="pct"/>
            <w:vMerge w:val="continue"/>
            <w:shd w:val="clear" w:color="auto" w:fill="auto"/>
            <w:vAlign w:val="center"/>
          </w:tcPr>
          <w:p w14:paraId="09136372">
            <w:pPr>
              <w:widowControl/>
              <w:spacing w:before="20" w:after="20" w:line="240" w:lineRule="auto"/>
              <w:ind w:firstLine="0" w:firstLineChars="0"/>
              <w:jc w:val="center"/>
              <w:rPr>
                <w:rFonts w:eastAsia="方正楷体_GBK" w:cs="Times New Roman"/>
                <w:sz w:val="22"/>
                <w:szCs w:val="22"/>
              </w:rPr>
            </w:pPr>
          </w:p>
        </w:tc>
        <w:tc>
          <w:tcPr>
            <w:tcW w:w="881" w:type="pct"/>
            <w:shd w:val="clear" w:color="auto" w:fill="auto"/>
            <w:vAlign w:val="center"/>
          </w:tcPr>
          <w:p w14:paraId="10590DE9">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靖江市</w:t>
            </w:r>
          </w:p>
        </w:tc>
        <w:tc>
          <w:tcPr>
            <w:tcW w:w="582" w:type="pct"/>
            <w:shd w:val="clear" w:color="auto" w:fill="auto"/>
            <w:noWrap/>
            <w:vAlign w:val="center"/>
          </w:tcPr>
          <w:p w14:paraId="21A9C9E3">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1.58</w:t>
            </w:r>
          </w:p>
        </w:tc>
        <w:tc>
          <w:tcPr>
            <w:tcW w:w="582" w:type="pct"/>
            <w:shd w:val="clear" w:color="auto" w:fill="auto"/>
            <w:noWrap/>
            <w:vAlign w:val="center"/>
          </w:tcPr>
          <w:p w14:paraId="78562B5E">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2.55</w:t>
            </w:r>
          </w:p>
        </w:tc>
        <w:tc>
          <w:tcPr>
            <w:tcW w:w="462" w:type="pct"/>
            <w:shd w:val="clear" w:color="auto" w:fill="auto"/>
            <w:noWrap/>
            <w:vAlign w:val="center"/>
          </w:tcPr>
          <w:p w14:paraId="6EBFE8E5">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4.14</w:t>
            </w:r>
          </w:p>
        </w:tc>
        <w:tc>
          <w:tcPr>
            <w:tcW w:w="433" w:type="pct"/>
            <w:shd w:val="clear" w:color="auto" w:fill="auto"/>
            <w:noWrap/>
            <w:vAlign w:val="center"/>
          </w:tcPr>
          <w:p w14:paraId="2B32ACF7">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0.64</w:t>
            </w:r>
          </w:p>
        </w:tc>
        <w:tc>
          <w:tcPr>
            <w:tcW w:w="582" w:type="pct"/>
            <w:shd w:val="clear" w:color="auto" w:fill="auto"/>
            <w:noWrap/>
            <w:vAlign w:val="center"/>
          </w:tcPr>
          <w:p w14:paraId="40AC3862">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0.01</w:t>
            </w:r>
          </w:p>
        </w:tc>
        <w:tc>
          <w:tcPr>
            <w:tcW w:w="582" w:type="pct"/>
            <w:shd w:val="clear" w:color="auto" w:fill="auto"/>
            <w:noWrap/>
            <w:vAlign w:val="center"/>
          </w:tcPr>
          <w:p w14:paraId="44C483F6">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0.24</w:t>
            </w:r>
          </w:p>
        </w:tc>
        <w:tc>
          <w:tcPr>
            <w:tcW w:w="462" w:type="pct"/>
            <w:shd w:val="clear" w:color="auto" w:fill="auto"/>
            <w:noWrap/>
            <w:vAlign w:val="center"/>
          </w:tcPr>
          <w:p w14:paraId="6C844706">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5.01</w:t>
            </w:r>
          </w:p>
        </w:tc>
      </w:tr>
      <w:tr w14:paraId="35A6F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3" w:type="pct"/>
            <w:vMerge w:val="continue"/>
            <w:shd w:val="clear" w:color="auto" w:fill="auto"/>
            <w:vAlign w:val="center"/>
          </w:tcPr>
          <w:p w14:paraId="28B7B061">
            <w:pPr>
              <w:widowControl/>
              <w:spacing w:before="20" w:after="20" w:line="240" w:lineRule="auto"/>
              <w:ind w:firstLine="0" w:firstLineChars="0"/>
              <w:jc w:val="center"/>
              <w:rPr>
                <w:rFonts w:eastAsia="方正楷体_GBK" w:cs="Times New Roman"/>
                <w:sz w:val="22"/>
                <w:szCs w:val="22"/>
              </w:rPr>
            </w:pPr>
          </w:p>
        </w:tc>
        <w:tc>
          <w:tcPr>
            <w:tcW w:w="881" w:type="pct"/>
            <w:shd w:val="clear" w:color="auto" w:fill="auto"/>
            <w:vAlign w:val="center"/>
          </w:tcPr>
          <w:p w14:paraId="22464BE1">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泰兴市</w:t>
            </w:r>
          </w:p>
        </w:tc>
        <w:tc>
          <w:tcPr>
            <w:tcW w:w="582" w:type="pct"/>
            <w:shd w:val="clear" w:color="auto" w:fill="auto"/>
            <w:noWrap/>
            <w:vAlign w:val="center"/>
          </w:tcPr>
          <w:p w14:paraId="56195689">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2.04</w:t>
            </w:r>
          </w:p>
        </w:tc>
        <w:tc>
          <w:tcPr>
            <w:tcW w:w="582" w:type="pct"/>
            <w:shd w:val="clear" w:color="auto" w:fill="auto"/>
            <w:noWrap/>
            <w:vAlign w:val="center"/>
          </w:tcPr>
          <w:p w14:paraId="71B430A3">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5.76</w:t>
            </w:r>
          </w:p>
        </w:tc>
        <w:tc>
          <w:tcPr>
            <w:tcW w:w="462" w:type="pct"/>
            <w:shd w:val="clear" w:color="auto" w:fill="auto"/>
            <w:noWrap/>
            <w:vAlign w:val="center"/>
          </w:tcPr>
          <w:p w14:paraId="20712001">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7.81</w:t>
            </w:r>
          </w:p>
        </w:tc>
        <w:tc>
          <w:tcPr>
            <w:tcW w:w="433" w:type="pct"/>
            <w:shd w:val="clear" w:color="auto" w:fill="auto"/>
            <w:noWrap/>
            <w:vAlign w:val="center"/>
          </w:tcPr>
          <w:p w14:paraId="370686D6">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1.13</w:t>
            </w:r>
          </w:p>
        </w:tc>
        <w:tc>
          <w:tcPr>
            <w:tcW w:w="582" w:type="pct"/>
            <w:shd w:val="clear" w:color="auto" w:fill="auto"/>
            <w:noWrap/>
            <w:vAlign w:val="center"/>
          </w:tcPr>
          <w:p w14:paraId="110A0EAF">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0.03</w:t>
            </w:r>
          </w:p>
        </w:tc>
        <w:tc>
          <w:tcPr>
            <w:tcW w:w="582" w:type="pct"/>
            <w:shd w:val="clear" w:color="auto" w:fill="auto"/>
            <w:noWrap/>
            <w:vAlign w:val="center"/>
          </w:tcPr>
          <w:p w14:paraId="4F45AE5B">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0.28</w:t>
            </w:r>
          </w:p>
        </w:tc>
        <w:tc>
          <w:tcPr>
            <w:tcW w:w="462" w:type="pct"/>
            <w:shd w:val="clear" w:color="auto" w:fill="auto"/>
            <w:noWrap/>
            <w:vAlign w:val="center"/>
          </w:tcPr>
          <w:p w14:paraId="75DAF2A1">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9.24</w:t>
            </w:r>
          </w:p>
        </w:tc>
      </w:tr>
      <w:tr w14:paraId="6FC22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3" w:type="pct"/>
            <w:vMerge w:val="continue"/>
            <w:shd w:val="clear" w:color="auto" w:fill="auto"/>
            <w:vAlign w:val="center"/>
          </w:tcPr>
          <w:p w14:paraId="6E20E735">
            <w:pPr>
              <w:widowControl/>
              <w:spacing w:before="20" w:after="20" w:line="240" w:lineRule="auto"/>
              <w:ind w:firstLine="0" w:firstLineChars="0"/>
              <w:jc w:val="center"/>
              <w:rPr>
                <w:rFonts w:eastAsia="方正楷体_GBK" w:cs="Times New Roman"/>
                <w:sz w:val="22"/>
                <w:szCs w:val="22"/>
              </w:rPr>
            </w:pPr>
          </w:p>
        </w:tc>
        <w:tc>
          <w:tcPr>
            <w:tcW w:w="881" w:type="pct"/>
            <w:shd w:val="clear" w:color="auto" w:fill="auto"/>
            <w:vAlign w:val="center"/>
          </w:tcPr>
          <w:p w14:paraId="64F9D750">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合计</w:t>
            </w:r>
          </w:p>
        </w:tc>
        <w:tc>
          <w:tcPr>
            <w:tcW w:w="582" w:type="pct"/>
            <w:shd w:val="clear" w:color="auto" w:fill="auto"/>
            <w:noWrap/>
            <w:vAlign w:val="center"/>
          </w:tcPr>
          <w:p w14:paraId="67AF52B0">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10.31</w:t>
            </w:r>
          </w:p>
        </w:tc>
        <w:tc>
          <w:tcPr>
            <w:tcW w:w="582" w:type="pct"/>
            <w:shd w:val="clear" w:color="auto" w:fill="auto"/>
            <w:noWrap/>
            <w:vAlign w:val="center"/>
          </w:tcPr>
          <w:p w14:paraId="3A1D1019">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33.13</w:t>
            </w:r>
          </w:p>
        </w:tc>
        <w:tc>
          <w:tcPr>
            <w:tcW w:w="462" w:type="pct"/>
            <w:shd w:val="clear" w:color="auto" w:fill="auto"/>
            <w:noWrap/>
            <w:vAlign w:val="center"/>
          </w:tcPr>
          <w:p w14:paraId="53DC3AD2">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43.44</w:t>
            </w:r>
          </w:p>
        </w:tc>
        <w:tc>
          <w:tcPr>
            <w:tcW w:w="433" w:type="pct"/>
            <w:shd w:val="clear" w:color="auto" w:fill="auto"/>
            <w:noWrap/>
            <w:vAlign w:val="center"/>
          </w:tcPr>
          <w:p w14:paraId="19607CC2">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5.51</w:t>
            </w:r>
          </w:p>
        </w:tc>
        <w:tc>
          <w:tcPr>
            <w:tcW w:w="582" w:type="pct"/>
            <w:shd w:val="clear" w:color="auto" w:fill="auto"/>
            <w:noWrap/>
            <w:vAlign w:val="center"/>
          </w:tcPr>
          <w:p w14:paraId="683CE77F">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0.16</w:t>
            </w:r>
          </w:p>
        </w:tc>
        <w:tc>
          <w:tcPr>
            <w:tcW w:w="582" w:type="pct"/>
            <w:shd w:val="clear" w:color="auto" w:fill="auto"/>
            <w:noWrap/>
            <w:vAlign w:val="center"/>
          </w:tcPr>
          <w:p w14:paraId="6226C83C">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1.39</w:t>
            </w:r>
          </w:p>
        </w:tc>
        <w:tc>
          <w:tcPr>
            <w:tcW w:w="462" w:type="pct"/>
            <w:shd w:val="clear" w:color="auto" w:fill="auto"/>
            <w:noWrap/>
            <w:vAlign w:val="center"/>
          </w:tcPr>
          <w:p w14:paraId="60732152">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50.50</w:t>
            </w:r>
          </w:p>
        </w:tc>
      </w:tr>
      <w:tr w14:paraId="30F1D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3" w:type="pct"/>
            <w:vMerge w:val="restart"/>
            <w:shd w:val="clear" w:color="auto" w:fill="auto"/>
            <w:noWrap/>
            <w:vAlign w:val="center"/>
          </w:tcPr>
          <w:p w14:paraId="21BB809D">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P=</w:t>
            </w:r>
          </w:p>
          <w:p w14:paraId="23BC1C8C">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75%</w:t>
            </w:r>
          </w:p>
        </w:tc>
        <w:tc>
          <w:tcPr>
            <w:tcW w:w="881" w:type="pct"/>
            <w:shd w:val="clear" w:color="auto" w:fill="auto"/>
            <w:vAlign w:val="center"/>
          </w:tcPr>
          <w:p w14:paraId="71A1CEB4">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海陵区</w:t>
            </w:r>
          </w:p>
        </w:tc>
        <w:tc>
          <w:tcPr>
            <w:tcW w:w="582" w:type="pct"/>
            <w:shd w:val="clear" w:color="auto" w:fill="auto"/>
            <w:noWrap/>
            <w:vAlign w:val="center"/>
          </w:tcPr>
          <w:p w14:paraId="534CB0D2">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1.94</w:t>
            </w:r>
          </w:p>
        </w:tc>
        <w:tc>
          <w:tcPr>
            <w:tcW w:w="582" w:type="pct"/>
            <w:shd w:val="clear" w:color="auto" w:fill="auto"/>
            <w:noWrap/>
            <w:vAlign w:val="center"/>
          </w:tcPr>
          <w:p w14:paraId="5CCEC8B6">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1.08</w:t>
            </w:r>
          </w:p>
        </w:tc>
        <w:tc>
          <w:tcPr>
            <w:tcW w:w="462" w:type="pct"/>
            <w:shd w:val="clear" w:color="auto" w:fill="auto"/>
            <w:noWrap/>
            <w:vAlign w:val="center"/>
          </w:tcPr>
          <w:p w14:paraId="09CBBA2F">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3.02</w:t>
            </w:r>
          </w:p>
        </w:tc>
        <w:tc>
          <w:tcPr>
            <w:tcW w:w="433" w:type="pct"/>
            <w:shd w:val="clear" w:color="auto" w:fill="auto"/>
            <w:noWrap/>
            <w:vAlign w:val="center"/>
          </w:tcPr>
          <w:p w14:paraId="55097B45">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0.16</w:t>
            </w:r>
          </w:p>
        </w:tc>
        <w:tc>
          <w:tcPr>
            <w:tcW w:w="582" w:type="pct"/>
            <w:shd w:val="clear" w:color="auto" w:fill="auto"/>
            <w:noWrap/>
            <w:vAlign w:val="center"/>
          </w:tcPr>
          <w:p w14:paraId="4187D359">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0.01</w:t>
            </w:r>
          </w:p>
        </w:tc>
        <w:tc>
          <w:tcPr>
            <w:tcW w:w="582" w:type="pct"/>
            <w:shd w:val="clear" w:color="auto" w:fill="auto"/>
            <w:noWrap/>
            <w:vAlign w:val="center"/>
          </w:tcPr>
          <w:p w14:paraId="32C196B3">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0.23</w:t>
            </w:r>
          </w:p>
        </w:tc>
        <w:tc>
          <w:tcPr>
            <w:tcW w:w="462" w:type="pct"/>
            <w:shd w:val="clear" w:color="auto" w:fill="auto"/>
            <w:noWrap/>
            <w:vAlign w:val="center"/>
          </w:tcPr>
          <w:p w14:paraId="405A4DB2">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3.42</w:t>
            </w:r>
          </w:p>
        </w:tc>
      </w:tr>
      <w:tr w14:paraId="44AB7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3" w:type="pct"/>
            <w:vMerge w:val="continue"/>
            <w:shd w:val="clear" w:color="auto" w:fill="auto"/>
            <w:vAlign w:val="center"/>
          </w:tcPr>
          <w:p w14:paraId="428B79B5">
            <w:pPr>
              <w:widowControl/>
              <w:spacing w:before="20" w:after="20" w:line="240" w:lineRule="auto"/>
              <w:ind w:firstLine="0" w:firstLineChars="0"/>
              <w:jc w:val="center"/>
              <w:rPr>
                <w:rFonts w:eastAsia="方正楷体_GBK" w:cs="Times New Roman"/>
                <w:sz w:val="22"/>
                <w:szCs w:val="22"/>
              </w:rPr>
            </w:pPr>
          </w:p>
        </w:tc>
        <w:tc>
          <w:tcPr>
            <w:tcW w:w="881" w:type="pct"/>
            <w:shd w:val="clear" w:color="auto" w:fill="auto"/>
            <w:vAlign w:val="center"/>
          </w:tcPr>
          <w:p w14:paraId="3981ACC6">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高港区</w:t>
            </w:r>
          </w:p>
        </w:tc>
        <w:tc>
          <w:tcPr>
            <w:tcW w:w="582" w:type="pct"/>
            <w:shd w:val="clear" w:color="auto" w:fill="auto"/>
            <w:noWrap/>
            <w:vAlign w:val="center"/>
          </w:tcPr>
          <w:p w14:paraId="6D556B52">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0.79</w:t>
            </w:r>
          </w:p>
        </w:tc>
        <w:tc>
          <w:tcPr>
            <w:tcW w:w="582" w:type="pct"/>
            <w:shd w:val="clear" w:color="auto" w:fill="auto"/>
            <w:noWrap/>
            <w:vAlign w:val="center"/>
          </w:tcPr>
          <w:p w14:paraId="04C34995">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1.58</w:t>
            </w:r>
          </w:p>
        </w:tc>
        <w:tc>
          <w:tcPr>
            <w:tcW w:w="462" w:type="pct"/>
            <w:shd w:val="clear" w:color="auto" w:fill="auto"/>
            <w:noWrap/>
            <w:vAlign w:val="center"/>
          </w:tcPr>
          <w:p w14:paraId="1E0A8E2E">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2.36</w:t>
            </w:r>
          </w:p>
        </w:tc>
        <w:tc>
          <w:tcPr>
            <w:tcW w:w="433" w:type="pct"/>
            <w:shd w:val="clear" w:color="auto" w:fill="auto"/>
            <w:noWrap/>
            <w:vAlign w:val="center"/>
          </w:tcPr>
          <w:p w14:paraId="5E3E2176">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0.14</w:t>
            </w:r>
          </w:p>
        </w:tc>
        <w:tc>
          <w:tcPr>
            <w:tcW w:w="582" w:type="pct"/>
            <w:shd w:val="clear" w:color="auto" w:fill="auto"/>
            <w:noWrap/>
            <w:vAlign w:val="center"/>
          </w:tcPr>
          <w:p w14:paraId="7CFFE154">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0.01</w:t>
            </w:r>
          </w:p>
        </w:tc>
        <w:tc>
          <w:tcPr>
            <w:tcW w:w="582" w:type="pct"/>
            <w:shd w:val="clear" w:color="auto" w:fill="auto"/>
            <w:noWrap/>
            <w:vAlign w:val="center"/>
          </w:tcPr>
          <w:p w14:paraId="459D6630">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0.17</w:t>
            </w:r>
          </w:p>
        </w:tc>
        <w:tc>
          <w:tcPr>
            <w:tcW w:w="462" w:type="pct"/>
            <w:shd w:val="clear" w:color="auto" w:fill="auto"/>
            <w:noWrap/>
            <w:vAlign w:val="center"/>
          </w:tcPr>
          <w:p w14:paraId="3DD06F00">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2.69</w:t>
            </w:r>
          </w:p>
        </w:tc>
      </w:tr>
      <w:tr w14:paraId="58520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3" w:type="pct"/>
            <w:vMerge w:val="continue"/>
            <w:shd w:val="clear" w:color="auto" w:fill="auto"/>
            <w:vAlign w:val="center"/>
          </w:tcPr>
          <w:p w14:paraId="34223CF4">
            <w:pPr>
              <w:widowControl/>
              <w:spacing w:before="20" w:after="20" w:line="240" w:lineRule="auto"/>
              <w:ind w:firstLine="0" w:firstLineChars="0"/>
              <w:jc w:val="center"/>
              <w:rPr>
                <w:rFonts w:eastAsia="方正楷体_GBK" w:cs="Times New Roman"/>
                <w:sz w:val="22"/>
                <w:szCs w:val="22"/>
              </w:rPr>
            </w:pPr>
          </w:p>
        </w:tc>
        <w:tc>
          <w:tcPr>
            <w:tcW w:w="881" w:type="pct"/>
            <w:shd w:val="clear" w:color="auto" w:fill="auto"/>
            <w:vAlign w:val="center"/>
          </w:tcPr>
          <w:p w14:paraId="340252EC">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姜堰区</w:t>
            </w:r>
          </w:p>
        </w:tc>
        <w:tc>
          <w:tcPr>
            <w:tcW w:w="582" w:type="pct"/>
            <w:shd w:val="clear" w:color="auto" w:fill="auto"/>
            <w:noWrap/>
            <w:vAlign w:val="center"/>
          </w:tcPr>
          <w:p w14:paraId="64D3624C">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1.11</w:t>
            </w:r>
          </w:p>
        </w:tc>
        <w:tc>
          <w:tcPr>
            <w:tcW w:w="582" w:type="pct"/>
            <w:shd w:val="clear" w:color="auto" w:fill="auto"/>
            <w:noWrap/>
            <w:vAlign w:val="center"/>
          </w:tcPr>
          <w:p w14:paraId="4BF47ADD">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6.09</w:t>
            </w:r>
          </w:p>
        </w:tc>
        <w:tc>
          <w:tcPr>
            <w:tcW w:w="462" w:type="pct"/>
            <w:shd w:val="clear" w:color="auto" w:fill="auto"/>
            <w:noWrap/>
            <w:vAlign w:val="center"/>
          </w:tcPr>
          <w:p w14:paraId="0F685B93">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7.20</w:t>
            </w:r>
          </w:p>
        </w:tc>
        <w:tc>
          <w:tcPr>
            <w:tcW w:w="433" w:type="pct"/>
            <w:shd w:val="clear" w:color="auto" w:fill="auto"/>
            <w:noWrap/>
            <w:vAlign w:val="center"/>
          </w:tcPr>
          <w:p w14:paraId="010B0F3D">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0.46</w:t>
            </w:r>
          </w:p>
        </w:tc>
        <w:tc>
          <w:tcPr>
            <w:tcW w:w="582" w:type="pct"/>
            <w:shd w:val="clear" w:color="auto" w:fill="auto"/>
            <w:noWrap/>
            <w:vAlign w:val="center"/>
          </w:tcPr>
          <w:p w14:paraId="46F2F176">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0.05</w:t>
            </w:r>
          </w:p>
        </w:tc>
        <w:tc>
          <w:tcPr>
            <w:tcW w:w="582" w:type="pct"/>
            <w:shd w:val="clear" w:color="auto" w:fill="auto"/>
            <w:noWrap/>
            <w:vAlign w:val="center"/>
          </w:tcPr>
          <w:p w14:paraId="23D384E2">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0.12</w:t>
            </w:r>
          </w:p>
        </w:tc>
        <w:tc>
          <w:tcPr>
            <w:tcW w:w="462" w:type="pct"/>
            <w:shd w:val="clear" w:color="auto" w:fill="auto"/>
            <w:noWrap/>
            <w:vAlign w:val="center"/>
          </w:tcPr>
          <w:p w14:paraId="6D95A180">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7.82</w:t>
            </w:r>
          </w:p>
        </w:tc>
      </w:tr>
      <w:tr w14:paraId="3B226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3" w:type="pct"/>
            <w:vMerge w:val="continue"/>
            <w:shd w:val="clear" w:color="auto" w:fill="auto"/>
            <w:vAlign w:val="center"/>
          </w:tcPr>
          <w:p w14:paraId="6D8016C7">
            <w:pPr>
              <w:widowControl/>
              <w:spacing w:before="20" w:after="20" w:line="240" w:lineRule="auto"/>
              <w:ind w:firstLine="0" w:firstLineChars="0"/>
              <w:jc w:val="center"/>
              <w:rPr>
                <w:rFonts w:eastAsia="方正楷体_GBK" w:cs="Times New Roman"/>
                <w:sz w:val="22"/>
                <w:szCs w:val="22"/>
              </w:rPr>
            </w:pPr>
          </w:p>
        </w:tc>
        <w:tc>
          <w:tcPr>
            <w:tcW w:w="881" w:type="pct"/>
            <w:shd w:val="clear" w:color="auto" w:fill="auto"/>
            <w:vAlign w:val="center"/>
          </w:tcPr>
          <w:p w14:paraId="247D8C9C">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医药高新区</w:t>
            </w:r>
          </w:p>
        </w:tc>
        <w:tc>
          <w:tcPr>
            <w:tcW w:w="582" w:type="pct"/>
            <w:shd w:val="clear" w:color="auto" w:fill="auto"/>
            <w:noWrap/>
            <w:vAlign w:val="center"/>
          </w:tcPr>
          <w:p w14:paraId="72141342">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0.47</w:t>
            </w:r>
          </w:p>
        </w:tc>
        <w:tc>
          <w:tcPr>
            <w:tcW w:w="582" w:type="pct"/>
            <w:shd w:val="clear" w:color="auto" w:fill="auto"/>
            <w:noWrap/>
            <w:vAlign w:val="center"/>
          </w:tcPr>
          <w:p w14:paraId="228B58F0">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0.20</w:t>
            </w:r>
          </w:p>
        </w:tc>
        <w:tc>
          <w:tcPr>
            <w:tcW w:w="462" w:type="pct"/>
            <w:shd w:val="clear" w:color="auto" w:fill="auto"/>
            <w:noWrap/>
            <w:vAlign w:val="center"/>
          </w:tcPr>
          <w:p w14:paraId="437731E3">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0.68</w:t>
            </w:r>
          </w:p>
        </w:tc>
        <w:tc>
          <w:tcPr>
            <w:tcW w:w="433" w:type="pct"/>
            <w:shd w:val="clear" w:color="auto" w:fill="auto"/>
            <w:noWrap/>
            <w:vAlign w:val="center"/>
          </w:tcPr>
          <w:p w14:paraId="2E3AFF3F">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0.10</w:t>
            </w:r>
          </w:p>
        </w:tc>
        <w:tc>
          <w:tcPr>
            <w:tcW w:w="582" w:type="pct"/>
            <w:shd w:val="clear" w:color="auto" w:fill="auto"/>
            <w:noWrap/>
            <w:vAlign w:val="center"/>
          </w:tcPr>
          <w:p w14:paraId="22988B61">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0.00</w:t>
            </w:r>
          </w:p>
        </w:tc>
        <w:tc>
          <w:tcPr>
            <w:tcW w:w="582" w:type="pct"/>
            <w:shd w:val="clear" w:color="auto" w:fill="auto"/>
            <w:noWrap/>
            <w:vAlign w:val="center"/>
          </w:tcPr>
          <w:p w14:paraId="03808391">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0.15</w:t>
            </w:r>
          </w:p>
        </w:tc>
        <w:tc>
          <w:tcPr>
            <w:tcW w:w="462" w:type="pct"/>
            <w:shd w:val="clear" w:color="auto" w:fill="auto"/>
            <w:noWrap/>
            <w:vAlign w:val="center"/>
          </w:tcPr>
          <w:p w14:paraId="2EF98F00">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0.93</w:t>
            </w:r>
          </w:p>
        </w:tc>
      </w:tr>
      <w:tr w14:paraId="45032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3" w:type="pct"/>
            <w:vMerge w:val="continue"/>
            <w:shd w:val="clear" w:color="auto" w:fill="auto"/>
            <w:vAlign w:val="center"/>
          </w:tcPr>
          <w:p w14:paraId="326A8216">
            <w:pPr>
              <w:widowControl/>
              <w:spacing w:before="20" w:after="20" w:line="240" w:lineRule="auto"/>
              <w:ind w:firstLine="0" w:firstLineChars="0"/>
              <w:jc w:val="center"/>
              <w:rPr>
                <w:rFonts w:eastAsia="方正楷体_GBK" w:cs="Times New Roman"/>
                <w:sz w:val="22"/>
                <w:szCs w:val="22"/>
              </w:rPr>
            </w:pPr>
          </w:p>
        </w:tc>
        <w:tc>
          <w:tcPr>
            <w:tcW w:w="881" w:type="pct"/>
            <w:shd w:val="clear" w:color="auto" w:fill="auto"/>
            <w:vAlign w:val="center"/>
          </w:tcPr>
          <w:p w14:paraId="44D0CF52">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兴化市</w:t>
            </w:r>
          </w:p>
        </w:tc>
        <w:tc>
          <w:tcPr>
            <w:tcW w:w="582" w:type="pct"/>
            <w:shd w:val="clear" w:color="auto" w:fill="auto"/>
            <w:noWrap/>
            <w:vAlign w:val="center"/>
          </w:tcPr>
          <w:p w14:paraId="3E9DFF34">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1.72</w:t>
            </w:r>
          </w:p>
        </w:tc>
        <w:tc>
          <w:tcPr>
            <w:tcW w:w="582" w:type="pct"/>
            <w:shd w:val="clear" w:color="auto" w:fill="auto"/>
            <w:noWrap/>
            <w:vAlign w:val="center"/>
          </w:tcPr>
          <w:p w14:paraId="35309709">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16.27</w:t>
            </w:r>
          </w:p>
        </w:tc>
        <w:tc>
          <w:tcPr>
            <w:tcW w:w="462" w:type="pct"/>
            <w:shd w:val="clear" w:color="auto" w:fill="auto"/>
            <w:noWrap/>
            <w:vAlign w:val="center"/>
          </w:tcPr>
          <w:p w14:paraId="32E3EE09">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17.99</w:t>
            </w:r>
          </w:p>
        </w:tc>
        <w:tc>
          <w:tcPr>
            <w:tcW w:w="433" w:type="pct"/>
            <w:shd w:val="clear" w:color="auto" w:fill="auto"/>
            <w:noWrap/>
            <w:vAlign w:val="center"/>
          </w:tcPr>
          <w:p w14:paraId="57FC3E0C">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1.11</w:t>
            </w:r>
          </w:p>
        </w:tc>
        <w:tc>
          <w:tcPr>
            <w:tcW w:w="582" w:type="pct"/>
            <w:shd w:val="clear" w:color="auto" w:fill="auto"/>
            <w:noWrap/>
            <w:vAlign w:val="center"/>
          </w:tcPr>
          <w:p w14:paraId="49CD891E">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0.05</w:t>
            </w:r>
          </w:p>
        </w:tc>
        <w:tc>
          <w:tcPr>
            <w:tcW w:w="582" w:type="pct"/>
            <w:shd w:val="clear" w:color="auto" w:fill="auto"/>
            <w:noWrap/>
            <w:vAlign w:val="center"/>
          </w:tcPr>
          <w:p w14:paraId="45DA6795">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0.11</w:t>
            </w:r>
          </w:p>
        </w:tc>
        <w:tc>
          <w:tcPr>
            <w:tcW w:w="462" w:type="pct"/>
            <w:shd w:val="clear" w:color="auto" w:fill="auto"/>
            <w:noWrap/>
            <w:vAlign w:val="center"/>
          </w:tcPr>
          <w:p w14:paraId="6862B9C5">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19.27</w:t>
            </w:r>
          </w:p>
        </w:tc>
      </w:tr>
      <w:tr w14:paraId="34B5D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3" w:type="pct"/>
            <w:vMerge w:val="continue"/>
            <w:shd w:val="clear" w:color="auto" w:fill="auto"/>
            <w:vAlign w:val="center"/>
          </w:tcPr>
          <w:p w14:paraId="7004E877">
            <w:pPr>
              <w:widowControl/>
              <w:spacing w:before="20" w:after="20" w:line="240" w:lineRule="auto"/>
              <w:ind w:firstLine="0" w:firstLineChars="0"/>
              <w:jc w:val="center"/>
              <w:rPr>
                <w:rFonts w:eastAsia="方正楷体_GBK" w:cs="Times New Roman"/>
                <w:sz w:val="22"/>
                <w:szCs w:val="22"/>
              </w:rPr>
            </w:pPr>
          </w:p>
        </w:tc>
        <w:tc>
          <w:tcPr>
            <w:tcW w:w="881" w:type="pct"/>
            <w:shd w:val="clear" w:color="auto" w:fill="auto"/>
            <w:vAlign w:val="center"/>
          </w:tcPr>
          <w:p w14:paraId="730CC05B">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靖江市</w:t>
            </w:r>
          </w:p>
        </w:tc>
        <w:tc>
          <w:tcPr>
            <w:tcW w:w="582" w:type="pct"/>
            <w:shd w:val="clear" w:color="auto" w:fill="auto"/>
            <w:noWrap/>
            <w:vAlign w:val="center"/>
          </w:tcPr>
          <w:p w14:paraId="756FB7E7">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1.42</w:t>
            </w:r>
          </w:p>
        </w:tc>
        <w:tc>
          <w:tcPr>
            <w:tcW w:w="582" w:type="pct"/>
            <w:shd w:val="clear" w:color="auto" w:fill="auto"/>
            <w:noWrap/>
            <w:vAlign w:val="center"/>
          </w:tcPr>
          <w:p w14:paraId="6DB7052D">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3.33</w:t>
            </w:r>
          </w:p>
        </w:tc>
        <w:tc>
          <w:tcPr>
            <w:tcW w:w="462" w:type="pct"/>
            <w:shd w:val="clear" w:color="auto" w:fill="auto"/>
            <w:noWrap/>
            <w:vAlign w:val="center"/>
          </w:tcPr>
          <w:p w14:paraId="7509E319">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4.76</w:t>
            </w:r>
          </w:p>
        </w:tc>
        <w:tc>
          <w:tcPr>
            <w:tcW w:w="433" w:type="pct"/>
            <w:shd w:val="clear" w:color="auto" w:fill="auto"/>
            <w:noWrap/>
            <w:vAlign w:val="center"/>
          </w:tcPr>
          <w:p w14:paraId="528E7B84">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0.36</w:t>
            </w:r>
          </w:p>
        </w:tc>
        <w:tc>
          <w:tcPr>
            <w:tcW w:w="582" w:type="pct"/>
            <w:shd w:val="clear" w:color="auto" w:fill="auto"/>
            <w:noWrap/>
            <w:vAlign w:val="center"/>
          </w:tcPr>
          <w:p w14:paraId="5DA08EF7">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0.01</w:t>
            </w:r>
          </w:p>
        </w:tc>
        <w:tc>
          <w:tcPr>
            <w:tcW w:w="582" w:type="pct"/>
            <w:shd w:val="clear" w:color="auto" w:fill="auto"/>
            <w:noWrap/>
            <w:vAlign w:val="center"/>
          </w:tcPr>
          <w:p w14:paraId="39C9D514">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0.22</w:t>
            </w:r>
          </w:p>
        </w:tc>
        <w:tc>
          <w:tcPr>
            <w:tcW w:w="462" w:type="pct"/>
            <w:shd w:val="clear" w:color="auto" w:fill="auto"/>
            <w:noWrap/>
            <w:vAlign w:val="center"/>
          </w:tcPr>
          <w:p w14:paraId="13BE72D7">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5.33</w:t>
            </w:r>
          </w:p>
        </w:tc>
      </w:tr>
      <w:tr w14:paraId="5A15A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3" w:type="pct"/>
            <w:vMerge w:val="continue"/>
            <w:shd w:val="clear" w:color="auto" w:fill="auto"/>
            <w:vAlign w:val="center"/>
          </w:tcPr>
          <w:p w14:paraId="6C24FD05">
            <w:pPr>
              <w:widowControl/>
              <w:spacing w:before="20" w:after="20" w:line="240" w:lineRule="auto"/>
              <w:ind w:firstLine="0" w:firstLineChars="0"/>
              <w:jc w:val="center"/>
              <w:rPr>
                <w:rFonts w:eastAsia="方正楷体_GBK" w:cs="Times New Roman"/>
                <w:sz w:val="22"/>
                <w:szCs w:val="22"/>
              </w:rPr>
            </w:pPr>
          </w:p>
        </w:tc>
        <w:tc>
          <w:tcPr>
            <w:tcW w:w="881" w:type="pct"/>
            <w:shd w:val="clear" w:color="auto" w:fill="auto"/>
            <w:vAlign w:val="center"/>
          </w:tcPr>
          <w:p w14:paraId="72C7046D">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泰兴市</w:t>
            </w:r>
          </w:p>
        </w:tc>
        <w:tc>
          <w:tcPr>
            <w:tcW w:w="582" w:type="pct"/>
            <w:shd w:val="clear" w:color="auto" w:fill="auto"/>
            <w:noWrap/>
            <w:vAlign w:val="center"/>
          </w:tcPr>
          <w:p w14:paraId="236642BB">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1.84</w:t>
            </w:r>
          </w:p>
        </w:tc>
        <w:tc>
          <w:tcPr>
            <w:tcW w:w="582" w:type="pct"/>
            <w:shd w:val="clear" w:color="auto" w:fill="auto"/>
            <w:noWrap/>
            <w:vAlign w:val="center"/>
          </w:tcPr>
          <w:p w14:paraId="0BFFD388">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7.30</w:t>
            </w:r>
          </w:p>
        </w:tc>
        <w:tc>
          <w:tcPr>
            <w:tcW w:w="462" w:type="pct"/>
            <w:shd w:val="clear" w:color="auto" w:fill="auto"/>
            <w:noWrap/>
            <w:vAlign w:val="center"/>
          </w:tcPr>
          <w:p w14:paraId="471CB6C4">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9.14</w:t>
            </w:r>
          </w:p>
        </w:tc>
        <w:tc>
          <w:tcPr>
            <w:tcW w:w="433" w:type="pct"/>
            <w:shd w:val="clear" w:color="auto" w:fill="auto"/>
            <w:noWrap/>
            <w:vAlign w:val="center"/>
          </w:tcPr>
          <w:p w14:paraId="334C4D59">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0.66</w:t>
            </w:r>
          </w:p>
        </w:tc>
        <w:tc>
          <w:tcPr>
            <w:tcW w:w="582" w:type="pct"/>
            <w:shd w:val="clear" w:color="auto" w:fill="auto"/>
            <w:noWrap/>
            <w:vAlign w:val="center"/>
          </w:tcPr>
          <w:p w14:paraId="7AEF06E0">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0.02</w:t>
            </w:r>
          </w:p>
        </w:tc>
        <w:tc>
          <w:tcPr>
            <w:tcW w:w="582" w:type="pct"/>
            <w:shd w:val="clear" w:color="auto" w:fill="auto"/>
            <w:noWrap/>
            <w:vAlign w:val="center"/>
          </w:tcPr>
          <w:p w14:paraId="762AAB6D">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0.25</w:t>
            </w:r>
          </w:p>
        </w:tc>
        <w:tc>
          <w:tcPr>
            <w:tcW w:w="462" w:type="pct"/>
            <w:shd w:val="clear" w:color="auto" w:fill="auto"/>
            <w:noWrap/>
            <w:vAlign w:val="center"/>
          </w:tcPr>
          <w:p w14:paraId="518FCD36">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10.07</w:t>
            </w:r>
          </w:p>
        </w:tc>
      </w:tr>
      <w:tr w14:paraId="648CC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3" w:type="pct"/>
            <w:vMerge w:val="continue"/>
            <w:shd w:val="clear" w:color="auto" w:fill="auto"/>
            <w:vAlign w:val="center"/>
          </w:tcPr>
          <w:p w14:paraId="664D343E">
            <w:pPr>
              <w:widowControl/>
              <w:spacing w:before="20" w:after="20" w:line="240" w:lineRule="auto"/>
              <w:ind w:firstLine="0" w:firstLineChars="0"/>
              <w:jc w:val="center"/>
              <w:rPr>
                <w:rFonts w:eastAsia="方正楷体_GBK" w:cs="Times New Roman"/>
                <w:sz w:val="22"/>
                <w:szCs w:val="22"/>
              </w:rPr>
            </w:pPr>
          </w:p>
        </w:tc>
        <w:tc>
          <w:tcPr>
            <w:tcW w:w="881" w:type="pct"/>
            <w:shd w:val="clear" w:color="auto" w:fill="auto"/>
            <w:vAlign w:val="center"/>
          </w:tcPr>
          <w:p w14:paraId="2D1F13C0">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合计</w:t>
            </w:r>
          </w:p>
        </w:tc>
        <w:tc>
          <w:tcPr>
            <w:tcW w:w="582" w:type="pct"/>
            <w:shd w:val="clear" w:color="auto" w:fill="auto"/>
            <w:noWrap/>
            <w:vAlign w:val="center"/>
          </w:tcPr>
          <w:p w14:paraId="7FEB4645">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9.28</w:t>
            </w:r>
          </w:p>
        </w:tc>
        <w:tc>
          <w:tcPr>
            <w:tcW w:w="582" w:type="pct"/>
            <w:shd w:val="clear" w:color="auto" w:fill="auto"/>
            <w:noWrap/>
            <w:vAlign w:val="center"/>
          </w:tcPr>
          <w:p w14:paraId="0511D671">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40.29</w:t>
            </w:r>
          </w:p>
        </w:tc>
        <w:tc>
          <w:tcPr>
            <w:tcW w:w="462" w:type="pct"/>
            <w:shd w:val="clear" w:color="auto" w:fill="auto"/>
            <w:noWrap/>
            <w:vAlign w:val="center"/>
          </w:tcPr>
          <w:p w14:paraId="456E9453">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49.57</w:t>
            </w:r>
          </w:p>
        </w:tc>
        <w:tc>
          <w:tcPr>
            <w:tcW w:w="433" w:type="pct"/>
            <w:shd w:val="clear" w:color="auto" w:fill="auto"/>
            <w:noWrap/>
            <w:vAlign w:val="center"/>
          </w:tcPr>
          <w:p w14:paraId="35D9E6D8">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2.99</w:t>
            </w:r>
          </w:p>
        </w:tc>
        <w:tc>
          <w:tcPr>
            <w:tcW w:w="582" w:type="pct"/>
            <w:shd w:val="clear" w:color="auto" w:fill="auto"/>
            <w:noWrap/>
            <w:vAlign w:val="center"/>
          </w:tcPr>
          <w:p w14:paraId="4700F27F">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0.14</w:t>
            </w:r>
          </w:p>
        </w:tc>
        <w:tc>
          <w:tcPr>
            <w:tcW w:w="582" w:type="pct"/>
            <w:shd w:val="clear" w:color="auto" w:fill="auto"/>
            <w:noWrap/>
            <w:vAlign w:val="center"/>
          </w:tcPr>
          <w:p w14:paraId="7E383FCA">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1.25</w:t>
            </w:r>
          </w:p>
        </w:tc>
        <w:tc>
          <w:tcPr>
            <w:tcW w:w="462" w:type="pct"/>
            <w:shd w:val="clear" w:color="auto" w:fill="auto"/>
            <w:noWrap/>
            <w:vAlign w:val="center"/>
          </w:tcPr>
          <w:p w14:paraId="04E8E263">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53.96</w:t>
            </w:r>
          </w:p>
        </w:tc>
      </w:tr>
      <w:tr w14:paraId="71305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3" w:type="pct"/>
            <w:vMerge w:val="restart"/>
            <w:shd w:val="clear" w:color="auto" w:fill="auto"/>
            <w:noWrap/>
            <w:vAlign w:val="center"/>
          </w:tcPr>
          <w:p w14:paraId="7A30F61E">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P=</w:t>
            </w:r>
          </w:p>
          <w:p w14:paraId="1A73A100">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95%</w:t>
            </w:r>
          </w:p>
        </w:tc>
        <w:tc>
          <w:tcPr>
            <w:tcW w:w="881" w:type="pct"/>
            <w:shd w:val="clear" w:color="auto" w:fill="auto"/>
            <w:vAlign w:val="center"/>
          </w:tcPr>
          <w:p w14:paraId="0D873B15">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海陵区</w:t>
            </w:r>
          </w:p>
        </w:tc>
        <w:tc>
          <w:tcPr>
            <w:tcW w:w="582" w:type="pct"/>
            <w:shd w:val="clear" w:color="auto" w:fill="auto"/>
            <w:noWrap/>
            <w:vAlign w:val="center"/>
          </w:tcPr>
          <w:p w14:paraId="5224183D">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1.94</w:t>
            </w:r>
          </w:p>
        </w:tc>
        <w:tc>
          <w:tcPr>
            <w:tcW w:w="582" w:type="pct"/>
            <w:shd w:val="clear" w:color="auto" w:fill="auto"/>
            <w:noWrap/>
            <w:vAlign w:val="center"/>
          </w:tcPr>
          <w:p w14:paraId="5EB037A2">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1.48</w:t>
            </w:r>
          </w:p>
        </w:tc>
        <w:tc>
          <w:tcPr>
            <w:tcW w:w="462" w:type="pct"/>
            <w:shd w:val="clear" w:color="auto" w:fill="auto"/>
            <w:noWrap/>
            <w:vAlign w:val="center"/>
          </w:tcPr>
          <w:p w14:paraId="48245702">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3.42</w:t>
            </w:r>
          </w:p>
        </w:tc>
        <w:tc>
          <w:tcPr>
            <w:tcW w:w="433" w:type="pct"/>
            <w:shd w:val="clear" w:color="auto" w:fill="auto"/>
            <w:noWrap/>
            <w:vAlign w:val="center"/>
          </w:tcPr>
          <w:p w14:paraId="7653B564">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0.09</w:t>
            </w:r>
          </w:p>
        </w:tc>
        <w:tc>
          <w:tcPr>
            <w:tcW w:w="582" w:type="pct"/>
            <w:shd w:val="clear" w:color="auto" w:fill="auto"/>
            <w:noWrap/>
            <w:vAlign w:val="center"/>
          </w:tcPr>
          <w:p w14:paraId="07F6482B">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0.01</w:t>
            </w:r>
          </w:p>
        </w:tc>
        <w:tc>
          <w:tcPr>
            <w:tcW w:w="582" w:type="pct"/>
            <w:shd w:val="clear" w:color="auto" w:fill="auto"/>
            <w:noWrap/>
            <w:vAlign w:val="center"/>
          </w:tcPr>
          <w:p w14:paraId="1AF9D13D">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0.23</w:t>
            </w:r>
          </w:p>
        </w:tc>
        <w:tc>
          <w:tcPr>
            <w:tcW w:w="462" w:type="pct"/>
            <w:shd w:val="clear" w:color="auto" w:fill="auto"/>
            <w:noWrap/>
            <w:vAlign w:val="center"/>
          </w:tcPr>
          <w:p w14:paraId="40A89FF3">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3.75</w:t>
            </w:r>
          </w:p>
        </w:tc>
      </w:tr>
      <w:tr w14:paraId="131FA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3" w:type="pct"/>
            <w:vMerge w:val="continue"/>
            <w:shd w:val="clear" w:color="auto" w:fill="auto"/>
            <w:vAlign w:val="center"/>
          </w:tcPr>
          <w:p w14:paraId="6E84F339">
            <w:pPr>
              <w:widowControl/>
              <w:spacing w:before="20" w:after="20" w:line="240" w:lineRule="auto"/>
              <w:ind w:firstLine="0" w:firstLineChars="0"/>
              <w:jc w:val="center"/>
              <w:rPr>
                <w:rFonts w:eastAsia="方正楷体_GBK" w:cs="Times New Roman"/>
                <w:sz w:val="22"/>
                <w:szCs w:val="22"/>
              </w:rPr>
            </w:pPr>
          </w:p>
        </w:tc>
        <w:tc>
          <w:tcPr>
            <w:tcW w:w="881" w:type="pct"/>
            <w:shd w:val="clear" w:color="auto" w:fill="auto"/>
            <w:vAlign w:val="center"/>
          </w:tcPr>
          <w:p w14:paraId="7CE68DC5">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高港区</w:t>
            </w:r>
          </w:p>
        </w:tc>
        <w:tc>
          <w:tcPr>
            <w:tcW w:w="582" w:type="pct"/>
            <w:shd w:val="clear" w:color="auto" w:fill="auto"/>
            <w:noWrap/>
            <w:vAlign w:val="center"/>
          </w:tcPr>
          <w:p w14:paraId="4DFB7F9F">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0.79</w:t>
            </w:r>
          </w:p>
        </w:tc>
        <w:tc>
          <w:tcPr>
            <w:tcW w:w="582" w:type="pct"/>
            <w:shd w:val="clear" w:color="auto" w:fill="auto"/>
            <w:noWrap/>
            <w:vAlign w:val="center"/>
          </w:tcPr>
          <w:p w14:paraId="2962298F">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2.10</w:t>
            </w:r>
          </w:p>
        </w:tc>
        <w:tc>
          <w:tcPr>
            <w:tcW w:w="462" w:type="pct"/>
            <w:shd w:val="clear" w:color="auto" w:fill="auto"/>
            <w:noWrap/>
            <w:vAlign w:val="center"/>
          </w:tcPr>
          <w:p w14:paraId="57A555AA">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2.87</w:t>
            </w:r>
          </w:p>
        </w:tc>
        <w:tc>
          <w:tcPr>
            <w:tcW w:w="433" w:type="pct"/>
            <w:shd w:val="clear" w:color="auto" w:fill="auto"/>
            <w:noWrap/>
            <w:vAlign w:val="center"/>
          </w:tcPr>
          <w:p w14:paraId="37629B23">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0.07</w:t>
            </w:r>
          </w:p>
        </w:tc>
        <w:tc>
          <w:tcPr>
            <w:tcW w:w="582" w:type="pct"/>
            <w:shd w:val="clear" w:color="auto" w:fill="auto"/>
            <w:noWrap/>
            <w:vAlign w:val="center"/>
          </w:tcPr>
          <w:p w14:paraId="76836D6C">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0.01</w:t>
            </w:r>
          </w:p>
        </w:tc>
        <w:tc>
          <w:tcPr>
            <w:tcW w:w="582" w:type="pct"/>
            <w:shd w:val="clear" w:color="auto" w:fill="auto"/>
            <w:noWrap/>
            <w:vAlign w:val="center"/>
          </w:tcPr>
          <w:p w14:paraId="6234E607">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0.17</w:t>
            </w:r>
          </w:p>
        </w:tc>
        <w:tc>
          <w:tcPr>
            <w:tcW w:w="462" w:type="pct"/>
            <w:shd w:val="clear" w:color="auto" w:fill="auto"/>
            <w:noWrap/>
            <w:vAlign w:val="center"/>
          </w:tcPr>
          <w:p w14:paraId="4914D20C">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3.13</w:t>
            </w:r>
          </w:p>
        </w:tc>
      </w:tr>
      <w:tr w14:paraId="107B8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3" w:type="pct"/>
            <w:vMerge w:val="continue"/>
            <w:shd w:val="clear" w:color="auto" w:fill="auto"/>
            <w:vAlign w:val="center"/>
          </w:tcPr>
          <w:p w14:paraId="41CC95FA">
            <w:pPr>
              <w:widowControl/>
              <w:spacing w:before="20" w:after="20" w:line="240" w:lineRule="auto"/>
              <w:ind w:firstLine="0" w:firstLineChars="0"/>
              <w:jc w:val="center"/>
              <w:rPr>
                <w:rFonts w:eastAsia="方正楷体_GBK" w:cs="Times New Roman"/>
                <w:sz w:val="22"/>
                <w:szCs w:val="22"/>
              </w:rPr>
            </w:pPr>
          </w:p>
        </w:tc>
        <w:tc>
          <w:tcPr>
            <w:tcW w:w="881" w:type="pct"/>
            <w:shd w:val="clear" w:color="auto" w:fill="auto"/>
            <w:vAlign w:val="center"/>
          </w:tcPr>
          <w:p w14:paraId="7F13AD71">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姜堰区</w:t>
            </w:r>
          </w:p>
        </w:tc>
        <w:tc>
          <w:tcPr>
            <w:tcW w:w="582" w:type="pct"/>
            <w:shd w:val="clear" w:color="auto" w:fill="auto"/>
            <w:noWrap/>
            <w:vAlign w:val="center"/>
          </w:tcPr>
          <w:p w14:paraId="1FAEFBED">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1.11</w:t>
            </w:r>
          </w:p>
        </w:tc>
        <w:tc>
          <w:tcPr>
            <w:tcW w:w="582" w:type="pct"/>
            <w:shd w:val="clear" w:color="auto" w:fill="auto"/>
            <w:noWrap/>
            <w:vAlign w:val="center"/>
          </w:tcPr>
          <w:p w14:paraId="6D5ADDEF">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8.25</w:t>
            </w:r>
          </w:p>
        </w:tc>
        <w:tc>
          <w:tcPr>
            <w:tcW w:w="462" w:type="pct"/>
            <w:shd w:val="clear" w:color="auto" w:fill="auto"/>
            <w:noWrap/>
            <w:vAlign w:val="center"/>
          </w:tcPr>
          <w:p w14:paraId="5A593BFD">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9.35</w:t>
            </w:r>
          </w:p>
        </w:tc>
        <w:tc>
          <w:tcPr>
            <w:tcW w:w="433" w:type="pct"/>
            <w:shd w:val="clear" w:color="auto" w:fill="auto"/>
            <w:noWrap/>
            <w:vAlign w:val="center"/>
          </w:tcPr>
          <w:p w14:paraId="7EECB3E0">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0.19</w:t>
            </w:r>
          </w:p>
        </w:tc>
        <w:tc>
          <w:tcPr>
            <w:tcW w:w="582" w:type="pct"/>
            <w:shd w:val="clear" w:color="auto" w:fill="auto"/>
            <w:noWrap/>
            <w:vAlign w:val="center"/>
          </w:tcPr>
          <w:p w14:paraId="7F51017F">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0.05</w:t>
            </w:r>
          </w:p>
        </w:tc>
        <w:tc>
          <w:tcPr>
            <w:tcW w:w="582" w:type="pct"/>
            <w:shd w:val="clear" w:color="auto" w:fill="auto"/>
            <w:noWrap/>
            <w:vAlign w:val="center"/>
          </w:tcPr>
          <w:p w14:paraId="586FA21E">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0.12</w:t>
            </w:r>
          </w:p>
        </w:tc>
        <w:tc>
          <w:tcPr>
            <w:tcW w:w="462" w:type="pct"/>
            <w:shd w:val="clear" w:color="auto" w:fill="auto"/>
            <w:noWrap/>
            <w:vAlign w:val="center"/>
          </w:tcPr>
          <w:p w14:paraId="70BBE253">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9.70</w:t>
            </w:r>
          </w:p>
        </w:tc>
      </w:tr>
      <w:tr w14:paraId="69D3D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3" w:type="pct"/>
            <w:vMerge w:val="continue"/>
            <w:shd w:val="clear" w:color="auto" w:fill="auto"/>
            <w:vAlign w:val="center"/>
          </w:tcPr>
          <w:p w14:paraId="62DE2522">
            <w:pPr>
              <w:widowControl/>
              <w:spacing w:before="20" w:after="20" w:line="240" w:lineRule="auto"/>
              <w:ind w:firstLine="0" w:firstLineChars="0"/>
              <w:jc w:val="center"/>
              <w:rPr>
                <w:rFonts w:eastAsia="方正楷体_GBK" w:cs="Times New Roman"/>
                <w:sz w:val="22"/>
                <w:szCs w:val="22"/>
              </w:rPr>
            </w:pPr>
          </w:p>
        </w:tc>
        <w:tc>
          <w:tcPr>
            <w:tcW w:w="881" w:type="pct"/>
            <w:shd w:val="clear" w:color="auto" w:fill="auto"/>
            <w:vAlign w:val="center"/>
          </w:tcPr>
          <w:p w14:paraId="7E6CED35">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医药高新区</w:t>
            </w:r>
          </w:p>
        </w:tc>
        <w:tc>
          <w:tcPr>
            <w:tcW w:w="582" w:type="pct"/>
            <w:shd w:val="clear" w:color="auto" w:fill="auto"/>
            <w:noWrap/>
            <w:vAlign w:val="center"/>
          </w:tcPr>
          <w:p w14:paraId="6495971F">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0.47</w:t>
            </w:r>
          </w:p>
        </w:tc>
        <w:tc>
          <w:tcPr>
            <w:tcW w:w="582" w:type="pct"/>
            <w:shd w:val="clear" w:color="auto" w:fill="auto"/>
            <w:noWrap/>
            <w:vAlign w:val="center"/>
          </w:tcPr>
          <w:p w14:paraId="1677CD3C">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0.33</w:t>
            </w:r>
          </w:p>
        </w:tc>
        <w:tc>
          <w:tcPr>
            <w:tcW w:w="462" w:type="pct"/>
            <w:shd w:val="clear" w:color="auto" w:fill="auto"/>
            <w:noWrap/>
            <w:vAlign w:val="center"/>
          </w:tcPr>
          <w:p w14:paraId="7605D2BB">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0.80</w:t>
            </w:r>
          </w:p>
        </w:tc>
        <w:tc>
          <w:tcPr>
            <w:tcW w:w="433" w:type="pct"/>
            <w:shd w:val="clear" w:color="auto" w:fill="auto"/>
            <w:noWrap/>
            <w:vAlign w:val="center"/>
          </w:tcPr>
          <w:p w14:paraId="0E323208">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0.06</w:t>
            </w:r>
          </w:p>
        </w:tc>
        <w:tc>
          <w:tcPr>
            <w:tcW w:w="582" w:type="pct"/>
            <w:shd w:val="clear" w:color="auto" w:fill="auto"/>
            <w:noWrap/>
            <w:vAlign w:val="center"/>
          </w:tcPr>
          <w:p w14:paraId="28B89E14">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0.00</w:t>
            </w:r>
          </w:p>
        </w:tc>
        <w:tc>
          <w:tcPr>
            <w:tcW w:w="582" w:type="pct"/>
            <w:shd w:val="clear" w:color="auto" w:fill="auto"/>
            <w:noWrap/>
            <w:vAlign w:val="center"/>
          </w:tcPr>
          <w:p w14:paraId="3783E9E8">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0.15</w:t>
            </w:r>
          </w:p>
        </w:tc>
        <w:tc>
          <w:tcPr>
            <w:tcW w:w="462" w:type="pct"/>
            <w:shd w:val="clear" w:color="auto" w:fill="auto"/>
            <w:noWrap/>
            <w:vAlign w:val="center"/>
          </w:tcPr>
          <w:p w14:paraId="3B565D27">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1.02</w:t>
            </w:r>
          </w:p>
        </w:tc>
      </w:tr>
      <w:tr w14:paraId="2D58D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3" w:type="pct"/>
            <w:vMerge w:val="continue"/>
            <w:shd w:val="clear" w:color="auto" w:fill="auto"/>
            <w:vAlign w:val="center"/>
          </w:tcPr>
          <w:p w14:paraId="157C071D">
            <w:pPr>
              <w:widowControl/>
              <w:spacing w:before="20" w:after="20" w:line="240" w:lineRule="auto"/>
              <w:ind w:firstLine="0" w:firstLineChars="0"/>
              <w:jc w:val="center"/>
              <w:rPr>
                <w:rFonts w:eastAsia="方正楷体_GBK" w:cs="Times New Roman"/>
                <w:sz w:val="22"/>
                <w:szCs w:val="22"/>
              </w:rPr>
            </w:pPr>
          </w:p>
        </w:tc>
        <w:tc>
          <w:tcPr>
            <w:tcW w:w="881" w:type="pct"/>
            <w:shd w:val="clear" w:color="auto" w:fill="auto"/>
            <w:vAlign w:val="center"/>
          </w:tcPr>
          <w:p w14:paraId="4E286161">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兴化市</w:t>
            </w:r>
          </w:p>
        </w:tc>
        <w:tc>
          <w:tcPr>
            <w:tcW w:w="582" w:type="pct"/>
            <w:shd w:val="clear" w:color="auto" w:fill="auto"/>
            <w:noWrap/>
            <w:vAlign w:val="center"/>
          </w:tcPr>
          <w:p w14:paraId="3AECE8B9">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1.72</w:t>
            </w:r>
          </w:p>
        </w:tc>
        <w:tc>
          <w:tcPr>
            <w:tcW w:w="582" w:type="pct"/>
            <w:shd w:val="clear" w:color="auto" w:fill="auto"/>
            <w:noWrap/>
            <w:vAlign w:val="center"/>
          </w:tcPr>
          <w:p w14:paraId="567E6997">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21.87</w:t>
            </w:r>
          </w:p>
        </w:tc>
        <w:tc>
          <w:tcPr>
            <w:tcW w:w="462" w:type="pct"/>
            <w:shd w:val="clear" w:color="auto" w:fill="auto"/>
            <w:noWrap/>
            <w:vAlign w:val="center"/>
          </w:tcPr>
          <w:p w14:paraId="7DC0D55E">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23.59</w:t>
            </w:r>
          </w:p>
        </w:tc>
        <w:tc>
          <w:tcPr>
            <w:tcW w:w="433" w:type="pct"/>
            <w:shd w:val="clear" w:color="auto" w:fill="auto"/>
            <w:noWrap/>
            <w:vAlign w:val="center"/>
          </w:tcPr>
          <w:p w14:paraId="383234AD">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0.37</w:t>
            </w:r>
          </w:p>
        </w:tc>
        <w:tc>
          <w:tcPr>
            <w:tcW w:w="582" w:type="pct"/>
            <w:shd w:val="clear" w:color="auto" w:fill="auto"/>
            <w:noWrap/>
            <w:vAlign w:val="center"/>
          </w:tcPr>
          <w:p w14:paraId="704837E6">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0.05</w:t>
            </w:r>
          </w:p>
        </w:tc>
        <w:tc>
          <w:tcPr>
            <w:tcW w:w="582" w:type="pct"/>
            <w:shd w:val="clear" w:color="auto" w:fill="auto"/>
            <w:noWrap/>
            <w:vAlign w:val="center"/>
          </w:tcPr>
          <w:p w14:paraId="4DAEE4B3">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0.11</w:t>
            </w:r>
          </w:p>
        </w:tc>
        <w:tc>
          <w:tcPr>
            <w:tcW w:w="462" w:type="pct"/>
            <w:shd w:val="clear" w:color="auto" w:fill="auto"/>
            <w:noWrap/>
            <w:vAlign w:val="center"/>
          </w:tcPr>
          <w:p w14:paraId="15B304AD">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24.14</w:t>
            </w:r>
          </w:p>
        </w:tc>
      </w:tr>
      <w:tr w14:paraId="30EE1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3" w:type="pct"/>
            <w:vMerge w:val="continue"/>
            <w:shd w:val="clear" w:color="auto" w:fill="auto"/>
            <w:vAlign w:val="center"/>
          </w:tcPr>
          <w:p w14:paraId="7D70DAD8">
            <w:pPr>
              <w:widowControl/>
              <w:spacing w:before="20" w:after="20" w:line="240" w:lineRule="auto"/>
              <w:ind w:firstLine="0" w:firstLineChars="0"/>
              <w:jc w:val="center"/>
              <w:rPr>
                <w:rFonts w:eastAsia="方正楷体_GBK" w:cs="Times New Roman"/>
                <w:sz w:val="22"/>
                <w:szCs w:val="22"/>
              </w:rPr>
            </w:pPr>
          </w:p>
        </w:tc>
        <w:tc>
          <w:tcPr>
            <w:tcW w:w="881" w:type="pct"/>
            <w:shd w:val="clear" w:color="auto" w:fill="auto"/>
            <w:vAlign w:val="center"/>
          </w:tcPr>
          <w:p w14:paraId="2EDF6EE8">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靖江市</w:t>
            </w:r>
          </w:p>
        </w:tc>
        <w:tc>
          <w:tcPr>
            <w:tcW w:w="582" w:type="pct"/>
            <w:shd w:val="clear" w:color="auto" w:fill="auto"/>
            <w:noWrap/>
            <w:vAlign w:val="center"/>
          </w:tcPr>
          <w:p w14:paraId="1FE77B1C">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1.42</w:t>
            </w:r>
          </w:p>
        </w:tc>
        <w:tc>
          <w:tcPr>
            <w:tcW w:w="582" w:type="pct"/>
            <w:shd w:val="clear" w:color="auto" w:fill="auto"/>
            <w:noWrap/>
            <w:vAlign w:val="center"/>
          </w:tcPr>
          <w:p w14:paraId="0D6F6E49">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4.58</w:t>
            </w:r>
          </w:p>
        </w:tc>
        <w:tc>
          <w:tcPr>
            <w:tcW w:w="462" w:type="pct"/>
            <w:shd w:val="clear" w:color="auto" w:fill="auto"/>
            <w:noWrap/>
            <w:vAlign w:val="center"/>
          </w:tcPr>
          <w:p w14:paraId="7D33B37D">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6.01</w:t>
            </w:r>
          </w:p>
        </w:tc>
        <w:tc>
          <w:tcPr>
            <w:tcW w:w="433" w:type="pct"/>
            <w:shd w:val="clear" w:color="auto" w:fill="auto"/>
            <w:noWrap/>
            <w:vAlign w:val="center"/>
          </w:tcPr>
          <w:p w14:paraId="7A4776D5">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0.16</w:t>
            </w:r>
          </w:p>
        </w:tc>
        <w:tc>
          <w:tcPr>
            <w:tcW w:w="582" w:type="pct"/>
            <w:shd w:val="clear" w:color="auto" w:fill="auto"/>
            <w:noWrap/>
            <w:vAlign w:val="center"/>
          </w:tcPr>
          <w:p w14:paraId="3A90F78B">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0.01</w:t>
            </w:r>
          </w:p>
        </w:tc>
        <w:tc>
          <w:tcPr>
            <w:tcW w:w="582" w:type="pct"/>
            <w:shd w:val="clear" w:color="auto" w:fill="auto"/>
            <w:noWrap/>
            <w:vAlign w:val="center"/>
          </w:tcPr>
          <w:p w14:paraId="0A23669D">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0.22</w:t>
            </w:r>
          </w:p>
        </w:tc>
        <w:tc>
          <w:tcPr>
            <w:tcW w:w="462" w:type="pct"/>
            <w:shd w:val="clear" w:color="auto" w:fill="auto"/>
            <w:noWrap/>
            <w:vAlign w:val="center"/>
          </w:tcPr>
          <w:p w14:paraId="5E16F484">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6.38</w:t>
            </w:r>
          </w:p>
        </w:tc>
      </w:tr>
      <w:tr w14:paraId="1E9AE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3" w:type="pct"/>
            <w:vMerge w:val="continue"/>
            <w:shd w:val="clear" w:color="auto" w:fill="auto"/>
            <w:vAlign w:val="center"/>
          </w:tcPr>
          <w:p w14:paraId="1AD8A30A">
            <w:pPr>
              <w:widowControl/>
              <w:spacing w:before="20" w:after="20" w:line="240" w:lineRule="auto"/>
              <w:ind w:firstLine="0" w:firstLineChars="0"/>
              <w:jc w:val="center"/>
              <w:rPr>
                <w:rFonts w:eastAsia="方正楷体_GBK" w:cs="Times New Roman"/>
                <w:sz w:val="22"/>
                <w:szCs w:val="22"/>
              </w:rPr>
            </w:pPr>
          </w:p>
        </w:tc>
        <w:tc>
          <w:tcPr>
            <w:tcW w:w="881" w:type="pct"/>
            <w:shd w:val="clear" w:color="auto" w:fill="auto"/>
            <w:vAlign w:val="center"/>
          </w:tcPr>
          <w:p w14:paraId="548D7E57">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泰兴市</w:t>
            </w:r>
          </w:p>
        </w:tc>
        <w:tc>
          <w:tcPr>
            <w:tcW w:w="582" w:type="pct"/>
            <w:shd w:val="clear" w:color="auto" w:fill="auto"/>
            <w:noWrap/>
            <w:vAlign w:val="center"/>
          </w:tcPr>
          <w:p w14:paraId="4B175BB8">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1.84</w:t>
            </w:r>
          </w:p>
        </w:tc>
        <w:tc>
          <w:tcPr>
            <w:tcW w:w="582" w:type="pct"/>
            <w:shd w:val="clear" w:color="auto" w:fill="auto"/>
            <w:noWrap/>
            <w:vAlign w:val="center"/>
          </w:tcPr>
          <w:p w14:paraId="458C5EEF">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9.93</w:t>
            </w:r>
          </w:p>
        </w:tc>
        <w:tc>
          <w:tcPr>
            <w:tcW w:w="462" w:type="pct"/>
            <w:shd w:val="clear" w:color="auto" w:fill="auto"/>
            <w:noWrap/>
            <w:vAlign w:val="center"/>
          </w:tcPr>
          <w:p w14:paraId="3AD1D692">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11.77</w:t>
            </w:r>
          </w:p>
        </w:tc>
        <w:tc>
          <w:tcPr>
            <w:tcW w:w="433" w:type="pct"/>
            <w:shd w:val="clear" w:color="auto" w:fill="auto"/>
            <w:noWrap/>
            <w:vAlign w:val="center"/>
          </w:tcPr>
          <w:p w14:paraId="09F9249F">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0.32</w:t>
            </w:r>
          </w:p>
        </w:tc>
        <w:tc>
          <w:tcPr>
            <w:tcW w:w="582" w:type="pct"/>
            <w:shd w:val="clear" w:color="auto" w:fill="auto"/>
            <w:noWrap/>
            <w:vAlign w:val="center"/>
          </w:tcPr>
          <w:p w14:paraId="1E0199E3">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0.02</w:t>
            </w:r>
          </w:p>
        </w:tc>
        <w:tc>
          <w:tcPr>
            <w:tcW w:w="582" w:type="pct"/>
            <w:shd w:val="clear" w:color="auto" w:fill="auto"/>
            <w:noWrap/>
            <w:vAlign w:val="center"/>
          </w:tcPr>
          <w:p w14:paraId="44427594">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0.25</w:t>
            </w:r>
          </w:p>
        </w:tc>
        <w:tc>
          <w:tcPr>
            <w:tcW w:w="462" w:type="pct"/>
            <w:shd w:val="clear" w:color="auto" w:fill="auto"/>
            <w:noWrap/>
            <w:vAlign w:val="center"/>
          </w:tcPr>
          <w:p w14:paraId="144DBF6F">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12.36</w:t>
            </w:r>
          </w:p>
        </w:tc>
      </w:tr>
      <w:tr w14:paraId="6418D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3" w:type="pct"/>
            <w:vMerge w:val="continue"/>
            <w:shd w:val="clear" w:color="auto" w:fill="auto"/>
            <w:vAlign w:val="center"/>
          </w:tcPr>
          <w:p w14:paraId="10040FBF">
            <w:pPr>
              <w:widowControl/>
              <w:spacing w:before="20" w:after="20" w:line="240" w:lineRule="auto"/>
              <w:ind w:firstLine="0" w:firstLineChars="0"/>
              <w:jc w:val="center"/>
              <w:rPr>
                <w:rFonts w:eastAsia="方正楷体_GBK" w:cs="Times New Roman"/>
                <w:sz w:val="22"/>
                <w:szCs w:val="22"/>
              </w:rPr>
            </w:pPr>
          </w:p>
        </w:tc>
        <w:tc>
          <w:tcPr>
            <w:tcW w:w="881" w:type="pct"/>
            <w:shd w:val="clear" w:color="auto" w:fill="auto"/>
            <w:vAlign w:val="center"/>
          </w:tcPr>
          <w:p w14:paraId="7A6D04F0">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合计</w:t>
            </w:r>
          </w:p>
        </w:tc>
        <w:tc>
          <w:tcPr>
            <w:tcW w:w="582" w:type="pct"/>
            <w:shd w:val="clear" w:color="auto" w:fill="auto"/>
            <w:noWrap/>
            <w:vAlign w:val="center"/>
          </w:tcPr>
          <w:p w14:paraId="1745CE5F">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9.28</w:t>
            </w:r>
          </w:p>
        </w:tc>
        <w:tc>
          <w:tcPr>
            <w:tcW w:w="582" w:type="pct"/>
            <w:shd w:val="clear" w:color="auto" w:fill="auto"/>
            <w:noWrap/>
            <w:vAlign w:val="center"/>
          </w:tcPr>
          <w:p w14:paraId="60EEB807">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52.98</w:t>
            </w:r>
          </w:p>
        </w:tc>
        <w:tc>
          <w:tcPr>
            <w:tcW w:w="462" w:type="pct"/>
            <w:shd w:val="clear" w:color="auto" w:fill="auto"/>
            <w:noWrap/>
            <w:vAlign w:val="center"/>
          </w:tcPr>
          <w:p w14:paraId="30CF0240">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62.26</w:t>
            </w:r>
          </w:p>
        </w:tc>
        <w:tc>
          <w:tcPr>
            <w:tcW w:w="433" w:type="pct"/>
            <w:shd w:val="clear" w:color="auto" w:fill="auto"/>
            <w:noWrap/>
            <w:vAlign w:val="center"/>
          </w:tcPr>
          <w:p w14:paraId="32AACF92">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1.25</w:t>
            </w:r>
          </w:p>
        </w:tc>
        <w:tc>
          <w:tcPr>
            <w:tcW w:w="582" w:type="pct"/>
            <w:shd w:val="clear" w:color="auto" w:fill="auto"/>
            <w:noWrap/>
            <w:vAlign w:val="center"/>
          </w:tcPr>
          <w:p w14:paraId="4A67689E">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0.14</w:t>
            </w:r>
          </w:p>
        </w:tc>
        <w:tc>
          <w:tcPr>
            <w:tcW w:w="582" w:type="pct"/>
            <w:shd w:val="clear" w:color="auto" w:fill="auto"/>
            <w:noWrap/>
            <w:vAlign w:val="center"/>
          </w:tcPr>
          <w:p w14:paraId="70827D4E">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1.25</w:t>
            </w:r>
          </w:p>
        </w:tc>
        <w:tc>
          <w:tcPr>
            <w:tcW w:w="462" w:type="pct"/>
            <w:shd w:val="clear" w:color="auto" w:fill="auto"/>
            <w:noWrap/>
            <w:vAlign w:val="center"/>
          </w:tcPr>
          <w:p w14:paraId="589B8A7A">
            <w:pPr>
              <w:widowControl/>
              <w:spacing w:before="20" w:after="20" w:line="240" w:lineRule="auto"/>
              <w:ind w:firstLine="0" w:firstLineChars="0"/>
              <w:jc w:val="center"/>
              <w:rPr>
                <w:rFonts w:eastAsia="方正楷体_GBK" w:cs="Times New Roman"/>
                <w:sz w:val="22"/>
                <w:szCs w:val="22"/>
              </w:rPr>
            </w:pPr>
            <w:r>
              <w:rPr>
                <w:rFonts w:eastAsia="方正楷体_GBK" w:cs="Times New Roman"/>
                <w:sz w:val="22"/>
                <w:szCs w:val="22"/>
              </w:rPr>
              <w:t>64.91</w:t>
            </w:r>
          </w:p>
        </w:tc>
      </w:tr>
    </w:tbl>
    <w:p w14:paraId="4DCE48EE">
      <w:pPr>
        <w:pStyle w:val="3"/>
        <w:spacing w:before="163"/>
      </w:pPr>
      <w:bookmarkStart w:id="46" w:name="_Toc181109853"/>
      <w:r>
        <w:rPr>
          <w:rFonts w:hint="eastAsia"/>
        </w:rPr>
        <w:t>完善区域水资源配置格局</w:t>
      </w:r>
      <w:bookmarkEnd w:id="46"/>
    </w:p>
    <w:p w14:paraId="19004B94">
      <w:pPr>
        <w:ind w:firstLine="480"/>
        <w:rPr>
          <w:rFonts w:cs="Times New Roman"/>
        </w:rPr>
      </w:pPr>
      <w:r>
        <w:rPr>
          <w:rFonts w:hint="eastAsia" w:cs="Times New Roman"/>
        </w:rPr>
        <w:t>泰州里下河片依托省内江水东引供水体系，按照“源头扩大引江、干线输水通畅、湖荡调蓄扩容、分区供水保障”的总体思路，实施江水北调完善工程；高沙土片及沿江圩区利用沿江闸站多口门引水，多线输水，充分发挥已建闸站引水能力，畅通区内各级输配水河网通道；进一步扩大引江能力，提升区域长江低潮位应急供水能力，稳步提升区域供水保障水平。</w:t>
      </w:r>
    </w:p>
    <w:p w14:paraId="2215BA1B">
      <w:pPr>
        <w:pStyle w:val="4"/>
      </w:pPr>
      <w:r>
        <w:rPr>
          <w:rFonts w:hint="eastAsia"/>
        </w:rPr>
        <w:t>协同推进江水东引体系完善</w:t>
      </w:r>
    </w:p>
    <w:p w14:paraId="1B530A62">
      <w:pPr>
        <w:ind w:firstLine="480"/>
        <w:rPr>
          <w:rFonts w:cs="Times New Roman"/>
        </w:rPr>
      </w:pPr>
      <w:r>
        <w:rPr>
          <w:rFonts w:hint="eastAsia"/>
        </w:rPr>
        <w:t>依托省内江水东引</w:t>
      </w:r>
      <w:r>
        <w:rPr>
          <w:rFonts w:hint="eastAsia" w:cs="Times New Roman"/>
        </w:rPr>
        <w:t>“两河引水、三线输水”的供水布局，进一步畅通新通扬运河、卤汀河、上官河骨干输水通道，同时为使泰州引江河、泰东河一线自流引江水尽快消化并真正有效供给垦区，拓浚俞西河、</w:t>
      </w:r>
      <w:r>
        <w:rPr>
          <w:rFonts w:cs="Times New Roman"/>
        </w:rPr>
        <w:t>西塘</w:t>
      </w:r>
      <w:r>
        <w:rPr>
          <w:rFonts w:hint="eastAsia" w:cs="Times New Roman"/>
        </w:rPr>
        <w:t>港、盐靖河输水支线，形成小中线；利用实施腹部湖泊湖荡退圩（渔）还湖（湿）治理后大纵湖、乌巾荡、花粉荡等湖泊湖荡等成片湖泊水面与中线输水河道串联，形成河－湖串联的输配水工程体系，助力全省实现里下河地区供水保证率提高至</w:t>
      </w:r>
      <w:r>
        <w:rPr>
          <w:rFonts w:cs="Times New Roman"/>
        </w:rPr>
        <w:t>95%</w:t>
      </w:r>
      <w:r>
        <w:rPr>
          <w:rFonts w:hint="eastAsia" w:cs="Times New Roman"/>
        </w:rPr>
        <w:t>，实现通榆河北延常态化供水。</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82"/>
      </w:tblGrid>
      <w:tr w14:paraId="2B173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82" w:type="dxa"/>
          </w:tcPr>
          <w:p w14:paraId="2145A0F4">
            <w:pPr>
              <w:pStyle w:val="64"/>
            </w:pPr>
            <w:r>
              <w:rPr>
                <w:rFonts w:hint="eastAsia"/>
              </w:rPr>
              <w:t>专栏</w:t>
            </w:r>
            <w:r>
              <w:t>4.3-1</w:t>
            </w:r>
            <w:r>
              <w:rPr>
                <w:rFonts w:hint="eastAsia"/>
              </w:rPr>
              <w:t>水资源</w:t>
            </w:r>
            <w:r>
              <w:t>配置工程</w:t>
            </w:r>
          </w:p>
        </w:tc>
      </w:tr>
      <w:tr w14:paraId="5FF6A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82" w:type="dxa"/>
          </w:tcPr>
          <w:p w14:paraId="43E8D794">
            <w:pPr>
              <w:pStyle w:val="57"/>
              <w:spacing w:line="276" w:lineRule="auto"/>
              <w:ind w:firstLine="482"/>
              <w:rPr>
                <w:b/>
              </w:rPr>
            </w:pPr>
            <w:r>
              <w:rPr>
                <w:rFonts w:hint="eastAsia"/>
                <w:b/>
              </w:rPr>
              <w:t>1、江水东引完善工程</w:t>
            </w:r>
          </w:p>
          <w:p w14:paraId="7E25E6B6">
            <w:pPr>
              <w:pStyle w:val="57"/>
              <w:spacing w:line="276" w:lineRule="auto"/>
              <w:ind w:firstLine="480"/>
              <w:jc w:val="both"/>
            </w:pPr>
            <w:r>
              <w:t>整治新通扬运河</w:t>
            </w:r>
            <w:r>
              <w:rPr>
                <w:rFonts w:hint="eastAsia"/>
              </w:rPr>
              <w:t>4.6km，包括疏浚河道4.6km、新建护岸4.6km、建筑物4座；</w:t>
            </w:r>
          </w:p>
          <w:p w14:paraId="2A10B82D">
            <w:pPr>
              <w:pStyle w:val="57"/>
              <w:spacing w:line="276" w:lineRule="auto"/>
              <w:ind w:firstLine="480"/>
              <w:jc w:val="both"/>
            </w:pPr>
            <w:r>
              <w:rPr>
                <w:rFonts w:hint="eastAsia"/>
              </w:rPr>
              <w:t>整治卤汀河长27.6km（海陵区11.3km、姜堰区4.1km、兴化市12.2km），包括加固堤防15.62km、疏浚河道27.6km、新建或加固护岸29.73km、建筑物7座；</w:t>
            </w:r>
          </w:p>
          <w:p w14:paraId="2F98D26F">
            <w:pPr>
              <w:pStyle w:val="57"/>
              <w:spacing w:line="276" w:lineRule="auto"/>
              <w:ind w:firstLine="480"/>
              <w:jc w:val="both"/>
            </w:pPr>
            <w:r>
              <w:rPr>
                <w:rFonts w:hint="eastAsia"/>
              </w:rPr>
              <w:t>整治上官河长21.9km，包括加固堤防9.52km、疏浚河道10.6km、新建护岸19.04km、防汛道路2.38km，建筑物40座；</w:t>
            </w:r>
          </w:p>
          <w:p w14:paraId="71CF81B0">
            <w:pPr>
              <w:pStyle w:val="57"/>
              <w:spacing w:line="276" w:lineRule="auto"/>
              <w:ind w:firstLine="480"/>
              <w:jc w:val="both"/>
            </w:pPr>
            <w:r>
              <w:rPr>
                <w:rFonts w:hint="eastAsia"/>
              </w:rPr>
              <w:t>整治西塘港长56.73km，包括加固堤防22.69km、疏浚河道55.4km、新建护岸45.38km、建筑物95座；</w:t>
            </w:r>
          </w:p>
          <w:p w14:paraId="14F68985">
            <w:pPr>
              <w:pStyle w:val="57"/>
              <w:spacing w:line="276" w:lineRule="auto"/>
              <w:ind w:firstLine="480"/>
              <w:jc w:val="both"/>
            </w:pPr>
            <w:r>
              <w:rPr>
                <w:rFonts w:hint="eastAsia"/>
              </w:rPr>
              <w:t>整治</w:t>
            </w:r>
            <w:r>
              <w:rPr>
                <w:rFonts w:hint="eastAsia" w:cs="Times New Roman"/>
              </w:rPr>
              <w:t>盐靖河</w:t>
            </w:r>
            <w:r>
              <w:rPr>
                <w:rFonts w:hint="eastAsia"/>
              </w:rPr>
              <w:t>长58.48km（姜堰区4.38km、兴化市54.1km），包括加固堤防24.72km、疏浚河道58.48km、新建护岸36.44km、建筑物122座。</w:t>
            </w:r>
          </w:p>
          <w:p w14:paraId="61405DEA">
            <w:pPr>
              <w:pStyle w:val="57"/>
              <w:spacing w:line="276" w:lineRule="auto"/>
              <w:ind w:firstLine="480"/>
              <w:jc w:val="both"/>
            </w:pPr>
            <w:r>
              <w:t>（基于《江苏省里下河区水利治理规划》（</w:t>
            </w:r>
            <w:r>
              <w:rPr>
                <w:rFonts w:hint="eastAsia"/>
              </w:rPr>
              <w:t>苏水计〔2020〕8号</w:t>
            </w:r>
            <w:r>
              <w:t>）等）</w:t>
            </w:r>
          </w:p>
        </w:tc>
      </w:tr>
    </w:tbl>
    <w:p w14:paraId="49857BD6">
      <w:pPr>
        <w:pStyle w:val="4"/>
      </w:pPr>
      <w:r>
        <w:rPr>
          <w:rFonts w:hint="eastAsia"/>
        </w:rPr>
        <w:t>提升通南沿江供水工程能力</w:t>
      </w:r>
    </w:p>
    <w:p w14:paraId="431D642E">
      <w:pPr>
        <w:ind w:firstLine="480"/>
        <w:rPr>
          <w:rFonts w:cs="Times New Roman"/>
        </w:rPr>
      </w:pPr>
      <w:r>
        <w:rPr>
          <w:rFonts w:hint="eastAsia" w:cs="Times New Roman"/>
        </w:rPr>
        <w:t>泰州通南片现已形成通江涵闸自引为主、泵站抽引为辅的“多口门引水、多线输水”的水资源供给体系，规划坚持扎根长江，以自引为主，抽引为辅原则，统筹防洪除涝需求，实施泰州市通南地区引排能力提升工程，整治增产港、夏仕港，拆建口岸闸、过船港闸、天星港闸、焦土港闸为闸站，进一步提高区域的蓄、引、提水能力，解决长江潮位低时通南地区应急供水能力，提高区域供水保证率。</w:t>
      </w:r>
    </w:p>
    <w:p w14:paraId="18BCC1B2">
      <w:pPr>
        <w:pStyle w:val="4"/>
      </w:pPr>
      <w:r>
        <w:rPr>
          <w:rFonts w:hint="eastAsia"/>
        </w:rPr>
        <w:t>加强区内输配水支线工程建设</w:t>
      </w:r>
    </w:p>
    <w:p w14:paraId="01FB1A72">
      <w:pPr>
        <w:ind w:firstLine="480"/>
      </w:pPr>
      <w:r>
        <w:rPr>
          <w:rFonts w:hint="eastAsia"/>
        </w:rPr>
        <w:t>结合骨干排水通道整治、中小河流整治、湖泊湖荡</w:t>
      </w:r>
      <w:r>
        <w:t>生态</w:t>
      </w:r>
      <w:r>
        <w:rPr>
          <w:rFonts w:hint="eastAsia"/>
        </w:rPr>
        <w:t>修复、退圩（渔）还湖（湿）等工程，充分发挥河网输水、调蓄等功能，进一步畅通区内输配水支线。</w:t>
      </w:r>
    </w:p>
    <w:p w14:paraId="130136E2">
      <w:pPr>
        <w:ind w:firstLine="480"/>
        <w:rPr>
          <w:rFonts w:cs="Times New Roman"/>
        </w:rPr>
      </w:pPr>
      <w:r>
        <w:rPr>
          <w:rStyle w:val="35"/>
          <w:rFonts w:hint="eastAsia"/>
        </w:rPr>
        <w:t>里下河片，</w:t>
      </w:r>
      <w:r>
        <w:rPr>
          <w:rFonts w:hint="eastAsia" w:cs="Times New Roman"/>
        </w:rPr>
        <w:t>在扩大输水干线供水能力、提升区内湖泊湖荡调蓄能力基础上，进一步推进市县水系连通工程建设，巩固提升圩口闸站引提水能力，优化工程调度，加强应急供水保障能力。</w:t>
      </w:r>
    </w:p>
    <w:p w14:paraId="2F8DCDAB">
      <w:pPr>
        <w:ind w:firstLine="480"/>
        <w:rPr>
          <w:rFonts w:cs="Times New Roman"/>
        </w:rPr>
      </w:pPr>
      <w:r>
        <w:rPr>
          <w:rStyle w:val="35"/>
          <w:rFonts w:hint="eastAsia"/>
        </w:rPr>
        <w:t>高沙土片，</w:t>
      </w:r>
      <w:r>
        <w:rPr>
          <w:rFonts w:hint="eastAsia" w:cs="Times New Roman"/>
        </w:rPr>
        <w:t>泰州引江河以西片，着力提升向区内支线补水能力；泰州引江河以东片，优化工程控制调度，挖掘自流引江潜力，不能自引时，通过扩大泵站提水能力，畅通老通扬运河、周山河、许庄河－南干河、宣堡港、古马干河等输水支线，同时优化</w:t>
      </w:r>
      <w:r>
        <w:rPr>
          <w:rFonts w:cs="Times New Roman"/>
        </w:rPr>
        <w:t>328</w:t>
      </w:r>
      <w:r>
        <w:rPr>
          <w:rFonts w:hint="eastAsia" w:cs="Times New Roman"/>
        </w:rPr>
        <w:t>国道沿线控制建筑物及东部水源调度控制工程调度，实现南北互济、东西畅通的泰州大供水体系。沿江圩区充分利用长江客水资源，畅通下六圩港、新小桥港、夹港、上六圩港、安宁港引调水通道、巩固提升相应引江能力；完善靖江市城区东线和西线引江调水及配套工程，通过有效沟通水系，改善河道引排条件，提升调引能力，促进水网循环。</w:t>
      </w:r>
    </w:p>
    <w:p w14:paraId="03E3485A">
      <w:pPr>
        <w:pStyle w:val="3"/>
        <w:spacing w:before="163"/>
      </w:pPr>
      <w:bookmarkStart w:id="47" w:name="_Toc181109854"/>
      <w:r>
        <w:rPr>
          <w:rFonts w:hint="eastAsia"/>
        </w:rPr>
        <w:t>提升城乡供水保障能力</w:t>
      </w:r>
      <w:bookmarkEnd w:id="47"/>
    </w:p>
    <w:p w14:paraId="201EA8C9">
      <w:pPr>
        <w:ind w:firstLine="480"/>
        <w:rPr>
          <w:rFonts w:cs="Times New Roman"/>
        </w:rPr>
      </w:pPr>
      <w:r>
        <w:rPr>
          <w:rFonts w:hint="eastAsia" w:cs="Times New Roman"/>
        </w:rPr>
        <w:t>围绕新型城镇化和城乡发展一体化综合配套以及基本公共服务均等化要求，深入推进城乡供水一体化，着力优化饮用水水源地布局，不断完善城乡供水工程体系，巩固提升农村饮水安全水平，塑造高品质、有韧性的城乡供水安全保障体系。</w:t>
      </w:r>
    </w:p>
    <w:p w14:paraId="225DCFCB">
      <w:pPr>
        <w:pStyle w:val="4"/>
      </w:pPr>
      <w:r>
        <w:rPr>
          <w:rFonts w:hint="eastAsia"/>
        </w:rPr>
        <w:t>适时优化水源地总体布局</w:t>
      </w:r>
    </w:p>
    <w:p w14:paraId="04058D79">
      <w:pPr>
        <w:ind w:firstLine="480"/>
        <w:rPr>
          <w:rFonts w:cs="Times New Roman"/>
          <w:bCs/>
        </w:rPr>
      </w:pPr>
      <w:r>
        <w:rPr>
          <w:rFonts w:hint="eastAsia" w:cs="Times New Roman"/>
        </w:rPr>
        <w:t>泰州现状</w:t>
      </w:r>
      <w:r>
        <w:rPr>
          <w:rFonts w:cs="Times New Roman"/>
        </w:rPr>
        <w:t>饮用</w:t>
      </w:r>
      <w:r>
        <w:rPr>
          <w:rFonts w:hint="eastAsia" w:cs="Times New Roman"/>
        </w:rPr>
        <w:t>水源以长江为主，区内河道型水源地为辅，各县区基本完成了应急备用水源地建设。在现状水源地布局基础上，继续完善供水厂、增压站及管网等设施，适时</w:t>
      </w:r>
      <w:r>
        <w:rPr>
          <w:rFonts w:hint="eastAsia" w:ascii="方正仿宋_GBK" w:hAnsi="方正仿宋_GBK" w:cs="方正仿宋_GBK"/>
          <w:szCs w:val="32"/>
        </w:rPr>
        <w:t>优化完善水源地总体布局</w:t>
      </w:r>
      <w:r>
        <w:rPr>
          <w:rFonts w:hint="eastAsia" w:cs="Times New Roman"/>
        </w:rPr>
        <w:t>，</w:t>
      </w:r>
      <w:r>
        <w:rPr>
          <w:rFonts w:hint="eastAsia" w:ascii="方正仿宋_GBK" w:hAnsi="方正仿宋_GBK" w:cs="方正仿宋_GBK"/>
          <w:szCs w:val="32"/>
        </w:rPr>
        <w:t>巩固提升应急备用水源地供水能力</w:t>
      </w:r>
      <w:r>
        <w:rPr>
          <w:rFonts w:hint="eastAsia" w:cs="Times New Roman"/>
        </w:rPr>
        <w:t>。</w:t>
      </w:r>
    </w:p>
    <w:p w14:paraId="584D24D1">
      <w:pPr>
        <w:pStyle w:val="4"/>
      </w:pPr>
      <w:r>
        <w:rPr>
          <w:rFonts w:hint="eastAsia"/>
        </w:rPr>
        <w:t>强化水源地长效管理和保护</w:t>
      </w:r>
    </w:p>
    <w:p w14:paraId="11DEF278">
      <w:pPr>
        <w:ind w:firstLine="480"/>
      </w:pPr>
      <w:r>
        <w:rPr>
          <w:rFonts w:hint="eastAsia"/>
        </w:rPr>
        <w:t>按划定的水源地一级、二级和准保护区，设置各类保护区并设立明显标志，并在取水口周边设置保护设施；</w:t>
      </w:r>
      <w:r>
        <w:t>加强突发性污染事件</w:t>
      </w:r>
      <w:r>
        <w:rPr>
          <w:rFonts w:hint="eastAsia"/>
        </w:rPr>
        <w:t>防控能力。到</w:t>
      </w:r>
      <w:r>
        <w:t>2035</w:t>
      </w:r>
      <w:r>
        <w:rPr>
          <w:rFonts w:hint="eastAsia"/>
        </w:rPr>
        <w:t>年，全市集中式饮用水水源地水质达标率稳定巩固</w:t>
      </w:r>
      <w:r>
        <w:t>100%</w:t>
      </w:r>
      <w:r>
        <w:rPr>
          <w:rFonts w:hint="eastAsia"/>
        </w:rPr>
        <w:t>，重点水功能区水质达标率不低于</w:t>
      </w:r>
      <w:r>
        <w:t>90%</w:t>
      </w:r>
      <w:r>
        <w:rPr>
          <w:rFonts w:hint="eastAsia"/>
        </w:rPr>
        <w:t>。加强水源监控，在水源地取水口上游一定距离设置水源地水质在线监测点，设置位置和水质参数合理，并与相关部门和城市公共供水企业中心控制室实现实时联网共享。加大长江干流保护力度，加强各行政部门联动，坚持市政府主导、部门协同，加强供水安全的监督管理。</w:t>
      </w:r>
    </w:p>
    <w:p w14:paraId="61631E2A">
      <w:pPr>
        <w:pStyle w:val="4"/>
      </w:pPr>
      <w:r>
        <w:rPr>
          <w:rFonts w:hint="eastAsia"/>
        </w:rPr>
        <w:t>完善城乡供水保障体系</w:t>
      </w:r>
    </w:p>
    <w:p w14:paraId="2E90AFB2">
      <w:pPr>
        <w:ind w:firstLine="480"/>
        <w:rPr>
          <w:rFonts w:cs="Times New Roman"/>
        </w:rPr>
      </w:pPr>
      <w:r>
        <w:rPr>
          <w:rFonts w:hint="eastAsia" w:cs="Times New Roman"/>
        </w:rPr>
        <w:t>近年来全市深入推进城乡供水一体化，已基本形成城乡一体、互联互通的供水体系，城乡统筹区域供水覆盖面达到</w:t>
      </w:r>
      <w:r>
        <w:rPr>
          <w:rFonts w:cs="Times New Roman"/>
        </w:rPr>
        <w:t>100%</w:t>
      </w:r>
      <w:r>
        <w:rPr>
          <w:rFonts w:hint="eastAsia" w:cs="Times New Roman"/>
        </w:rPr>
        <w:t>，城乡居民用水基本实现同源、同网、同质、同服务。按照</w:t>
      </w:r>
      <w:r>
        <w:rPr>
          <w:rFonts w:ascii="宋体" w:hAnsi="宋体" w:cs="Times New Roman"/>
        </w:rPr>
        <w:t>“</w:t>
      </w:r>
      <w:r>
        <w:rPr>
          <w:rFonts w:hint="eastAsia" w:ascii="宋体" w:hAnsi="宋体" w:cs="Times New Roman"/>
        </w:rPr>
        <w:t>全域覆盖、融合发展、共建共享、服务均等</w:t>
      </w:r>
      <w:r>
        <w:rPr>
          <w:rFonts w:ascii="宋体" w:hAnsi="宋体" w:cs="Times New Roman"/>
        </w:rPr>
        <w:t>”</w:t>
      </w:r>
      <w:r>
        <w:rPr>
          <w:rFonts w:hint="eastAsia" w:cs="Times New Roman"/>
        </w:rPr>
        <w:t>的要求，巩固从“水源地”到“水龙头”的供水安全保障体系，规范管理体系。加快推进各片区供水互联互备，进一步提升城乡供水保证率和集约化水平，结合城乡供水一体化，持续推进农村供水老旧管网更新改造、环状管网建设以及水质监测和监管能力建设。</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82"/>
      </w:tblGrid>
      <w:tr w14:paraId="4F30E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82" w:type="dxa"/>
          </w:tcPr>
          <w:p w14:paraId="43192A33">
            <w:pPr>
              <w:pStyle w:val="64"/>
            </w:pPr>
            <w:r>
              <w:rPr>
                <w:rFonts w:hint="eastAsia"/>
              </w:rPr>
              <w:t>专栏</w:t>
            </w:r>
            <w:r>
              <w:t>4.4-1城乡供水保障工程</w:t>
            </w:r>
          </w:p>
        </w:tc>
      </w:tr>
      <w:tr w14:paraId="44268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82" w:type="dxa"/>
          </w:tcPr>
          <w:p w14:paraId="5B29F2E5">
            <w:pPr>
              <w:pStyle w:val="57"/>
              <w:spacing w:line="276" w:lineRule="auto"/>
              <w:ind w:firstLine="482"/>
              <w:rPr>
                <w:b/>
              </w:rPr>
            </w:pPr>
            <w:r>
              <w:rPr>
                <w:b/>
              </w:rPr>
              <w:t>1、城乡供水提升工程</w:t>
            </w:r>
          </w:p>
          <w:p w14:paraId="33B0DC7C">
            <w:pPr>
              <w:pStyle w:val="57"/>
              <w:spacing w:line="276" w:lineRule="auto"/>
              <w:ind w:firstLine="480"/>
              <w:jc w:val="both"/>
            </w:pPr>
            <w:r>
              <w:rPr>
                <w:rFonts w:hint="eastAsia" w:cs="Times New Roman"/>
              </w:rPr>
              <w:t>建设输水管线共64.76km，实施智慧供水系统。建设河失第二增压站、农产品加工园区增压站、黄桥第二增压站等。</w:t>
            </w:r>
          </w:p>
        </w:tc>
      </w:tr>
    </w:tbl>
    <w:p w14:paraId="74201B14">
      <w:pPr>
        <w:pStyle w:val="3"/>
        <w:spacing w:before="163"/>
      </w:pPr>
      <w:bookmarkStart w:id="48" w:name="_Toc169102135"/>
      <w:bookmarkEnd w:id="48"/>
      <w:bookmarkStart w:id="49" w:name="_Toc169102511"/>
      <w:bookmarkEnd w:id="49"/>
      <w:bookmarkStart w:id="50" w:name="_Toc169101947"/>
      <w:bookmarkEnd w:id="50"/>
      <w:bookmarkStart w:id="51" w:name="_Toc169102323"/>
      <w:bookmarkEnd w:id="51"/>
      <w:bookmarkStart w:id="52" w:name="_Toc181109855"/>
      <w:r>
        <w:rPr>
          <w:rFonts w:hint="eastAsia"/>
        </w:rPr>
        <w:t>夯实粮食安全水利基础</w:t>
      </w:r>
      <w:bookmarkEnd w:id="52"/>
    </w:p>
    <w:p w14:paraId="15384E18">
      <w:pPr>
        <w:ind w:firstLine="480"/>
        <w:rPr>
          <w:rFonts w:cs="Times New Roman"/>
        </w:rPr>
      </w:pPr>
      <w:r>
        <w:rPr>
          <w:rFonts w:hint="eastAsia" w:cs="Times New Roman"/>
        </w:rPr>
        <w:t>落实省级关于构建沿江农业区和里下河农业区的要求，加快大中型灌区续建配套与现代化改造，统筹推进高标准农田建设，继续加强农村河道综合整治，不断改善农业生产条件，全面提高粮食综合生产能力，保障粮食稳产增产高产，促进农业安全、绿色、高效发展，推进乡村全面振兴。</w:t>
      </w:r>
    </w:p>
    <w:p w14:paraId="70930374">
      <w:pPr>
        <w:pStyle w:val="4"/>
      </w:pPr>
      <w:r>
        <w:rPr>
          <w:rFonts w:hint="eastAsia"/>
        </w:rPr>
        <w:t>推进灌区续建配套与节水改造</w:t>
      </w:r>
    </w:p>
    <w:p w14:paraId="3CF654EA">
      <w:pPr>
        <w:ind w:firstLine="480"/>
        <w:rPr>
          <w:rFonts w:cs="Times New Roman"/>
        </w:rPr>
      </w:pPr>
      <w:r>
        <w:rPr>
          <w:rFonts w:hint="eastAsia" w:cs="Times New Roman"/>
        </w:rPr>
        <w:t>按照全面推广节水灌溉技术和调整农业结构，促进农业增产、农民增收，促进灌区人口、资源和社会的协调发展的总体要求，持续做好在建续建配套与节水改造项目实施及评估工作。加快补齐大中型灌区工程完好率低、设施不配套等短板，做好用水计量、灌区信息化建设工作，推广农作物节水技术，推进高效节水灌溉示范区建设，提升耕地质量和生产能力，实现大中型灌区“节水高效、设施完善、管理科学、生态良好”的总目标；完善小型灌区渠首工程、畅通输配水工程、改造沟渠水系建筑物及配套设施。做好与高标准农田建设的衔接，有序推进灌区一张图和高标准农田建设一张图的叠加，优先将大中型灌区建成高标准农田，提高灌溉面积、节水灌溉面积。</w:t>
      </w:r>
    </w:p>
    <w:p w14:paraId="2ADA6871">
      <w:pPr>
        <w:pStyle w:val="4"/>
      </w:pPr>
      <w:r>
        <w:rPr>
          <w:rFonts w:hint="eastAsia"/>
        </w:rPr>
        <w:t>推进高标准农田建设</w:t>
      </w:r>
    </w:p>
    <w:p w14:paraId="43C9B0B4">
      <w:pPr>
        <w:ind w:firstLine="480"/>
        <w:rPr>
          <w:rFonts w:cs="Times New Roman"/>
        </w:rPr>
      </w:pPr>
      <w:r>
        <w:rPr>
          <w:rFonts w:hint="eastAsia" w:cs="Times New Roman"/>
        </w:rPr>
        <w:t>泰州已累计建成高标准农田近3</w:t>
      </w:r>
      <w:r>
        <w:rPr>
          <w:rFonts w:cs="Times New Roman"/>
        </w:rPr>
        <w:t>00</w:t>
      </w:r>
      <w:r>
        <w:rPr>
          <w:rFonts w:hint="eastAsia" w:cs="Times New Roman"/>
        </w:rPr>
        <w:t>万亩，</w:t>
      </w:r>
      <w:r>
        <w:rPr>
          <w:rFonts w:cs="Times New Roman"/>
        </w:rPr>
        <w:t>按照全国、全省、全市高标准农田建设的总体要求，以乡村振兴战略部署为指导，围绕提升农田生产能力、灌排能力、田间道路通行运输能力、农田防护与生态环境保护能力、机械化水平、科技应用水平、建后管护能力等要求，结合国土空间、农业农村现代化发展、水资源利用等规划，持续推进高标准农田建设及改造提升，</w:t>
      </w:r>
      <w:r>
        <w:rPr>
          <w:rFonts w:hint="eastAsia" w:cs="Times New Roman"/>
        </w:rPr>
        <w:t>到</w:t>
      </w:r>
      <w:r>
        <w:rPr>
          <w:rFonts w:cs="Times New Roman"/>
        </w:rPr>
        <w:t>2035</w:t>
      </w:r>
      <w:r>
        <w:rPr>
          <w:rFonts w:hint="eastAsia" w:cs="Times New Roman"/>
        </w:rPr>
        <w:t>年新建高标准农田104.05万亩，改造提升高标准农田101.71万亩。</w:t>
      </w:r>
    </w:p>
    <w:p w14:paraId="2368B5FE">
      <w:pPr>
        <w:ind w:firstLine="480"/>
        <w:rPr>
          <w:rFonts w:cs="Times New Roman"/>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82"/>
      </w:tblGrid>
      <w:tr w14:paraId="05DF7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82" w:type="dxa"/>
          </w:tcPr>
          <w:p w14:paraId="72C43CC1">
            <w:pPr>
              <w:pStyle w:val="64"/>
            </w:pPr>
            <w:r>
              <w:rPr>
                <w:rFonts w:hint="eastAsia"/>
              </w:rPr>
              <w:t>专栏</w:t>
            </w:r>
            <w:r>
              <w:t>4.5-1</w:t>
            </w:r>
            <w:r>
              <w:rPr>
                <w:rFonts w:hint="eastAsia"/>
              </w:rPr>
              <w:t>粮食安全保障工程</w:t>
            </w:r>
          </w:p>
        </w:tc>
      </w:tr>
      <w:tr w14:paraId="2CE57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82" w:type="dxa"/>
          </w:tcPr>
          <w:p w14:paraId="6A6E2BF6">
            <w:pPr>
              <w:pStyle w:val="57"/>
              <w:spacing w:line="276" w:lineRule="auto"/>
              <w:ind w:firstLine="482"/>
              <w:rPr>
                <w:b/>
              </w:rPr>
            </w:pPr>
            <w:r>
              <w:rPr>
                <w:rFonts w:hint="eastAsia"/>
                <w:b/>
              </w:rPr>
              <w:t>1、灌区续建配套与节水改造</w:t>
            </w:r>
          </w:p>
          <w:p w14:paraId="178E697C">
            <w:pPr>
              <w:pStyle w:val="57"/>
              <w:spacing w:line="276" w:lineRule="auto"/>
              <w:ind w:firstLine="480"/>
            </w:pPr>
            <w:r>
              <w:rPr>
                <w:rFonts w:hint="eastAsia"/>
              </w:rPr>
              <w:t>实施兴化垛田灌区、海陵新北灌区、姜堰溱潼灌区、高港高港灌区、泰兴沿靖灌区、泰兴城黄灌区、泰兴黄桥灌区、靖江西部灌区、靖江西来灌区9个灌区续建配套与节水改造工程，建设内容包括灌区水源工程、输水工程、排水工程、建筑物工程、配套设施以及信息化系统等。</w:t>
            </w:r>
          </w:p>
          <w:p w14:paraId="6E14A0C0">
            <w:pPr>
              <w:pStyle w:val="57"/>
              <w:spacing w:line="276" w:lineRule="auto"/>
              <w:ind w:firstLine="482"/>
              <w:rPr>
                <w:b/>
              </w:rPr>
            </w:pPr>
            <w:r>
              <w:rPr>
                <w:rFonts w:hint="eastAsia"/>
                <w:b/>
              </w:rPr>
              <w:t>2、高标准农田改造提升工程</w:t>
            </w:r>
          </w:p>
          <w:p w14:paraId="3A0B41D7">
            <w:pPr>
              <w:pStyle w:val="57"/>
              <w:spacing w:line="276" w:lineRule="auto"/>
              <w:ind w:firstLine="480"/>
            </w:pPr>
            <w:r>
              <w:rPr>
                <w:rFonts w:hint="eastAsia"/>
              </w:rPr>
              <w:t>改造提升高标准农田205.76万亩，其中新建高标准农田104.05万亩，改造提升高标准农田101.71万亩。主要建设内容包括灌溉和排水、土壤改良、田块整治、田间道路、管护利用等。</w:t>
            </w:r>
          </w:p>
        </w:tc>
      </w:tr>
    </w:tbl>
    <w:p w14:paraId="47277280">
      <w:pPr>
        <w:ind w:firstLine="480"/>
        <w:rPr>
          <w:rFonts w:cs="Times New Roman"/>
        </w:rPr>
      </w:pPr>
    </w:p>
    <w:p w14:paraId="0E2ABCEE">
      <w:pPr>
        <w:ind w:firstLine="480"/>
        <w:rPr>
          <w:rFonts w:cs="Times New Roman"/>
        </w:rPr>
      </w:pPr>
    </w:p>
    <w:p w14:paraId="69F8F8AD">
      <w:pPr>
        <w:ind w:firstLine="480"/>
        <w:rPr>
          <w:rFonts w:cs="Times New Roman"/>
        </w:rPr>
      </w:pPr>
    </w:p>
    <w:p w14:paraId="3B490CF3">
      <w:pPr>
        <w:pStyle w:val="2"/>
      </w:pPr>
      <w:bookmarkStart w:id="53" w:name="_Toc169102138"/>
      <w:bookmarkEnd w:id="53"/>
      <w:bookmarkStart w:id="54" w:name="_Toc169102326"/>
      <w:bookmarkEnd w:id="54"/>
      <w:bookmarkStart w:id="55" w:name="_Toc169102514"/>
      <w:bookmarkEnd w:id="55"/>
      <w:bookmarkStart w:id="56" w:name="_Toc169101950"/>
      <w:bookmarkEnd w:id="56"/>
      <w:bookmarkStart w:id="57" w:name="_Toc169102334"/>
      <w:bookmarkEnd w:id="57"/>
      <w:bookmarkStart w:id="58" w:name="_Toc169102522"/>
      <w:bookmarkEnd w:id="58"/>
      <w:bookmarkStart w:id="59" w:name="_Toc169102146"/>
      <w:bookmarkEnd w:id="59"/>
      <w:bookmarkStart w:id="60" w:name="_Toc169101949"/>
      <w:bookmarkEnd w:id="60"/>
      <w:bookmarkStart w:id="61" w:name="_Toc169102325"/>
      <w:bookmarkEnd w:id="61"/>
      <w:bookmarkStart w:id="62" w:name="_Toc169102137"/>
      <w:bookmarkEnd w:id="62"/>
      <w:bookmarkStart w:id="63" w:name="_Toc169101958"/>
      <w:bookmarkEnd w:id="63"/>
      <w:bookmarkStart w:id="64" w:name="_Toc169102513"/>
      <w:bookmarkEnd w:id="64"/>
      <w:bookmarkStart w:id="65" w:name="_Toc181109856"/>
      <w:r>
        <w:rPr>
          <w:rFonts w:hint="eastAsia"/>
        </w:rPr>
        <w:t>打造人水和谐的生态河湖网</w:t>
      </w:r>
      <w:bookmarkEnd w:id="65"/>
    </w:p>
    <w:p w14:paraId="282C5642">
      <w:pPr>
        <w:pStyle w:val="3"/>
        <w:spacing w:before="163"/>
      </w:pPr>
      <w:bookmarkStart w:id="66" w:name="_Toc181109857"/>
      <w:r>
        <w:rPr>
          <w:rFonts w:hint="eastAsia"/>
        </w:rPr>
        <w:t>建设思路</w:t>
      </w:r>
      <w:bookmarkEnd w:id="66"/>
    </w:p>
    <w:p w14:paraId="0827F616">
      <w:pPr>
        <w:ind w:firstLine="480"/>
      </w:pPr>
      <w:r>
        <w:rPr>
          <w:rFonts w:hint="eastAsia" w:cs="Times New Roman"/>
        </w:rPr>
        <w:t>以兴化西北湖荡群、溱湖以及骨干河道为骨架，构建</w:t>
      </w:r>
      <w:r>
        <w:rPr>
          <w:rStyle w:val="35"/>
          <w:rFonts w:hint="eastAsia"/>
        </w:rPr>
        <w:t>“一带、两源、四片、四廊”</w:t>
      </w:r>
      <w:r>
        <w:rPr>
          <w:rStyle w:val="38"/>
          <w:rFonts w:eastAsia="方正黑体_GBK" w:cs="Times New Roman"/>
        </w:rPr>
        <w:footnoteReference w:id="3"/>
      </w:r>
      <w:r>
        <w:rPr>
          <w:rFonts w:hint="eastAsia" w:cs="Times New Roman"/>
        </w:rPr>
        <w:t>的泰州市域生态安全格局，</w:t>
      </w:r>
      <w:r>
        <w:rPr>
          <w:rFonts w:hint="eastAsia"/>
        </w:rPr>
        <w:t>坚持山水林田湖草是一个生命共同体的系统思想，以河湖生态水位保障为刚性约束，加强河湖生态保护与治理修复，通过水系连通、水源涵养与水土保持、幸福河湖建设、农村生态河道建设等，打造骨干生态廊道名片、推进水文化建设，全面提升市级水网生态系统质量和稳定性，</w:t>
      </w:r>
      <w:r>
        <w:t>努力打造美丽江苏泰州样板</w:t>
      </w:r>
      <w:r>
        <w:rPr>
          <w:rFonts w:hint="eastAsia"/>
        </w:rPr>
        <w:t>。</w:t>
      </w:r>
    </w:p>
    <w:p w14:paraId="36366A19">
      <w:pPr>
        <w:pStyle w:val="3"/>
        <w:spacing w:before="163"/>
      </w:pPr>
      <w:bookmarkStart w:id="67" w:name="_Toc181109858"/>
      <w:r>
        <w:rPr>
          <w:rFonts w:hint="eastAsia"/>
        </w:rPr>
        <w:t>加强河湖生态保护与治理修复</w:t>
      </w:r>
      <w:bookmarkEnd w:id="67"/>
    </w:p>
    <w:p w14:paraId="0D6948C9">
      <w:pPr>
        <w:pStyle w:val="4"/>
      </w:pPr>
      <w:r>
        <w:rPr>
          <w:rFonts w:hint="eastAsia"/>
        </w:rPr>
        <w:t>保障河湖生态水位</w:t>
      </w:r>
    </w:p>
    <w:p w14:paraId="2A6637BA">
      <w:pPr>
        <w:ind w:firstLine="480"/>
      </w:pPr>
      <w:r>
        <w:rPr>
          <w:rFonts w:hint="eastAsia"/>
        </w:rPr>
        <w:t>制定并实施河湖生态水位保障方案，加强河湖生态水位保障过程管理，建立跨区域、跨行业信息共享机制，强化河湖生态水位监测、预警和管控，明确责任主体、目标要求和保障措施，定期对实施情况进行考核评估。</w:t>
      </w:r>
    </w:p>
    <w:p w14:paraId="7056066A">
      <w:pPr>
        <w:ind w:firstLine="480"/>
      </w:pPr>
      <w:r>
        <w:rPr>
          <w:rFonts w:hint="eastAsia"/>
        </w:rPr>
        <w:t>依托水网工程体系，统筹防洪、供水、生态等多目标，通过优化调度老328国道沿线涵闸、通南水生态控制工程、沿江闸站等重点工程，改善水网水动力条件，保障生态水位，提高水体生态容量，维护生态健康安全，充分发挥水利工程综合效益。</w:t>
      </w:r>
    </w:p>
    <w:p w14:paraId="372A0458">
      <w:pPr>
        <w:pStyle w:val="64"/>
      </w:pPr>
      <w:r>
        <w:rPr>
          <w:rFonts w:hint="eastAsia"/>
        </w:rPr>
        <w:t>表5</w:t>
      </w:r>
      <w:r>
        <w:t xml:space="preserve">.2-1 </w:t>
      </w:r>
      <w:r>
        <w:rPr>
          <w:rFonts w:hint="eastAsia"/>
        </w:rPr>
        <w:t>泰州市河网生态水位保障目标</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2917"/>
        <w:gridCol w:w="1433"/>
        <w:gridCol w:w="2162"/>
        <w:gridCol w:w="1865"/>
      </w:tblGrid>
      <w:tr w14:paraId="51FD9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388" w:type="pct"/>
            <w:vAlign w:val="center"/>
          </w:tcPr>
          <w:p w14:paraId="42E0D37A">
            <w:pPr>
              <w:pStyle w:val="57"/>
              <w:jc w:val="center"/>
              <w:rPr>
                <w:b/>
              </w:rPr>
            </w:pPr>
            <w:r>
              <w:rPr>
                <w:rFonts w:hint="eastAsia"/>
                <w:b/>
              </w:rPr>
              <w:t>序号</w:t>
            </w:r>
          </w:p>
        </w:tc>
        <w:tc>
          <w:tcPr>
            <w:tcW w:w="1606" w:type="pct"/>
            <w:vAlign w:val="center"/>
          </w:tcPr>
          <w:p w14:paraId="3CD696DA">
            <w:pPr>
              <w:pStyle w:val="57"/>
              <w:jc w:val="center"/>
              <w:rPr>
                <w:b/>
              </w:rPr>
            </w:pPr>
            <w:r>
              <w:rPr>
                <w:rFonts w:hint="eastAsia"/>
                <w:b/>
              </w:rPr>
              <w:t>河湖名称</w:t>
            </w:r>
          </w:p>
        </w:tc>
        <w:tc>
          <w:tcPr>
            <w:tcW w:w="789" w:type="pct"/>
            <w:vAlign w:val="center"/>
          </w:tcPr>
          <w:p w14:paraId="53999652">
            <w:pPr>
              <w:pStyle w:val="57"/>
              <w:jc w:val="center"/>
              <w:rPr>
                <w:b/>
              </w:rPr>
            </w:pPr>
            <w:r>
              <w:rPr>
                <w:rFonts w:hint="eastAsia"/>
                <w:b/>
              </w:rPr>
              <w:t>控制断面</w:t>
            </w:r>
          </w:p>
        </w:tc>
        <w:tc>
          <w:tcPr>
            <w:tcW w:w="1190" w:type="pct"/>
            <w:vAlign w:val="center"/>
          </w:tcPr>
          <w:p w14:paraId="695F3CDC">
            <w:pPr>
              <w:pStyle w:val="57"/>
              <w:jc w:val="center"/>
              <w:rPr>
                <w:b/>
              </w:rPr>
            </w:pPr>
            <w:r>
              <w:rPr>
                <w:rFonts w:hint="eastAsia"/>
                <w:b/>
              </w:rPr>
              <w:t>所在市（区）</w:t>
            </w:r>
          </w:p>
        </w:tc>
        <w:tc>
          <w:tcPr>
            <w:tcW w:w="1027" w:type="pct"/>
            <w:vAlign w:val="center"/>
          </w:tcPr>
          <w:p w14:paraId="5C054649">
            <w:pPr>
              <w:pStyle w:val="57"/>
              <w:jc w:val="center"/>
              <w:rPr>
                <w:b/>
              </w:rPr>
            </w:pPr>
            <w:r>
              <w:rPr>
                <w:rFonts w:hint="eastAsia"/>
                <w:b/>
              </w:rPr>
              <w:t>生态水位（</w:t>
            </w:r>
            <w:r>
              <w:rPr>
                <w:b/>
              </w:rPr>
              <w:t>m</w:t>
            </w:r>
            <w:r>
              <w:rPr>
                <w:rFonts w:hint="eastAsia"/>
                <w:b/>
              </w:rPr>
              <w:t>）</w:t>
            </w:r>
          </w:p>
        </w:tc>
      </w:tr>
      <w:tr w14:paraId="6339F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8" w:type="pct"/>
            <w:vAlign w:val="center"/>
          </w:tcPr>
          <w:p w14:paraId="7C1FDA6D">
            <w:pPr>
              <w:pStyle w:val="57"/>
              <w:jc w:val="center"/>
            </w:pPr>
            <w:r>
              <w:rPr>
                <w:rFonts w:hint="eastAsia"/>
              </w:rPr>
              <w:t>1</w:t>
            </w:r>
          </w:p>
        </w:tc>
        <w:tc>
          <w:tcPr>
            <w:tcW w:w="1606" w:type="pct"/>
            <w:vAlign w:val="center"/>
          </w:tcPr>
          <w:p w14:paraId="6FADF446">
            <w:pPr>
              <w:pStyle w:val="57"/>
              <w:jc w:val="center"/>
            </w:pPr>
            <w:r>
              <w:rPr>
                <w:rFonts w:hint="eastAsia"/>
              </w:rPr>
              <w:t>下官河</w:t>
            </w:r>
          </w:p>
        </w:tc>
        <w:tc>
          <w:tcPr>
            <w:tcW w:w="789" w:type="pct"/>
            <w:vAlign w:val="center"/>
          </w:tcPr>
          <w:p w14:paraId="2A69AE75">
            <w:pPr>
              <w:pStyle w:val="57"/>
              <w:jc w:val="center"/>
            </w:pPr>
            <w:r>
              <w:t>沙沟站</w:t>
            </w:r>
          </w:p>
        </w:tc>
        <w:tc>
          <w:tcPr>
            <w:tcW w:w="1190" w:type="pct"/>
            <w:vAlign w:val="center"/>
          </w:tcPr>
          <w:p w14:paraId="4AA652FA">
            <w:pPr>
              <w:pStyle w:val="57"/>
              <w:jc w:val="center"/>
            </w:pPr>
            <w:r>
              <w:rPr>
                <w:rFonts w:hint="eastAsia"/>
              </w:rPr>
              <w:t>兴化市</w:t>
            </w:r>
          </w:p>
        </w:tc>
        <w:tc>
          <w:tcPr>
            <w:tcW w:w="1027" w:type="pct"/>
            <w:vAlign w:val="center"/>
          </w:tcPr>
          <w:p w14:paraId="0D014A6C">
            <w:pPr>
              <w:pStyle w:val="57"/>
              <w:jc w:val="center"/>
            </w:pPr>
            <w:r>
              <w:rPr>
                <w:rFonts w:hint="eastAsia"/>
              </w:rPr>
              <w:t>0</w:t>
            </w:r>
            <w:r>
              <w:t>.60</w:t>
            </w:r>
          </w:p>
        </w:tc>
      </w:tr>
      <w:tr w14:paraId="2734D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8" w:type="pct"/>
            <w:vAlign w:val="center"/>
          </w:tcPr>
          <w:p w14:paraId="7EA69EEC">
            <w:pPr>
              <w:pStyle w:val="57"/>
              <w:jc w:val="center"/>
            </w:pPr>
            <w:r>
              <w:rPr>
                <w:rFonts w:hint="eastAsia"/>
              </w:rPr>
              <w:t>2</w:t>
            </w:r>
          </w:p>
        </w:tc>
        <w:tc>
          <w:tcPr>
            <w:tcW w:w="1606" w:type="pct"/>
            <w:vAlign w:val="center"/>
          </w:tcPr>
          <w:p w14:paraId="60CAABFD">
            <w:pPr>
              <w:pStyle w:val="57"/>
              <w:jc w:val="center"/>
            </w:pPr>
            <w:r>
              <w:rPr>
                <w:rFonts w:hint="eastAsia"/>
              </w:rPr>
              <w:t>上官河</w:t>
            </w:r>
          </w:p>
        </w:tc>
        <w:tc>
          <w:tcPr>
            <w:tcW w:w="789" w:type="pct"/>
            <w:vAlign w:val="center"/>
          </w:tcPr>
          <w:p w14:paraId="78C2A2BD">
            <w:pPr>
              <w:pStyle w:val="57"/>
              <w:jc w:val="center"/>
            </w:pPr>
            <w:r>
              <w:t>中堡站</w:t>
            </w:r>
          </w:p>
        </w:tc>
        <w:tc>
          <w:tcPr>
            <w:tcW w:w="1190" w:type="pct"/>
            <w:vAlign w:val="center"/>
          </w:tcPr>
          <w:p w14:paraId="75CE23F9">
            <w:pPr>
              <w:pStyle w:val="57"/>
              <w:jc w:val="center"/>
            </w:pPr>
            <w:r>
              <w:t>兴化市</w:t>
            </w:r>
          </w:p>
        </w:tc>
        <w:tc>
          <w:tcPr>
            <w:tcW w:w="1027" w:type="pct"/>
            <w:vAlign w:val="center"/>
          </w:tcPr>
          <w:p w14:paraId="6593745C">
            <w:pPr>
              <w:pStyle w:val="57"/>
              <w:jc w:val="center"/>
            </w:pPr>
            <w:r>
              <w:rPr>
                <w:rFonts w:hint="eastAsia"/>
              </w:rPr>
              <w:t>0</w:t>
            </w:r>
            <w:r>
              <w:t>.60</w:t>
            </w:r>
          </w:p>
        </w:tc>
      </w:tr>
      <w:tr w14:paraId="04FF9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8" w:type="pct"/>
            <w:vAlign w:val="center"/>
          </w:tcPr>
          <w:p w14:paraId="5360CD20">
            <w:pPr>
              <w:pStyle w:val="57"/>
              <w:jc w:val="center"/>
            </w:pPr>
            <w:r>
              <w:rPr>
                <w:rFonts w:hint="eastAsia"/>
              </w:rPr>
              <w:t>3</w:t>
            </w:r>
          </w:p>
        </w:tc>
        <w:tc>
          <w:tcPr>
            <w:tcW w:w="1606" w:type="pct"/>
            <w:vAlign w:val="center"/>
          </w:tcPr>
          <w:p w14:paraId="75920342">
            <w:pPr>
              <w:pStyle w:val="57"/>
              <w:jc w:val="center"/>
            </w:pPr>
            <w:r>
              <w:rPr>
                <w:rFonts w:hint="eastAsia"/>
              </w:rPr>
              <w:t>盐靖河</w:t>
            </w:r>
          </w:p>
        </w:tc>
        <w:tc>
          <w:tcPr>
            <w:tcW w:w="789" w:type="pct"/>
            <w:vAlign w:val="center"/>
          </w:tcPr>
          <w:p w14:paraId="08E29C75">
            <w:pPr>
              <w:pStyle w:val="57"/>
              <w:jc w:val="center"/>
            </w:pPr>
            <w:r>
              <w:t>唐子镇站</w:t>
            </w:r>
          </w:p>
        </w:tc>
        <w:tc>
          <w:tcPr>
            <w:tcW w:w="1190" w:type="pct"/>
            <w:vAlign w:val="center"/>
          </w:tcPr>
          <w:p w14:paraId="31E5E1AD">
            <w:pPr>
              <w:pStyle w:val="57"/>
              <w:jc w:val="center"/>
            </w:pPr>
            <w:r>
              <w:t>兴化市</w:t>
            </w:r>
          </w:p>
        </w:tc>
        <w:tc>
          <w:tcPr>
            <w:tcW w:w="1027" w:type="pct"/>
            <w:vAlign w:val="center"/>
          </w:tcPr>
          <w:p w14:paraId="5E88573A">
            <w:pPr>
              <w:pStyle w:val="57"/>
              <w:jc w:val="center"/>
            </w:pPr>
            <w:r>
              <w:t>0.61</w:t>
            </w:r>
          </w:p>
        </w:tc>
      </w:tr>
      <w:tr w14:paraId="0E9B5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8" w:type="pct"/>
            <w:vAlign w:val="center"/>
          </w:tcPr>
          <w:p w14:paraId="2409C631">
            <w:pPr>
              <w:pStyle w:val="57"/>
              <w:jc w:val="center"/>
            </w:pPr>
            <w:r>
              <w:rPr>
                <w:rFonts w:hint="eastAsia"/>
              </w:rPr>
              <w:t>4</w:t>
            </w:r>
          </w:p>
        </w:tc>
        <w:tc>
          <w:tcPr>
            <w:tcW w:w="1606" w:type="pct"/>
            <w:vAlign w:val="center"/>
          </w:tcPr>
          <w:p w14:paraId="61C4AC2C">
            <w:pPr>
              <w:pStyle w:val="57"/>
              <w:jc w:val="center"/>
            </w:pPr>
            <w:r>
              <w:rPr>
                <w:rFonts w:hint="eastAsia"/>
              </w:rPr>
              <w:t>泰东河（姜堰里下河片）</w:t>
            </w:r>
          </w:p>
        </w:tc>
        <w:tc>
          <w:tcPr>
            <w:tcW w:w="789" w:type="pct"/>
            <w:vAlign w:val="center"/>
          </w:tcPr>
          <w:p w14:paraId="485B0DC8">
            <w:pPr>
              <w:pStyle w:val="57"/>
              <w:jc w:val="center"/>
            </w:pPr>
            <w:r>
              <w:t>溱潼站</w:t>
            </w:r>
          </w:p>
        </w:tc>
        <w:tc>
          <w:tcPr>
            <w:tcW w:w="1190" w:type="pct"/>
            <w:vAlign w:val="center"/>
          </w:tcPr>
          <w:p w14:paraId="0883A57D">
            <w:pPr>
              <w:pStyle w:val="57"/>
              <w:jc w:val="center"/>
            </w:pPr>
            <w:r>
              <w:t>姜堰区</w:t>
            </w:r>
          </w:p>
        </w:tc>
        <w:tc>
          <w:tcPr>
            <w:tcW w:w="1027" w:type="pct"/>
            <w:vAlign w:val="center"/>
          </w:tcPr>
          <w:p w14:paraId="490B51FE">
            <w:pPr>
              <w:pStyle w:val="57"/>
              <w:jc w:val="center"/>
            </w:pPr>
            <w:r>
              <w:t>0.72</w:t>
            </w:r>
          </w:p>
        </w:tc>
      </w:tr>
    </w:tbl>
    <w:p w14:paraId="0FCC61B0">
      <w:pPr>
        <w:pStyle w:val="64"/>
      </w:pPr>
    </w:p>
    <w:p w14:paraId="2BD64B46">
      <w:pPr>
        <w:pStyle w:val="64"/>
      </w:pPr>
      <w:r>
        <w:rPr>
          <w:rFonts w:hint="eastAsia"/>
        </w:rPr>
        <w:t>续表5</w:t>
      </w:r>
      <w:r>
        <w:t xml:space="preserve">.2-1 </w:t>
      </w:r>
      <w:r>
        <w:rPr>
          <w:rFonts w:hint="eastAsia"/>
        </w:rPr>
        <w:t>泰州市河网生态水位保障目标</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2917"/>
        <w:gridCol w:w="1433"/>
        <w:gridCol w:w="2162"/>
        <w:gridCol w:w="1865"/>
      </w:tblGrid>
      <w:tr w14:paraId="75D9D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88" w:type="pct"/>
            <w:vAlign w:val="center"/>
          </w:tcPr>
          <w:p w14:paraId="4B786C2E">
            <w:pPr>
              <w:pStyle w:val="57"/>
              <w:jc w:val="center"/>
              <w:rPr>
                <w:b/>
              </w:rPr>
            </w:pPr>
            <w:r>
              <w:rPr>
                <w:rFonts w:hint="eastAsia"/>
                <w:b/>
              </w:rPr>
              <w:t>序号</w:t>
            </w:r>
          </w:p>
        </w:tc>
        <w:tc>
          <w:tcPr>
            <w:tcW w:w="1606" w:type="pct"/>
            <w:vAlign w:val="center"/>
          </w:tcPr>
          <w:p w14:paraId="3A277485">
            <w:pPr>
              <w:pStyle w:val="57"/>
              <w:jc w:val="center"/>
              <w:rPr>
                <w:b/>
              </w:rPr>
            </w:pPr>
            <w:r>
              <w:rPr>
                <w:rFonts w:hint="eastAsia"/>
                <w:b/>
              </w:rPr>
              <w:t>河湖名称</w:t>
            </w:r>
          </w:p>
        </w:tc>
        <w:tc>
          <w:tcPr>
            <w:tcW w:w="789" w:type="pct"/>
            <w:vAlign w:val="center"/>
          </w:tcPr>
          <w:p w14:paraId="64173FF8">
            <w:pPr>
              <w:pStyle w:val="57"/>
              <w:jc w:val="center"/>
              <w:rPr>
                <w:b/>
              </w:rPr>
            </w:pPr>
            <w:r>
              <w:rPr>
                <w:rFonts w:hint="eastAsia"/>
                <w:b/>
              </w:rPr>
              <w:t>控制断面</w:t>
            </w:r>
          </w:p>
        </w:tc>
        <w:tc>
          <w:tcPr>
            <w:tcW w:w="1190" w:type="pct"/>
            <w:vAlign w:val="center"/>
          </w:tcPr>
          <w:p w14:paraId="5130B0AD">
            <w:pPr>
              <w:pStyle w:val="57"/>
              <w:jc w:val="center"/>
              <w:rPr>
                <w:b/>
              </w:rPr>
            </w:pPr>
            <w:r>
              <w:rPr>
                <w:rFonts w:hint="eastAsia"/>
                <w:b/>
              </w:rPr>
              <w:t>所在市（区）</w:t>
            </w:r>
          </w:p>
        </w:tc>
        <w:tc>
          <w:tcPr>
            <w:tcW w:w="1027" w:type="pct"/>
            <w:vAlign w:val="center"/>
          </w:tcPr>
          <w:p w14:paraId="71D09797">
            <w:pPr>
              <w:pStyle w:val="57"/>
              <w:jc w:val="center"/>
              <w:rPr>
                <w:b/>
              </w:rPr>
            </w:pPr>
            <w:r>
              <w:rPr>
                <w:rFonts w:hint="eastAsia"/>
                <w:b/>
              </w:rPr>
              <w:t>生态水位（</w:t>
            </w:r>
            <w:r>
              <w:rPr>
                <w:b/>
              </w:rPr>
              <w:t>m</w:t>
            </w:r>
            <w:r>
              <w:rPr>
                <w:rFonts w:hint="eastAsia"/>
                <w:b/>
              </w:rPr>
              <w:t>）</w:t>
            </w:r>
          </w:p>
        </w:tc>
      </w:tr>
      <w:tr w14:paraId="2F1DC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vAlign w:val="center"/>
          </w:tcPr>
          <w:p w14:paraId="59D87DCE">
            <w:pPr>
              <w:pStyle w:val="57"/>
              <w:jc w:val="center"/>
            </w:pPr>
            <w:r>
              <w:rPr>
                <w:rFonts w:hint="eastAsia"/>
              </w:rPr>
              <w:t>5</w:t>
            </w:r>
          </w:p>
        </w:tc>
        <w:tc>
          <w:tcPr>
            <w:tcW w:w="1606" w:type="pct"/>
            <w:vAlign w:val="center"/>
          </w:tcPr>
          <w:p w14:paraId="10981524">
            <w:pPr>
              <w:pStyle w:val="57"/>
              <w:jc w:val="center"/>
            </w:pPr>
            <w:r>
              <w:rPr>
                <w:rFonts w:hint="eastAsia"/>
              </w:rPr>
              <w:t>新通扬运河</w:t>
            </w:r>
            <w:r>
              <w:rPr>
                <w:rFonts w:hint="eastAsia"/>
                <w:sz w:val="22"/>
              </w:rPr>
              <w:t>(</w:t>
            </w:r>
            <w:r>
              <w:rPr>
                <w:sz w:val="22"/>
              </w:rPr>
              <w:t>海陵里下河片</w:t>
            </w:r>
            <w:r>
              <w:rPr>
                <w:rFonts w:hint="eastAsia"/>
                <w:sz w:val="22"/>
              </w:rPr>
              <w:t>)</w:t>
            </w:r>
          </w:p>
        </w:tc>
        <w:tc>
          <w:tcPr>
            <w:tcW w:w="789" w:type="pct"/>
            <w:vAlign w:val="center"/>
          </w:tcPr>
          <w:p w14:paraId="7EEE814F">
            <w:pPr>
              <w:pStyle w:val="57"/>
              <w:jc w:val="center"/>
            </w:pPr>
            <w:r>
              <w:rPr>
                <w:rFonts w:hint="eastAsia"/>
              </w:rPr>
              <w:t>泰州（泰）</w:t>
            </w:r>
          </w:p>
        </w:tc>
        <w:tc>
          <w:tcPr>
            <w:tcW w:w="1190" w:type="pct"/>
            <w:vAlign w:val="center"/>
          </w:tcPr>
          <w:p w14:paraId="099E31DB">
            <w:pPr>
              <w:pStyle w:val="57"/>
              <w:jc w:val="center"/>
            </w:pPr>
            <w:r>
              <w:rPr>
                <w:rFonts w:hint="eastAsia"/>
              </w:rPr>
              <w:t>海陵区</w:t>
            </w:r>
          </w:p>
        </w:tc>
        <w:tc>
          <w:tcPr>
            <w:tcW w:w="1027" w:type="pct"/>
            <w:vAlign w:val="center"/>
          </w:tcPr>
          <w:p w14:paraId="2D68DCCF">
            <w:pPr>
              <w:pStyle w:val="57"/>
              <w:jc w:val="center"/>
            </w:pPr>
            <w:r>
              <w:t>0.70</w:t>
            </w:r>
          </w:p>
        </w:tc>
      </w:tr>
      <w:tr w14:paraId="6B2FE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vAlign w:val="center"/>
          </w:tcPr>
          <w:p w14:paraId="6E387ACA">
            <w:pPr>
              <w:pStyle w:val="57"/>
              <w:jc w:val="center"/>
            </w:pPr>
            <w:r>
              <w:rPr>
                <w:rFonts w:hint="eastAsia"/>
              </w:rPr>
              <w:t>6</w:t>
            </w:r>
          </w:p>
        </w:tc>
        <w:tc>
          <w:tcPr>
            <w:tcW w:w="1606" w:type="pct"/>
            <w:vAlign w:val="center"/>
          </w:tcPr>
          <w:p w14:paraId="59E71E17">
            <w:pPr>
              <w:pStyle w:val="57"/>
              <w:jc w:val="center"/>
            </w:pPr>
            <w:r>
              <w:t>通扬运河</w:t>
            </w:r>
            <w:r>
              <w:rPr>
                <w:rFonts w:hint="eastAsia"/>
              </w:rPr>
              <w:t>（姜堰通南片）</w:t>
            </w:r>
          </w:p>
        </w:tc>
        <w:tc>
          <w:tcPr>
            <w:tcW w:w="789" w:type="pct"/>
            <w:vAlign w:val="center"/>
          </w:tcPr>
          <w:p w14:paraId="4985438A">
            <w:pPr>
              <w:pStyle w:val="57"/>
              <w:jc w:val="center"/>
            </w:pPr>
            <w:r>
              <w:rPr>
                <w:rFonts w:hint="eastAsia"/>
              </w:rPr>
              <w:t>姜堰（通）</w:t>
            </w:r>
          </w:p>
        </w:tc>
        <w:tc>
          <w:tcPr>
            <w:tcW w:w="1190" w:type="pct"/>
            <w:vAlign w:val="center"/>
          </w:tcPr>
          <w:p w14:paraId="2147C471">
            <w:pPr>
              <w:pStyle w:val="57"/>
              <w:jc w:val="center"/>
            </w:pPr>
            <w:r>
              <w:rPr>
                <w:rFonts w:hint="eastAsia"/>
              </w:rPr>
              <w:t>姜堰区</w:t>
            </w:r>
          </w:p>
        </w:tc>
        <w:tc>
          <w:tcPr>
            <w:tcW w:w="1027" w:type="pct"/>
            <w:vAlign w:val="center"/>
          </w:tcPr>
          <w:p w14:paraId="6A5DB8CA">
            <w:pPr>
              <w:pStyle w:val="57"/>
              <w:jc w:val="center"/>
            </w:pPr>
            <w:r>
              <w:t>1.32</w:t>
            </w:r>
          </w:p>
        </w:tc>
      </w:tr>
      <w:tr w14:paraId="0C01B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vAlign w:val="center"/>
          </w:tcPr>
          <w:p w14:paraId="55953695">
            <w:pPr>
              <w:pStyle w:val="57"/>
              <w:jc w:val="center"/>
            </w:pPr>
            <w:r>
              <w:rPr>
                <w:rFonts w:hint="eastAsia"/>
              </w:rPr>
              <w:t>7</w:t>
            </w:r>
          </w:p>
        </w:tc>
        <w:tc>
          <w:tcPr>
            <w:tcW w:w="1606" w:type="pct"/>
            <w:vAlign w:val="center"/>
          </w:tcPr>
          <w:p w14:paraId="4DDED1EB">
            <w:pPr>
              <w:pStyle w:val="57"/>
              <w:jc w:val="center"/>
            </w:pPr>
            <w:r>
              <w:rPr>
                <w:rFonts w:hint="eastAsia"/>
              </w:rPr>
              <w:t>海陵区通南片</w:t>
            </w:r>
          </w:p>
        </w:tc>
        <w:tc>
          <w:tcPr>
            <w:tcW w:w="789" w:type="pct"/>
            <w:vAlign w:val="center"/>
          </w:tcPr>
          <w:p w14:paraId="263E85C7">
            <w:pPr>
              <w:pStyle w:val="57"/>
              <w:jc w:val="center"/>
            </w:pPr>
            <w:r>
              <w:t>蔡官站</w:t>
            </w:r>
          </w:p>
        </w:tc>
        <w:tc>
          <w:tcPr>
            <w:tcW w:w="1190" w:type="pct"/>
            <w:vAlign w:val="center"/>
          </w:tcPr>
          <w:p w14:paraId="67A8118C">
            <w:pPr>
              <w:pStyle w:val="57"/>
              <w:jc w:val="center"/>
            </w:pPr>
            <w:r>
              <w:t>海陵区</w:t>
            </w:r>
          </w:p>
        </w:tc>
        <w:tc>
          <w:tcPr>
            <w:tcW w:w="1027" w:type="pct"/>
            <w:vAlign w:val="center"/>
          </w:tcPr>
          <w:p w14:paraId="668EB07F">
            <w:pPr>
              <w:pStyle w:val="57"/>
              <w:jc w:val="center"/>
            </w:pPr>
            <w:r>
              <w:t>1.37</w:t>
            </w:r>
          </w:p>
        </w:tc>
      </w:tr>
      <w:tr w14:paraId="08ACC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vAlign w:val="center"/>
          </w:tcPr>
          <w:p w14:paraId="0C5B9B03">
            <w:pPr>
              <w:pStyle w:val="57"/>
              <w:jc w:val="center"/>
            </w:pPr>
            <w:r>
              <w:rPr>
                <w:rFonts w:hint="eastAsia"/>
              </w:rPr>
              <w:t>8</w:t>
            </w:r>
          </w:p>
        </w:tc>
        <w:tc>
          <w:tcPr>
            <w:tcW w:w="1606" w:type="pct"/>
            <w:vAlign w:val="center"/>
          </w:tcPr>
          <w:p w14:paraId="470D10B5">
            <w:pPr>
              <w:pStyle w:val="57"/>
              <w:jc w:val="center"/>
            </w:pPr>
            <w:r>
              <w:t>泰州城区</w:t>
            </w:r>
            <w:r>
              <w:rPr>
                <w:rFonts w:hint="eastAsia"/>
              </w:rPr>
              <w:t>片</w:t>
            </w:r>
          </w:p>
        </w:tc>
        <w:tc>
          <w:tcPr>
            <w:tcW w:w="789" w:type="pct"/>
            <w:vAlign w:val="center"/>
          </w:tcPr>
          <w:p w14:paraId="356EA196">
            <w:pPr>
              <w:pStyle w:val="57"/>
              <w:jc w:val="center"/>
            </w:pPr>
            <w:r>
              <w:rPr>
                <w:rFonts w:hint="eastAsia"/>
              </w:rPr>
              <w:t>/</w:t>
            </w:r>
          </w:p>
        </w:tc>
        <w:tc>
          <w:tcPr>
            <w:tcW w:w="1190" w:type="pct"/>
            <w:vAlign w:val="center"/>
          </w:tcPr>
          <w:p w14:paraId="577B128D">
            <w:pPr>
              <w:pStyle w:val="57"/>
              <w:jc w:val="center"/>
            </w:pPr>
            <w:r>
              <w:t>海陵区</w:t>
            </w:r>
          </w:p>
        </w:tc>
        <w:tc>
          <w:tcPr>
            <w:tcW w:w="1027" w:type="pct"/>
            <w:vAlign w:val="center"/>
          </w:tcPr>
          <w:p w14:paraId="2747FD3E">
            <w:pPr>
              <w:pStyle w:val="57"/>
              <w:jc w:val="center"/>
            </w:pPr>
            <w:r>
              <w:t>2.60</w:t>
            </w:r>
          </w:p>
        </w:tc>
      </w:tr>
      <w:tr w14:paraId="4DF2D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vAlign w:val="center"/>
          </w:tcPr>
          <w:p w14:paraId="46A6B0C7">
            <w:pPr>
              <w:pStyle w:val="57"/>
              <w:jc w:val="center"/>
            </w:pPr>
            <w:r>
              <w:rPr>
                <w:rFonts w:hint="eastAsia"/>
              </w:rPr>
              <w:t>9</w:t>
            </w:r>
          </w:p>
        </w:tc>
        <w:tc>
          <w:tcPr>
            <w:tcW w:w="1606" w:type="pct"/>
            <w:vAlign w:val="center"/>
          </w:tcPr>
          <w:p w14:paraId="6C3C6CB7">
            <w:pPr>
              <w:pStyle w:val="57"/>
              <w:jc w:val="center"/>
            </w:pPr>
            <w:r>
              <w:t>泰州城区通南片</w:t>
            </w:r>
          </w:p>
        </w:tc>
        <w:tc>
          <w:tcPr>
            <w:tcW w:w="789" w:type="pct"/>
            <w:vAlign w:val="center"/>
          </w:tcPr>
          <w:p w14:paraId="09D231F0">
            <w:pPr>
              <w:pStyle w:val="57"/>
              <w:jc w:val="center"/>
            </w:pPr>
            <w:r>
              <w:rPr>
                <w:rFonts w:hint="eastAsia"/>
              </w:rPr>
              <w:t>/</w:t>
            </w:r>
          </w:p>
        </w:tc>
        <w:tc>
          <w:tcPr>
            <w:tcW w:w="1190" w:type="pct"/>
            <w:vAlign w:val="center"/>
          </w:tcPr>
          <w:p w14:paraId="79F572FD">
            <w:pPr>
              <w:pStyle w:val="57"/>
              <w:jc w:val="center"/>
            </w:pPr>
            <w:r>
              <w:t>海陵区</w:t>
            </w:r>
          </w:p>
        </w:tc>
        <w:tc>
          <w:tcPr>
            <w:tcW w:w="1027" w:type="pct"/>
            <w:vAlign w:val="center"/>
          </w:tcPr>
          <w:p w14:paraId="1F68F8C0">
            <w:pPr>
              <w:pStyle w:val="57"/>
              <w:jc w:val="center"/>
            </w:pPr>
            <w:r>
              <w:t>2.20</w:t>
            </w:r>
          </w:p>
        </w:tc>
      </w:tr>
      <w:tr w14:paraId="5087D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vAlign w:val="center"/>
          </w:tcPr>
          <w:p w14:paraId="4DE14599">
            <w:pPr>
              <w:pStyle w:val="57"/>
              <w:jc w:val="center"/>
            </w:pPr>
            <w:r>
              <w:rPr>
                <w:rFonts w:hint="eastAsia"/>
              </w:rPr>
              <w:t>1</w:t>
            </w:r>
            <w:r>
              <w:t>0</w:t>
            </w:r>
          </w:p>
        </w:tc>
        <w:tc>
          <w:tcPr>
            <w:tcW w:w="1606" w:type="pct"/>
            <w:vAlign w:val="center"/>
          </w:tcPr>
          <w:p w14:paraId="5ECB25EF">
            <w:pPr>
              <w:pStyle w:val="57"/>
              <w:jc w:val="center"/>
            </w:pPr>
            <w:r>
              <w:t>周山河</w:t>
            </w:r>
          </w:p>
        </w:tc>
        <w:tc>
          <w:tcPr>
            <w:tcW w:w="789" w:type="pct"/>
            <w:vAlign w:val="center"/>
          </w:tcPr>
          <w:p w14:paraId="5870CF39">
            <w:pPr>
              <w:pStyle w:val="57"/>
              <w:jc w:val="center"/>
            </w:pPr>
            <w:r>
              <w:rPr>
                <w:rFonts w:hint="eastAsia"/>
              </w:rPr>
              <w:t>泰州（周）</w:t>
            </w:r>
          </w:p>
        </w:tc>
        <w:tc>
          <w:tcPr>
            <w:tcW w:w="1190" w:type="pct"/>
            <w:vAlign w:val="center"/>
          </w:tcPr>
          <w:p w14:paraId="27B1A433">
            <w:pPr>
              <w:pStyle w:val="57"/>
              <w:jc w:val="center"/>
            </w:pPr>
            <w:r>
              <w:rPr>
                <w:rFonts w:hint="eastAsia"/>
              </w:rPr>
              <w:t>高港区（高新区）</w:t>
            </w:r>
          </w:p>
        </w:tc>
        <w:tc>
          <w:tcPr>
            <w:tcW w:w="1027" w:type="pct"/>
            <w:vAlign w:val="center"/>
          </w:tcPr>
          <w:p w14:paraId="7FBCBDC5">
            <w:pPr>
              <w:pStyle w:val="57"/>
              <w:jc w:val="center"/>
            </w:pPr>
            <w:r>
              <w:t>1.33</w:t>
            </w:r>
          </w:p>
        </w:tc>
      </w:tr>
      <w:tr w14:paraId="66EE2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vAlign w:val="center"/>
          </w:tcPr>
          <w:p w14:paraId="2167EC51">
            <w:pPr>
              <w:pStyle w:val="57"/>
              <w:jc w:val="center"/>
            </w:pPr>
            <w:r>
              <w:rPr>
                <w:rFonts w:hint="eastAsia"/>
              </w:rPr>
              <w:t>1</w:t>
            </w:r>
            <w:r>
              <w:t>1</w:t>
            </w:r>
          </w:p>
        </w:tc>
        <w:tc>
          <w:tcPr>
            <w:tcW w:w="1606" w:type="pct"/>
            <w:vAlign w:val="center"/>
          </w:tcPr>
          <w:p w14:paraId="74F9DB63">
            <w:pPr>
              <w:pStyle w:val="57"/>
              <w:jc w:val="center"/>
            </w:pPr>
            <w:r>
              <w:rPr>
                <w:rFonts w:hint="eastAsia"/>
              </w:rPr>
              <w:t>南官河</w:t>
            </w:r>
          </w:p>
        </w:tc>
        <w:tc>
          <w:tcPr>
            <w:tcW w:w="789" w:type="pct"/>
            <w:vAlign w:val="center"/>
          </w:tcPr>
          <w:p w14:paraId="6EC86C0F">
            <w:pPr>
              <w:pStyle w:val="57"/>
              <w:jc w:val="center"/>
            </w:pPr>
            <w:r>
              <w:t>泰州（许）</w:t>
            </w:r>
          </w:p>
        </w:tc>
        <w:tc>
          <w:tcPr>
            <w:tcW w:w="1190" w:type="pct"/>
            <w:vAlign w:val="center"/>
          </w:tcPr>
          <w:p w14:paraId="18BAA81E">
            <w:pPr>
              <w:pStyle w:val="57"/>
              <w:jc w:val="center"/>
            </w:pPr>
            <w:r>
              <w:rPr>
                <w:rFonts w:hint="eastAsia"/>
              </w:rPr>
              <w:t>高港区（高新区）</w:t>
            </w:r>
          </w:p>
        </w:tc>
        <w:tc>
          <w:tcPr>
            <w:tcW w:w="1027" w:type="pct"/>
            <w:vAlign w:val="center"/>
          </w:tcPr>
          <w:p w14:paraId="457265C6">
            <w:pPr>
              <w:pStyle w:val="57"/>
              <w:jc w:val="center"/>
            </w:pPr>
            <w:r>
              <w:t>1.43</w:t>
            </w:r>
          </w:p>
        </w:tc>
      </w:tr>
      <w:tr w14:paraId="37099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vAlign w:val="center"/>
          </w:tcPr>
          <w:p w14:paraId="1893EAE1">
            <w:pPr>
              <w:pStyle w:val="57"/>
              <w:jc w:val="center"/>
            </w:pPr>
            <w:r>
              <w:rPr>
                <w:rFonts w:hint="eastAsia"/>
              </w:rPr>
              <w:t>1</w:t>
            </w:r>
            <w:r>
              <w:t>2</w:t>
            </w:r>
          </w:p>
        </w:tc>
        <w:tc>
          <w:tcPr>
            <w:tcW w:w="1606" w:type="pct"/>
            <w:vAlign w:val="center"/>
          </w:tcPr>
          <w:p w14:paraId="5E46E447">
            <w:pPr>
              <w:pStyle w:val="57"/>
              <w:jc w:val="center"/>
            </w:pPr>
            <w:r>
              <w:rPr>
                <w:rFonts w:hint="eastAsia"/>
              </w:rPr>
              <w:t>宣堡港</w:t>
            </w:r>
          </w:p>
        </w:tc>
        <w:tc>
          <w:tcPr>
            <w:tcW w:w="789" w:type="pct"/>
            <w:vAlign w:val="center"/>
          </w:tcPr>
          <w:p w14:paraId="5FCD3AF9">
            <w:pPr>
              <w:pStyle w:val="57"/>
              <w:jc w:val="center"/>
            </w:pPr>
            <w:r>
              <w:rPr>
                <w:rFonts w:hint="eastAsia"/>
              </w:rPr>
              <w:t>宣堡水位站</w:t>
            </w:r>
          </w:p>
        </w:tc>
        <w:tc>
          <w:tcPr>
            <w:tcW w:w="1190" w:type="pct"/>
            <w:vAlign w:val="center"/>
          </w:tcPr>
          <w:p w14:paraId="1BD861E4">
            <w:pPr>
              <w:pStyle w:val="57"/>
              <w:jc w:val="center"/>
            </w:pPr>
            <w:r>
              <w:rPr>
                <w:rFonts w:hint="eastAsia"/>
              </w:rPr>
              <w:t>高港区（高新区）</w:t>
            </w:r>
          </w:p>
        </w:tc>
        <w:tc>
          <w:tcPr>
            <w:tcW w:w="1027" w:type="pct"/>
            <w:vAlign w:val="center"/>
          </w:tcPr>
          <w:p w14:paraId="19D32A54">
            <w:pPr>
              <w:pStyle w:val="57"/>
              <w:jc w:val="center"/>
            </w:pPr>
            <w:r>
              <w:t>1.68</w:t>
            </w:r>
          </w:p>
        </w:tc>
      </w:tr>
      <w:tr w14:paraId="18E1B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vAlign w:val="center"/>
          </w:tcPr>
          <w:p w14:paraId="212BC438">
            <w:pPr>
              <w:pStyle w:val="57"/>
              <w:jc w:val="center"/>
            </w:pPr>
            <w:r>
              <w:rPr>
                <w:rFonts w:hint="eastAsia"/>
              </w:rPr>
              <w:t>1</w:t>
            </w:r>
            <w:r>
              <w:t>3</w:t>
            </w:r>
          </w:p>
        </w:tc>
        <w:tc>
          <w:tcPr>
            <w:tcW w:w="1606" w:type="pct"/>
            <w:vAlign w:val="center"/>
          </w:tcPr>
          <w:p w14:paraId="2DE790AB">
            <w:pPr>
              <w:pStyle w:val="57"/>
              <w:jc w:val="center"/>
            </w:pPr>
            <w:r>
              <w:rPr>
                <w:rFonts w:hint="eastAsia"/>
              </w:rPr>
              <w:t>古马干河</w:t>
            </w:r>
          </w:p>
        </w:tc>
        <w:tc>
          <w:tcPr>
            <w:tcW w:w="789" w:type="pct"/>
            <w:vAlign w:val="center"/>
          </w:tcPr>
          <w:p w14:paraId="53259275">
            <w:pPr>
              <w:pStyle w:val="57"/>
              <w:jc w:val="center"/>
            </w:pPr>
            <w:r>
              <w:rPr>
                <w:rFonts w:hint="eastAsia"/>
              </w:rPr>
              <w:t>黄桥站</w:t>
            </w:r>
          </w:p>
        </w:tc>
        <w:tc>
          <w:tcPr>
            <w:tcW w:w="1190" w:type="pct"/>
            <w:vAlign w:val="center"/>
          </w:tcPr>
          <w:p w14:paraId="7871B956">
            <w:pPr>
              <w:pStyle w:val="57"/>
              <w:jc w:val="center"/>
            </w:pPr>
            <w:r>
              <w:rPr>
                <w:rFonts w:hint="eastAsia"/>
              </w:rPr>
              <w:t>泰兴市</w:t>
            </w:r>
          </w:p>
        </w:tc>
        <w:tc>
          <w:tcPr>
            <w:tcW w:w="1027" w:type="pct"/>
            <w:vAlign w:val="center"/>
          </w:tcPr>
          <w:p w14:paraId="612B7B4C">
            <w:pPr>
              <w:pStyle w:val="57"/>
              <w:jc w:val="center"/>
            </w:pPr>
            <w:r>
              <w:t>1.767</w:t>
            </w:r>
          </w:p>
        </w:tc>
      </w:tr>
      <w:tr w14:paraId="45725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vAlign w:val="center"/>
          </w:tcPr>
          <w:p w14:paraId="0CE06C2B">
            <w:pPr>
              <w:pStyle w:val="57"/>
              <w:jc w:val="center"/>
            </w:pPr>
            <w:r>
              <w:rPr>
                <w:rFonts w:hint="eastAsia"/>
              </w:rPr>
              <w:t>1</w:t>
            </w:r>
            <w:r>
              <w:t>4</w:t>
            </w:r>
          </w:p>
        </w:tc>
        <w:tc>
          <w:tcPr>
            <w:tcW w:w="1606" w:type="pct"/>
            <w:vAlign w:val="center"/>
          </w:tcPr>
          <w:p w14:paraId="1F08EBEE">
            <w:pPr>
              <w:pStyle w:val="57"/>
              <w:jc w:val="center"/>
            </w:pPr>
            <w:r>
              <w:rPr>
                <w:rFonts w:hint="eastAsia"/>
              </w:rPr>
              <w:t>焦土港</w:t>
            </w:r>
          </w:p>
        </w:tc>
        <w:tc>
          <w:tcPr>
            <w:tcW w:w="789" w:type="pct"/>
            <w:vAlign w:val="center"/>
          </w:tcPr>
          <w:p w14:paraId="17BF5AA1">
            <w:pPr>
              <w:pStyle w:val="57"/>
              <w:jc w:val="center"/>
            </w:pPr>
            <w:r>
              <w:rPr>
                <w:rFonts w:hint="eastAsia"/>
              </w:rPr>
              <w:t>焦土港闸上</w:t>
            </w:r>
          </w:p>
        </w:tc>
        <w:tc>
          <w:tcPr>
            <w:tcW w:w="1190" w:type="pct"/>
            <w:vAlign w:val="center"/>
          </w:tcPr>
          <w:p w14:paraId="0FCE868C">
            <w:pPr>
              <w:pStyle w:val="57"/>
              <w:jc w:val="center"/>
            </w:pPr>
            <w:r>
              <w:rPr>
                <w:rFonts w:hint="eastAsia"/>
              </w:rPr>
              <w:t>泰兴市</w:t>
            </w:r>
          </w:p>
        </w:tc>
        <w:tc>
          <w:tcPr>
            <w:tcW w:w="1027" w:type="pct"/>
            <w:vAlign w:val="center"/>
          </w:tcPr>
          <w:p w14:paraId="432F37E9">
            <w:pPr>
              <w:pStyle w:val="57"/>
              <w:jc w:val="center"/>
            </w:pPr>
            <w:r>
              <w:t>1.809</w:t>
            </w:r>
          </w:p>
        </w:tc>
      </w:tr>
      <w:tr w14:paraId="64B09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vAlign w:val="center"/>
          </w:tcPr>
          <w:p w14:paraId="66ECBF96">
            <w:pPr>
              <w:pStyle w:val="57"/>
              <w:jc w:val="center"/>
            </w:pPr>
            <w:r>
              <w:rPr>
                <w:rFonts w:hint="eastAsia"/>
              </w:rPr>
              <w:t>1</w:t>
            </w:r>
            <w:r>
              <w:t>5</w:t>
            </w:r>
          </w:p>
        </w:tc>
        <w:tc>
          <w:tcPr>
            <w:tcW w:w="1606" w:type="pct"/>
            <w:vAlign w:val="center"/>
          </w:tcPr>
          <w:p w14:paraId="2DCEC1B5">
            <w:pPr>
              <w:pStyle w:val="57"/>
              <w:jc w:val="center"/>
            </w:pPr>
            <w:r>
              <w:rPr>
                <w:rFonts w:hint="eastAsia"/>
              </w:rPr>
              <w:t>十圩港</w:t>
            </w:r>
          </w:p>
        </w:tc>
        <w:tc>
          <w:tcPr>
            <w:tcW w:w="789" w:type="pct"/>
            <w:vAlign w:val="center"/>
          </w:tcPr>
          <w:p w14:paraId="40D90DB8">
            <w:pPr>
              <w:pStyle w:val="57"/>
              <w:jc w:val="center"/>
            </w:pPr>
            <w:r>
              <w:rPr>
                <w:rFonts w:hint="eastAsia"/>
              </w:rPr>
              <w:t>靖江站</w:t>
            </w:r>
          </w:p>
        </w:tc>
        <w:tc>
          <w:tcPr>
            <w:tcW w:w="1190" w:type="pct"/>
            <w:vAlign w:val="center"/>
          </w:tcPr>
          <w:p w14:paraId="563A5ACE">
            <w:pPr>
              <w:pStyle w:val="57"/>
              <w:jc w:val="center"/>
            </w:pPr>
            <w:r>
              <w:rPr>
                <w:rFonts w:hint="eastAsia"/>
              </w:rPr>
              <w:t>靖江市</w:t>
            </w:r>
          </w:p>
        </w:tc>
        <w:tc>
          <w:tcPr>
            <w:tcW w:w="1027" w:type="pct"/>
            <w:vAlign w:val="center"/>
          </w:tcPr>
          <w:p w14:paraId="0BC91F19">
            <w:pPr>
              <w:pStyle w:val="57"/>
              <w:jc w:val="center"/>
            </w:pPr>
            <w:r>
              <w:t>1.06</w:t>
            </w:r>
          </w:p>
        </w:tc>
      </w:tr>
      <w:tr w14:paraId="52222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vAlign w:val="center"/>
          </w:tcPr>
          <w:p w14:paraId="78E4E31F">
            <w:pPr>
              <w:pStyle w:val="57"/>
              <w:jc w:val="center"/>
            </w:pPr>
            <w:r>
              <w:t>16</w:t>
            </w:r>
          </w:p>
        </w:tc>
        <w:tc>
          <w:tcPr>
            <w:tcW w:w="1606" w:type="pct"/>
            <w:vAlign w:val="center"/>
          </w:tcPr>
          <w:p w14:paraId="566709A2">
            <w:pPr>
              <w:pStyle w:val="57"/>
              <w:jc w:val="center"/>
            </w:pPr>
            <w:r>
              <w:rPr>
                <w:rFonts w:hint="eastAsia"/>
              </w:rPr>
              <w:t>下六圩港</w:t>
            </w:r>
          </w:p>
        </w:tc>
        <w:tc>
          <w:tcPr>
            <w:tcW w:w="789" w:type="pct"/>
            <w:vAlign w:val="center"/>
          </w:tcPr>
          <w:p w14:paraId="5E8753E9">
            <w:pPr>
              <w:pStyle w:val="57"/>
              <w:jc w:val="center"/>
            </w:pPr>
            <w:r>
              <w:rPr>
                <w:rFonts w:hint="eastAsia"/>
              </w:rPr>
              <w:t>夏仕港闸上</w:t>
            </w:r>
          </w:p>
        </w:tc>
        <w:tc>
          <w:tcPr>
            <w:tcW w:w="1190" w:type="pct"/>
            <w:vAlign w:val="center"/>
          </w:tcPr>
          <w:p w14:paraId="08362CE7">
            <w:pPr>
              <w:pStyle w:val="57"/>
              <w:jc w:val="center"/>
            </w:pPr>
            <w:r>
              <w:rPr>
                <w:rFonts w:hint="eastAsia"/>
              </w:rPr>
              <w:t>靖江市</w:t>
            </w:r>
          </w:p>
        </w:tc>
        <w:tc>
          <w:tcPr>
            <w:tcW w:w="1027" w:type="pct"/>
            <w:vAlign w:val="center"/>
          </w:tcPr>
          <w:p w14:paraId="2C249CE2">
            <w:pPr>
              <w:pStyle w:val="57"/>
              <w:jc w:val="center"/>
            </w:pPr>
            <w:r>
              <w:t>1.10</w:t>
            </w:r>
          </w:p>
        </w:tc>
      </w:tr>
    </w:tbl>
    <w:p w14:paraId="4DE9D0D6">
      <w:pPr>
        <w:pStyle w:val="65"/>
        <w:spacing w:line="276" w:lineRule="auto"/>
        <w:ind w:firstLine="480"/>
        <w:rPr>
          <w:rFonts w:ascii="楷体" w:hAnsi="楷体" w:eastAsia="楷体"/>
        </w:rPr>
      </w:pPr>
      <w:r>
        <w:rPr>
          <w:rFonts w:ascii="楷体" w:hAnsi="楷体" w:eastAsia="楷体"/>
        </w:rPr>
        <w:t>注：</w:t>
      </w:r>
      <w:r>
        <w:rPr>
          <w:rFonts w:hint="eastAsia" w:ascii="楷体" w:hAnsi="楷体" w:eastAsia="楷体"/>
        </w:rPr>
        <w:t>1</w:t>
      </w:r>
      <w:r>
        <w:rPr>
          <w:rFonts w:ascii="楷体" w:hAnsi="楷体" w:eastAsia="楷体"/>
        </w:rPr>
        <w:t>.水位基面均为废黄河口基面。</w:t>
      </w:r>
    </w:p>
    <w:p w14:paraId="5D30C9C6">
      <w:pPr>
        <w:pStyle w:val="65"/>
        <w:spacing w:line="276" w:lineRule="auto"/>
        <w:ind w:firstLine="480"/>
        <w:rPr>
          <w:rFonts w:ascii="楷体" w:hAnsi="楷体" w:eastAsia="楷体"/>
        </w:rPr>
      </w:pPr>
      <w:r>
        <w:rPr>
          <w:rFonts w:ascii="楷体" w:hAnsi="楷体" w:eastAsia="楷体"/>
        </w:rPr>
        <w:t xml:space="preserve">    </w:t>
      </w:r>
      <w:r>
        <w:rPr>
          <w:rFonts w:hint="eastAsia" w:ascii="楷体" w:hAnsi="楷体" w:eastAsia="楷体"/>
        </w:rPr>
        <w:t>2</w:t>
      </w:r>
      <w:r>
        <w:rPr>
          <w:rFonts w:ascii="楷体" w:hAnsi="楷体" w:eastAsia="楷体"/>
        </w:rPr>
        <w:t>.表中“泰州（泰）”“夏仕港闸上”为省级河湖生态水位控制断面，其余均为市级河湖生态水位控制断面。</w:t>
      </w:r>
    </w:p>
    <w:p w14:paraId="3D50ACAC">
      <w:pPr>
        <w:pStyle w:val="4"/>
      </w:pPr>
      <w:r>
        <w:rPr>
          <w:rFonts w:hint="eastAsia"/>
        </w:rPr>
        <w:t>开展湖泊湖荡生态修复</w:t>
      </w:r>
    </w:p>
    <w:p w14:paraId="64C702D7">
      <w:pPr>
        <w:ind w:firstLine="480"/>
      </w:pPr>
      <w:r>
        <w:t>为了稳步推进退圩还湖工程实施，恢复</w:t>
      </w:r>
      <w:r>
        <w:rPr>
          <w:rFonts w:hint="eastAsia"/>
        </w:rPr>
        <w:t>里下河</w:t>
      </w:r>
      <w:r>
        <w:t>腹部湖泊湖荡滞蓄功能和修复生态环境，保障区域防洪、供水、生态安全，支撑经济社会高质量发展，结合现状湖泊湖荡内存在大量耕地及基本农田的实际情况，考虑规划实施可行性及难度，加强与国土空间规划、生态环境保护规划等上位规划衔接，拟开展退圩还湖专项规划修编。</w:t>
      </w:r>
    </w:p>
    <w:p w14:paraId="08F468CF">
      <w:pPr>
        <w:ind w:firstLine="480"/>
        <w:rPr>
          <w:rFonts w:cs="Times New Roman"/>
        </w:rPr>
      </w:pPr>
      <w:r>
        <w:t>结合</w:t>
      </w:r>
      <w:r>
        <w:rPr>
          <w:rFonts w:hint="eastAsia"/>
        </w:rPr>
        <w:t>规划</w:t>
      </w:r>
      <w:r>
        <w:t>修编，</w:t>
      </w:r>
      <w:r>
        <w:rPr>
          <w:rFonts w:hint="eastAsia" w:cs="Times New Roman"/>
        </w:rPr>
        <w:t>持续推进大纵湖、喜鹊湖、龙溪港（姜堰段）、夏家汪等2</w:t>
      </w:r>
      <w:r>
        <w:rPr>
          <w:rFonts w:cs="Times New Roman"/>
        </w:rPr>
        <w:t>2个</w:t>
      </w:r>
      <w:r>
        <w:rPr>
          <w:rFonts w:hint="eastAsia" w:cs="Times New Roman"/>
        </w:rPr>
        <w:t>湖泊湖荡</w:t>
      </w:r>
      <w:r>
        <w:rPr>
          <w:rFonts w:hint="eastAsia"/>
        </w:rPr>
        <w:t>退圩还湖及</w:t>
      </w:r>
      <w:r>
        <w:t>生态</w:t>
      </w:r>
      <w:r>
        <w:rPr>
          <w:rFonts w:hint="eastAsia"/>
        </w:rPr>
        <w:t>修复</w:t>
      </w:r>
      <w:r>
        <w:rPr>
          <w:rFonts w:hint="eastAsia" w:cs="Times New Roman"/>
        </w:rPr>
        <w:t>，清退湖区围网及残埂、清除违章圩、整治入湖口门、畅通活水通道，开展岸线综合整治，深入推进“清四乱”常态化规范化，构建具有生态防护功能的滨水植被带，复苏湖泊湖荡生态环境。</w:t>
      </w:r>
    </w:p>
    <w:p w14:paraId="0C0D2B66">
      <w:pPr>
        <w:pStyle w:val="4"/>
      </w:pPr>
      <w:r>
        <w:rPr>
          <w:rFonts w:hint="eastAsia"/>
        </w:rPr>
        <w:t>强化水源涵养功能</w:t>
      </w:r>
    </w:p>
    <w:p w14:paraId="56818283">
      <w:pPr>
        <w:ind w:firstLine="480"/>
        <w:rPr>
          <w:rFonts w:cs="Times New Roman"/>
        </w:rPr>
      </w:pPr>
      <w:r>
        <w:rPr>
          <w:rFonts w:hint="eastAsia" w:cs="Times New Roman"/>
        </w:rPr>
        <w:t>加强水源涵养区、调水保护区、清水通道水生态保护和修复，加大长江干流、江水东引、沿线输水通道保护力度，因地制宜建设生态安全缓冲区，采取人工湿地、水源涵养林、沿河植被缓冲带和隔离带等治理与保护措施，增强水体净化能力，提升水源涵养功能，保障优质水源。</w:t>
      </w:r>
    </w:p>
    <w:p w14:paraId="5D6BC00A">
      <w:pPr>
        <w:ind w:firstLine="480"/>
        <w:rPr>
          <w:rFonts w:cs="Times New Roman"/>
        </w:rPr>
      </w:pPr>
      <w:r>
        <w:rPr>
          <w:rFonts w:hint="eastAsia" w:cs="Times New Roman"/>
        </w:rPr>
        <w:t>建设沿江生态涵养带，推进沿江防护林建设，提升生态岸线造林和森林抚育能力。大力推进天星洲和马洲岛等洲岛江滩湿地建设，完善滨江绿道建设。</w:t>
      </w:r>
    </w:p>
    <w:p w14:paraId="7AE9B27D">
      <w:pPr>
        <w:ind w:firstLine="480"/>
        <w:rPr>
          <w:rFonts w:cs="Times New Roman"/>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82"/>
      </w:tblGrid>
      <w:tr w14:paraId="0A8A6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82" w:type="dxa"/>
          </w:tcPr>
          <w:p w14:paraId="134F4F71">
            <w:pPr>
              <w:pStyle w:val="64"/>
            </w:pPr>
            <w:r>
              <w:rPr>
                <w:rFonts w:hint="eastAsia"/>
              </w:rPr>
              <w:t>专栏</w:t>
            </w:r>
            <w:r>
              <w:t xml:space="preserve">5.2-1 </w:t>
            </w:r>
            <w:r>
              <w:rPr>
                <w:rFonts w:hint="eastAsia"/>
              </w:rPr>
              <w:t>河湖生态与治理修复工程</w:t>
            </w:r>
          </w:p>
        </w:tc>
      </w:tr>
      <w:tr w14:paraId="1DE6C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82" w:type="dxa"/>
          </w:tcPr>
          <w:p w14:paraId="775D98C0">
            <w:pPr>
              <w:pStyle w:val="57"/>
              <w:spacing w:line="276" w:lineRule="auto"/>
              <w:ind w:firstLine="482"/>
              <w:rPr>
                <w:b/>
              </w:rPr>
            </w:pPr>
            <w:r>
              <w:rPr>
                <w:rFonts w:hint="eastAsia"/>
                <w:b/>
              </w:rPr>
              <w:t>1、湖泊湖荡生态修复工程</w:t>
            </w:r>
          </w:p>
          <w:p w14:paraId="6E956041">
            <w:pPr>
              <w:pStyle w:val="57"/>
              <w:spacing w:line="276" w:lineRule="auto"/>
              <w:ind w:firstLine="480"/>
            </w:pPr>
            <w:r>
              <w:rPr>
                <w:rFonts w:hint="eastAsia"/>
              </w:rPr>
              <w:t>适时开展退圩还湖规划修编，对大纵湖、夏家汪等湖泊湖荡实施生态修复、退圩还，复苏湖泊湖荡生态环境，提高湖泊调蓄库容，工程涉及兴化、姜堰、海陵三地区。（基于《批转省水利厅关于里下河腹部地区滞涝、清障实施意见的通知（苏政发〔1</w:t>
            </w:r>
            <w:r>
              <w:t>992</w:t>
            </w:r>
            <w:r>
              <w:rPr>
                <w:rFonts w:hint="eastAsia"/>
              </w:rPr>
              <w:t>〕4</w:t>
            </w:r>
            <w:r>
              <w:t>4</w:t>
            </w:r>
            <w:r>
              <w:rPr>
                <w:rFonts w:hint="eastAsia"/>
              </w:rPr>
              <w:t>号）》《江苏省里下河腹部地区湖泊湖荡保护规划》《泰州市国土空间总体规划（2</w:t>
            </w:r>
            <w:r>
              <w:t>021</w:t>
            </w:r>
            <w:r>
              <w:rPr>
                <w:rFonts w:hint="eastAsia"/>
              </w:rPr>
              <w:t>—2035年）》等）。</w:t>
            </w:r>
          </w:p>
        </w:tc>
      </w:tr>
    </w:tbl>
    <w:p w14:paraId="021AA4C4">
      <w:pPr>
        <w:pStyle w:val="3"/>
        <w:spacing w:before="163"/>
      </w:pPr>
      <w:bookmarkStart w:id="68" w:name="_Toc181109859"/>
      <w:r>
        <w:t>加强水系连通复苏生态绿核</w:t>
      </w:r>
      <w:bookmarkEnd w:id="68"/>
    </w:p>
    <w:p w14:paraId="6BBBB6C9">
      <w:pPr>
        <w:pStyle w:val="4"/>
      </w:pPr>
      <w:r>
        <w:rPr>
          <w:rFonts w:hint="eastAsia"/>
        </w:rPr>
        <w:t>持续推进幸福河湖建设</w:t>
      </w:r>
    </w:p>
    <w:p w14:paraId="714E2B4A">
      <w:pPr>
        <w:ind w:firstLine="480"/>
      </w:pPr>
      <w:r>
        <w:rPr>
          <w:rFonts w:hint="eastAsia"/>
        </w:rPr>
        <w:t>通过提升河湖保护治理成效，推进生态文明建设，构建人水和谐的生态环境、健康安逸的生活环境，全面构建泰州市</w:t>
      </w:r>
      <w:r>
        <w:rPr>
          <w:rFonts w:asciiTheme="minorEastAsia" w:hAnsiTheme="minorEastAsia" w:eastAsiaTheme="minorEastAsia"/>
        </w:rPr>
        <w:t>“</w:t>
      </w:r>
      <w:r>
        <w:rPr>
          <w:rFonts w:hint="eastAsia" w:asciiTheme="minorEastAsia" w:hAnsiTheme="minorEastAsia" w:eastAsiaTheme="minorEastAsia"/>
        </w:rPr>
        <w:t>三带、六城、百条、千片</w:t>
      </w:r>
      <w:r>
        <w:rPr>
          <w:rFonts w:asciiTheme="minorEastAsia" w:hAnsiTheme="minorEastAsia" w:eastAsiaTheme="minorEastAsia"/>
        </w:rPr>
        <w:t>”</w:t>
      </w:r>
      <w:r>
        <w:t>的</w:t>
      </w:r>
      <w:r>
        <w:rPr>
          <w:rFonts w:hint="eastAsia"/>
        </w:rPr>
        <w:t>幸福河湖总体格局。根据《泰州市幸福河湖建设计划》，2</w:t>
      </w:r>
      <w:r>
        <w:t>021年</w:t>
      </w:r>
      <w:r>
        <w:rPr>
          <w:rFonts w:hint="eastAsia"/>
        </w:rPr>
        <w:t>至2</w:t>
      </w:r>
      <w:r>
        <w:t>035年</w:t>
      </w:r>
      <w:r>
        <w:rPr>
          <w:rFonts w:hint="eastAsia"/>
        </w:rPr>
        <w:t>间</w:t>
      </w:r>
      <w:r>
        <w:t>泰州市计划建设</w:t>
      </w:r>
      <w:r>
        <w:rPr>
          <w:rFonts w:hint="eastAsia"/>
        </w:rPr>
        <w:t>4</w:t>
      </w:r>
      <w:r>
        <w:t>605条幸福河湖，其中</w:t>
      </w:r>
      <w:r>
        <w:rPr>
          <w:rFonts w:hint="eastAsia"/>
        </w:rPr>
        <w:t>2021年至2</w:t>
      </w:r>
      <w:r>
        <w:t>023年共</w:t>
      </w:r>
      <w:r>
        <w:rPr>
          <w:rFonts w:hint="eastAsia"/>
        </w:rPr>
        <w:t>建成市级幸福河湖2294条，创成省级以上幸福河湖39条。未来需进一步巩固幸福河湖建设成效，加快实施老通扬运河、南官河等</w:t>
      </w:r>
      <w:r>
        <w:t>2311条</w:t>
      </w:r>
      <w:r>
        <w:rPr>
          <w:rFonts w:hint="eastAsia"/>
        </w:rPr>
        <w:t>幸福河湖建设，确保每年推进建成幸福河湖不少于</w:t>
      </w:r>
      <w:r>
        <w:t>150条</w:t>
      </w:r>
      <w:r>
        <w:rPr>
          <w:rFonts w:hint="eastAsia"/>
        </w:rPr>
        <w:t>，统筹推进“三带”生态屏障、六座幸福水城建设。到2035年全市河湖总体建成“河安湖晏、水清岸绿、鱼翔浅底、文昌人和”的幸福河湖。</w:t>
      </w:r>
    </w:p>
    <w:p w14:paraId="584CD8C0">
      <w:pPr>
        <w:pStyle w:val="4"/>
      </w:pPr>
      <w:r>
        <w:rPr>
          <w:rFonts w:hint="eastAsia"/>
        </w:rPr>
        <w:t>推进农村河道生态治理</w:t>
      </w:r>
    </w:p>
    <w:p w14:paraId="5A304E28">
      <w:pPr>
        <w:ind w:firstLine="480"/>
        <w:rPr>
          <w:rFonts w:cs="Times New Roman"/>
        </w:rPr>
      </w:pPr>
      <w:r>
        <w:rPr>
          <w:rFonts w:hint="eastAsia" w:cs="Times New Roman"/>
        </w:rPr>
        <w:t>结合泰州市农村水系存在的问题，衔接农村黑臭水体治理等措施，对重要河流的支流和流经重要乡镇的河段开展系统治理，以河流为脉络，以村庄为节点，通过水系连通、清淤疏浚、岸坡整治、水源涵养和河湖管护等多项措施，恢复农村水系基本功能、修复河道空间形态、提升河湖水环境质量，营造</w:t>
      </w:r>
      <w:r>
        <w:rPr>
          <w:rFonts w:cs="Times New Roman"/>
        </w:rPr>
        <w:t>“</w:t>
      </w:r>
      <w:r>
        <w:rPr>
          <w:rFonts w:hint="eastAsia" w:cs="Times New Roman"/>
        </w:rPr>
        <w:t>水畅、岸绿、景美</w:t>
      </w:r>
      <w:r>
        <w:rPr>
          <w:rFonts w:cs="Times New Roman"/>
        </w:rPr>
        <w:t>”</w:t>
      </w:r>
      <w:r>
        <w:rPr>
          <w:rFonts w:hint="eastAsia" w:cs="Times New Roman"/>
        </w:rPr>
        <w:t>的农村水系，以水系治理助力乡村振兴。</w:t>
      </w:r>
    </w:p>
    <w:p w14:paraId="326BD32C">
      <w:pPr>
        <w:ind w:firstLine="480"/>
        <w:rPr>
          <w:rFonts w:cs="Times New Roman"/>
        </w:rPr>
      </w:pPr>
      <w:r>
        <w:rPr>
          <w:rFonts w:hint="eastAsia" w:cs="Times New Roman"/>
        </w:rPr>
        <w:t>近年来，泰州市大力推进整治农村河道，截至2023年底，泰州市已创建农村生态河道881条，累计2643km。规划按照“河畅、水清、岸绿、景美”目标，持续推进农村生态河道建设，</w:t>
      </w:r>
      <w:r>
        <w:rPr>
          <w:rFonts w:cs="Times New Roman"/>
        </w:rPr>
        <w:t>2024</w:t>
      </w:r>
      <w:r>
        <w:rPr>
          <w:rFonts w:hint="eastAsia" w:cs="Times New Roman"/>
        </w:rPr>
        <w:t>～</w:t>
      </w:r>
      <w:r>
        <w:rPr>
          <w:rFonts w:cs="Times New Roman"/>
        </w:rPr>
        <w:t>2035</w:t>
      </w:r>
      <w:r>
        <w:rPr>
          <w:rFonts w:hint="eastAsia" w:cs="Times New Roman"/>
        </w:rPr>
        <w:t>年建设农村生态河道</w:t>
      </w:r>
      <w:r>
        <w:rPr>
          <w:rFonts w:cs="Times New Roman"/>
        </w:rPr>
        <w:t>658</w:t>
      </w:r>
      <w:r>
        <w:rPr>
          <w:rFonts w:hint="eastAsia" w:cs="Times New Roman"/>
        </w:rPr>
        <w:t>条1</w:t>
      </w:r>
      <w:r>
        <w:rPr>
          <w:rFonts w:cs="Times New Roman"/>
        </w:rPr>
        <w:t>570</w:t>
      </w:r>
      <w:r>
        <w:rPr>
          <w:rFonts w:hint="eastAsia" w:cs="Times New Roman"/>
        </w:rPr>
        <w:t>km</w:t>
      </w:r>
      <w:r>
        <w:rPr>
          <w:rFonts w:cs="Times New Roman"/>
        </w:rPr>
        <w:t>，并巩固已建成</w:t>
      </w:r>
      <w:r>
        <w:rPr>
          <w:rFonts w:hint="eastAsia" w:cs="Times New Roman"/>
        </w:rPr>
        <w:t>农村</w:t>
      </w:r>
      <w:r>
        <w:rPr>
          <w:rFonts w:cs="Times New Roman"/>
        </w:rPr>
        <w:t>生态河道成效</w:t>
      </w:r>
      <w:r>
        <w:rPr>
          <w:rFonts w:hint="eastAsia" w:cs="Times New Roman"/>
        </w:rPr>
        <w:t>，至2</w:t>
      </w:r>
      <w:r>
        <w:rPr>
          <w:rFonts w:cs="Times New Roman"/>
        </w:rPr>
        <w:t>035年农村生态河道覆盖率达</w:t>
      </w:r>
      <w:r>
        <w:rPr>
          <w:rFonts w:hint="eastAsia" w:cs="Times New Roman"/>
        </w:rPr>
        <w:t>8</w:t>
      </w:r>
      <w:r>
        <w:rPr>
          <w:rFonts w:cs="Times New Roman"/>
        </w:rPr>
        <w:t>0%以上。</w:t>
      </w:r>
    </w:p>
    <w:p w14:paraId="7BA3B13C">
      <w:pPr>
        <w:pStyle w:val="4"/>
      </w:pPr>
      <w:r>
        <w:rPr>
          <w:rFonts w:hint="eastAsia"/>
        </w:rPr>
        <w:t>实施河湖水系连通</w:t>
      </w:r>
    </w:p>
    <w:p w14:paraId="4C8E0D8C">
      <w:pPr>
        <w:ind w:firstLine="480"/>
      </w:pPr>
      <w:r>
        <w:rPr>
          <w:rFonts w:hint="eastAsia"/>
        </w:rPr>
        <w:t>针对泰州市平原河网区存在的河湖阻隔、水动力条件较差、生态系统退化等问题，以发挥水系功能、改善水动力条件、保障河湖生态水位及改善水质为目标，通过河湖生态清淤、水系连通、引配水泵闸建设及改造等手段，打通水系连通最后“一km”，完善市级水网互联互通，形成高效畅通的水循环体系。以长江、泰州引江河、通扬运河等骨干河道、里下河湖泊湖荡群、县级以上河道等为骨架，通过对凌家港、五七中沟、老南官河、西支河、香戴河、友谊中沟、姚庄中沟、肖陆河、友谊中沟等558条河道进行水系连通，进一步完善里下河区、通南高沙土片、沿江圩区水循环体系，形成“互联互通、活水通畅、联调联控”的河湖联通网。</w:t>
      </w:r>
    </w:p>
    <w:p w14:paraId="67E12E00">
      <w:pPr>
        <w:pStyle w:val="4"/>
      </w:pPr>
      <w:r>
        <w:rPr>
          <w:rFonts w:hint="eastAsia"/>
        </w:rPr>
        <w:t>推进生态清洁小流域建设</w:t>
      </w:r>
    </w:p>
    <w:p w14:paraId="00405DAE">
      <w:pPr>
        <w:ind w:firstLine="480"/>
        <w:rPr>
          <w:rFonts w:cs="Times New Roman"/>
        </w:rPr>
      </w:pPr>
      <w:r>
        <w:rPr>
          <w:rFonts w:hint="eastAsia" w:cs="Times New Roman"/>
        </w:rPr>
        <w:t>全面推进泰州“河湖通畅、生态健康、清洁美丽、人水和谐”的生态清洁小流域建设，将水土流失治理、水源保护、面源污染防治、水环境改善、人居环境提升等统筹规划，开展山水林田湖草系统治理，打造河长制水生态环境治理的升级版，促进地区人居环境改善和经济社会协调发展。到</w:t>
      </w:r>
      <w:r>
        <w:rPr>
          <w:rFonts w:cs="Times New Roman"/>
        </w:rPr>
        <w:t>2035</w:t>
      </w:r>
      <w:r>
        <w:rPr>
          <w:rFonts w:hint="eastAsia" w:cs="Times New Roman"/>
        </w:rPr>
        <w:t>年，建成</w:t>
      </w:r>
      <w:r>
        <w:rPr>
          <w:rFonts w:cs="Times New Roman"/>
        </w:rPr>
        <w:t>50</w:t>
      </w:r>
      <w:r>
        <w:rPr>
          <w:rFonts w:hint="eastAsia" w:cs="Times New Roman"/>
        </w:rPr>
        <w:t>个生态清洁小流域，建成与流域片基本实现现代化相适应的生态清洁小流域体系，促进人与自然和谐共生。</w:t>
      </w:r>
    </w:p>
    <w:p w14:paraId="279B35A9">
      <w:pPr>
        <w:pStyle w:val="4"/>
      </w:pPr>
      <w:r>
        <w:rPr>
          <w:rFonts w:hint="eastAsia"/>
        </w:rPr>
        <w:t>加强水土流失综合治理</w:t>
      </w:r>
    </w:p>
    <w:p w14:paraId="4D33E854">
      <w:pPr>
        <w:ind w:firstLine="480"/>
        <w:rPr>
          <w:rFonts w:cs="Times New Roman"/>
        </w:rPr>
      </w:pPr>
      <w:r>
        <w:rPr>
          <w:rFonts w:hint="eastAsia" w:cs="Times New Roman"/>
        </w:rPr>
        <w:t>按照“预防为主、保护优先”的要求，以水土保持重点工程、统筹生态清洁小流域建设、土地整治、生态河道治理等专项工程，推进水土流失综合治理和人居环境改善，加快构建水土流失综合防治体系。结合各地区水土流失规律特点、自然地理条件、经济社会发展趋势等自然因素和人为各种因素，科学确定水土保持率阈值，并以此为依据确定不同的水土流失防治规模。到</w:t>
      </w:r>
      <w:r>
        <w:rPr>
          <w:rFonts w:cs="Times New Roman"/>
        </w:rPr>
        <w:t>2035</w:t>
      </w:r>
      <w:r>
        <w:rPr>
          <w:rFonts w:hint="eastAsia" w:cs="Times New Roman"/>
        </w:rPr>
        <w:t>年，全市水土保持率达到</w:t>
      </w:r>
      <w:r>
        <w:rPr>
          <w:rFonts w:cs="Times New Roman"/>
        </w:rPr>
        <w:t>99.98%</w:t>
      </w:r>
      <w:r>
        <w:rPr>
          <w:rFonts w:hint="eastAsia" w:cs="Times New Roman"/>
        </w:rPr>
        <w:t>，新增水土流失重点预防面积18.36</w:t>
      </w:r>
      <w:r>
        <w:rPr>
          <w:rFonts w:hint="eastAsia"/>
        </w:rPr>
        <w:t>km²</w:t>
      </w:r>
      <w:r>
        <w:rPr>
          <w:rFonts w:hint="eastAsia" w:cs="Times New Roman"/>
        </w:rPr>
        <w:t>，新增水土流失综合治理52.63</w:t>
      </w:r>
      <w:r>
        <w:rPr>
          <w:rFonts w:hint="eastAsia"/>
        </w:rPr>
        <w:t>km²</w:t>
      </w:r>
      <w:r>
        <w:rPr>
          <w:rFonts w:hint="eastAsia" w:cs="Times New Roman"/>
        </w:rPr>
        <w:t>。</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82"/>
      </w:tblGrid>
      <w:tr w14:paraId="71B7A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82" w:type="dxa"/>
          </w:tcPr>
          <w:p w14:paraId="1EE0B142">
            <w:pPr>
              <w:pStyle w:val="64"/>
            </w:pPr>
            <w:r>
              <w:rPr>
                <w:rFonts w:hint="eastAsia"/>
              </w:rPr>
              <w:t>专栏</w:t>
            </w:r>
            <w:r>
              <w:t xml:space="preserve">5.3-1 </w:t>
            </w:r>
            <w:r>
              <w:rPr>
                <w:rFonts w:hint="eastAsia"/>
              </w:rPr>
              <w:t>水系连通与生态复苏工程</w:t>
            </w:r>
          </w:p>
        </w:tc>
      </w:tr>
      <w:tr w14:paraId="30729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82" w:type="dxa"/>
          </w:tcPr>
          <w:p w14:paraId="3FC1702C">
            <w:pPr>
              <w:pStyle w:val="57"/>
              <w:rPr>
                <w:b/>
              </w:rPr>
            </w:pPr>
            <w:r>
              <w:rPr>
                <w:rFonts w:hint="eastAsia"/>
                <w:b/>
              </w:rPr>
              <w:t>1、幸福河湖建设工程</w:t>
            </w:r>
          </w:p>
          <w:p w14:paraId="66F1AE57">
            <w:pPr>
              <w:pStyle w:val="66"/>
              <w:spacing w:line="276" w:lineRule="auto"/>
              <w:ind w:firstLine="480"/>
            </w:pPr>
            <w:r>
              <w:rPr>
                <w:rFonts w:hint="eastAsia"/>
              </w:rPr>
              <w:t>进一步巩固长江江堤建设成效，加快实施老通扬运河、南官河等2311条幸福河湖建设，到2035年全市河湖总体建成“河安湖晏、水清岸绿、鱼翔浅底、文昌人和”的幸福河湖。（基于《泰州市幸福河湖建设总体规划（2</w:t>
            </w:r>
            <w:r>
              <w:t>021</w:t>
            </w:r>
            <w:r>
              <w:rPr>
                <w:rFonts w:hint="eastAsia"/>
              </w:rPr>
              <w:t>—</w:t>
            </w:r>
            <w:r>
              <w:t>2035年</w:t>
            </w:r>
            <w:r>
              <w:rPr>
                <w:rFonts w:hint="eastAsia"/>
              </w:rPr>
              <w:t>）》等）</w:t>
            </w:r>
          </w:p>
          <w:p w14:paraId="3508A49C">
            <w:pPr>
              <w:pStyle w:val="57"/>
              <w:rPr>
                <w:b/>
              </w:rPr>
            </w:pPr>
            <w:r>
              <w:rPr>
                <w:rFonts w:hint="eastAsia"/>
                <w:b/>
              </w:rPr>
              <w:t>2、农村河道生态治理</w:t>
            </w:r>
          </w:p>
          <w:p w14:paraId="159B7702">
            <w:pPr>
              <w:pStyle w:val="66"/>
              <w:spacing w:line="276" w:lineRule="auto"/>
              <w:ind w:firstLine="480"/>
            </w:pPr>
            <w:r>
              <w:rPr>
                <w:rFonts w:hint="eastAsia" w:cs="Times New Roman"/>
              </w:rPr>
              <w:t>规划按照“河畅、水清、岸绿、景美”目标，持续推进农村生态河道建设，</w:t>
            </w:r>
            <w:r>
              <w:rPr>
                <w:rFonts w:cs="Times New Roman"/>
              </w:rPr>
              <w:t>2024年</w:t>
            </w:r>
            <w:r>
              <w:rPr>
                <w:rFonts w:hint="eastAsia" w:cs="Times New Roman"/>
              </w:rPr>
              <w:t>至</w:t>
            </w:r>
            <w:r>
              <w:rPr>
                <w:rFonts w:cs="Times New Roman"/>
              </w:rPr>
              <w:t>2030</w:t>
            </w:r>
            <w:r>
              <w:rPr>
                <w:rFonts w:hint="eastAsia" w:cs="Times New Roman"/>
              </w:rPr>
              <w:t>年建设农村生态河道</w:t>
            </w:r>
            <w:r>
              <w:rPr>
                <w:rFonts w:cs="Times New Roman"/>
              </w:rPr>
              <w:t>438</w:t>
            </w:r>
            <w:r>
              <w:rPr>
                <w:rFonts w:hint="eastAsia" w:cs="Times New Roman"/>
              </w:rPr>
              <w:t>条，总长</w:t>
            </w:r>
            <w:r>
              <w:rPr>
                <w:rFonts w:cs="Times New Roman"/>
              </w:rPr>
              <w:t>1046km</w:t>
            </w:r>
            <w:r>
              <w:rPr>
                <w:rFonts w:hint="eastAsia" w:cs="Times New Roman"/>
              </w:rPr>
              <w:t>；</w:t>
            </w:r>
            <w:r>
              <w:rPr>
                <w:rFonts w:cs="Times New Roman"/>
              </w:rPr>
              <w:t>2031</w:t>
            </w:r>
            <w:r>
              <w:rPr>
                <w:rFonts w:hint="eastAsia" w:cs="Times New Roman"/>
              </w:rPr>
              <w:t>年至</w:t>
            </w:r>
            <w:r>
              <w:rPr>
                <w:rFonts w:cs="Times New Roman"/>
              </w:rPr>
              <w:t>2035年</w:t>
            </w:r>
            <w:r>
              <w:rPr>
                <w:rFonts w:hint="eastAsia" w:cs="Times New Roman"/>
              </w:rPr>
              <w:t>建设农村</w:t>
            </w:r>
            <w:r>
              <w:rPr>
                <w:rFonts w:cs="Times New Roman"/>
              </w:rPr>
              <w:t>生态河道总长220条524km以上，</w:t>
            </w:r>
            <w:r>
              <w:rPr>
                <w:rFonts w:hint="eastAsia"/>
              </w:rPr>
              <w:t>建设内容包括清淤疏浚、岸坡整治、绿化植被、河道管护等。（基于《美丽泰州建设行动方案（2</w:t>
            </w:r>
            <w:r>
              <w:t>024年</w:t>
            </w:r>
            <w:r>
              <w:rPr>
                <w:rFonts w:hint="eastAsia"/>
              </w:rPr>
              <w:t>）》等）</w:t>
            </w:r>
          </w:p>
          <w:p w14:paraId="5514A897">
            <w:pPr>
              <w:pStyle w:val="66"/>
              <w:spacing w:line="276" w:lineRule="auto"/>
              <w:ind w:firstLine="0" w:firstLineChars="0"/>
              <w:rPr>
                <w:b/>
              </w:rPr>
            </w:pPr>
            <w:r>
              <w:rPr>
                <w:rFonts w:hint="eastAsia"/>
                <w:b/>
              </w:rPr>
              <w:t>3、水系连通工程</w:t>
            </w:r>
          </w:p>
          <w:p w14:paraId="15FA139D">
            <w:pPr>
              <w:pStyle w:val="66"/>
              <w:spacing w:line="276" w:lineRule="auto"/>
              <w:ind w:firstLine="480"/>
            </w:pPr>
            <w:r>
              <w:rPr>
                <w:rFonts w:hint="eastAsia"/>
              </w:rPr>
              <w:t>对凌家港、五七中沟、老南官河、西支河、香戴河、友谊中沟、姚庄中沟、肖陆河、友谊中沟等558条河道进行水系连通。</w:t>
            </w:r>
          </w:p>
          <w:p w14:paraId="3A48D77A">
            <w:pPr>
              <w:pStyle w:val="57"/>
              <w:rPr>
                <w:b/>
              </w:rPr>
            </w:pPr>
            <w:r>
              <w:rPr>
                <w:rFonts w:hint="eastAsia"/>
                <w:b/>
              </w:rPr>
              <w:t>4、生态清洁小流域建设</w:t>
            </w:r>
          </w:p>
          <w:p w14:paraId="05DDC096">
            <w:pPr>
              <w:pStyle w:val="66"/>
              <w:spacing w:line="276" w:lineRule="auto"/>
              <w:ind w:firstLine="480"/>
            </w:pPr>
            <w:r>
              <w:rPr>
                <w:rFonts w:hint="eastAsia"/>
              </w:rPr>
              <w:t>实施马甸小流域等50个清洁小流域建设，总面积1712km</w:t>
            </w:r>
            <w:r>
              <w:rPr>
                <w:rFonts w:ascii="Calibri" w:hAnsi="Calibri" w:cs="Calibri"/>
              </w:rPr>
              <w:t>²</w:t>
            </w:r>
            <w:r>
              <w:rPr>
                <w:rFonts w:hint="eastAsia" w:ascii="楷体" w:hAnsi="楷体" w:cs="楷体"/>
              </w:rPr>
              <w:t>，主要实施河道清淤、生态护岸、岸坡植物防护、保土耕作等工程。</w:t>
            </w:r>
            <w:r>
              <w:rPr>
                <w:rFonts w:hint="eastAsia"/>
              </w:rPr>
              <w:t>（基于《江苏省水土保持规划》《泰州市国土空间总体规划（2</w:t>
            </w:r>
            <w:r>
              <w:t>021</w:t>
            </w:r>
            <w:r>
              <w:rPr>
                <w:rFonts w:hint="eastAsia"/>
              </w:rPr>
              <w:t>—2035年）》等）</w:t>
            </w:r>
          </w:p>
          <w:p w14:paraId="4A3049EA">
            <w:pPr>
              <w:pStyle w:val="57"/>
              <w:rPr>
                <w:b/>
              </w:rPr>
            </w:pPr>
            <w:r>
              <w:rPr>
                <w:rFonts w:hint="eastAsia"/>
                <w:b/>
              </w:rPr>
              <w:t>5、水土保持重点工程</w:t>
            </w:r>
          </w:p>
          <w:p w14:paraId="0C33E15E">
            <w:pPr>
              <w:pStyle w:val="66"/>
              <w:spacing w:line="276" w:lineRule="auto"/>
              <w:ind w:firstLine="480"/>
            </w:pPr>
            <w:r>
              <w:rPr>
                <w:rFonts w:hint="eastAsia"/>
              </w:rPr>
              <w:t>实施20个国家水土保持重点工程，新增水土流失重点预防面积18.36km</w:t>
            </w:r>
            <w:r>
              <w:rPr>
                <w:rFonts w:ascii="Calibri" w:hAnsi="Calibri" w:cs="Calibri"/>
              </w:rPr>
              <w:t>²</w:t>
            </w:r>
            <w:r>
              <w:rPr>
                <w:rFonts w:hint="eastAsia" w:ascii="楷体" w:hAnsi="楷体" w:cs="楷体"/>
              </w:rPr>
              <w:t>，新增水土流失综合治理</w:t>
            </w:r>
            <w:r>
              <w:rPr>
                <w:rFonts w:hint="eastAsia"/>
              </w:rPr>
              <w:t>52.63km</w:t>
            </w:r>
            <w:r>
              <w:rPr>
                <w:rFonts w:ascii="Calibri" w:hAnsi="Calibri" w:cs="Calibri"/>
              </w:rPr>
              <w:t>²</w:t>
            </w:r>
            <w:r>
              <w:rPr>
                <w:rFonts w:hint="eastAsia"/>
              </w:rPr>
              <w:t>。（基于《泰州市国土空间总体规划（2</w:t>
            </w:r>
            <w:r>
              <w:t>021</w:t>
            </w:r>
            <w:r>
              <w:rPr>
                <w:rFonts w:hint="eastAsia"/>
              </w:rPr>
              <w:t>—2035年）》等）</w:t>
            </w:r>
          </w:p>
        </w:tc>
      </w:tr>
    </w:tbl>
    <w:p w14:paraId="3251833F">
      <w:pPr>
        <w:pStyle w:val="3"/>
        <w:spacing w:before="163"/>
      </w:pPr>
      <w:bookmarkStart w:id="69" w:name="_Toc181109860"/>
      <w:r>
        <w:rPr>
          <w:rFonts w:hint="eastAsia"/>
        </w:rPr>
        <w:t>打造骨干生态廊道</w:t>
      </w:r>
      <w:bookmarkEnd w:id="69"/>
    </w:p>
    <w:p w14:paraId="26C5B3C7">
      <w:pPr>
        <w:pStyle w:val="4"/>
      </w:pPr>
      <w:r>
        <w:rPr>
          <w:rFonts w:hint="eastAsia"/>
        </w:rPr>
        <w:t>协同长江水道生态涵养带建设</w:t>
      </w:r>
    </w:p>
    <w:p w14:paraId="724D4248">
      <w:pPr>
        <w:ind w:firstLine="480"/>
      </w:pPr>
      <w:r>
        <w:rPr>
          <w:rFonts w:hint="eastAsia"/>
        </w:rPr>
        <w:t>为推动长江经济带高质量发展，落实“生态优先，绿色发展”要求，着力在长江生态保护上争当表率。构建以长江泰州段滨江风光带、靖江马洲岛、泰兴天星洲两个生态岛，泰州春江省级湿地公园、泰兴沿江生态廊道、靖江牧城公园三个节点为核心的“一带二岛三节点”沿江生态走廊，加强长江水环境治理，巩固入江支流达标断面水质，清理和整顿沿江排污口和重污染企业，严格限制水污染物排放强度和总量，确保长江干流水质满足水功能区划要求。切实保护沿江、沿河湿地，积极修复受损湿地，提升湿地生态服务功能。推进长江大堤防护林建设，加强长江文化遗产保护利用，构建长江文化建设新平台。</w:t>
      </w:r>
    </w:p>
    <w:p w14:paraId="5218AE38">
      <w:pPr>
        <w:pStyle w:val="4"/>
      </w:pPr>
      <w:r>
        <w:rPr>
          <w:rFonts w:hint="eastAsia"/>
        </w:rPr>
        <w:t>着力打造“三带”美丽泰州</w:t>
      </w:r>
    </w:p>
    <w:p w14:paraId="28E587A6">
      <w:pPr>
        <w:ind w:firstLine="480"/>
        <w:rPr>
          <w:rFonts w:cs="Times New Roman"/>
        </w:rPr>
      </w:pPr>
      <w:r>
        <w:rPr>
          <w:rFonts w:hint="eastAsia" w:cs="Times New Roman"/>
        </w:rPr>
        <w:t>以长江、泰州引江河－卤汀河、通扬运河及泰东河等骨干河道、里下河湖荡、溱湖等湖泊为基础，在沿江地区打造绵延百里、绿满滨江的大江风光带；在城区北部依托现代农业生态走廊，打造集都市农业、生态休闲为一体的生态经济带；在里下河地区保护好原生态、原村落、原风貌，打造苇荡相连、桨声灯影的水乡风情带，建设更有品质、令人向往的水城水乡。以“三带”建设为重点构筑泰州绿色发展生态屏障。</w:t>
      </w:r>
    </w:p>
    <w:p w14:paraId="10294476">
      <w:pPr>
        <w:pStyle w:val="4"/>
      </w:pPr>
      <w:r>
        <w:rPr>
          <w:rFonts w:hint="eastAsia"/>
        </w:rPr>
        <w:t>推进滨水生态空间打造</w:t>
      </w:r>
    </w:p>
    <w:p w14:paraId="7296E3AD">
      <w:pPr>
        <w:ind w:firstLine="480"/>
        <w:rPr>
          <w:rFonts w:cs="Times New Roman"/>
        </w:rPr>
      </w:pPr>
      <w:r>
        <w:rPr>
          <w:rFonts w:hint="eastAsia" w:cs="Times New Roman"/>
        </w:rPr>
        <w:t>依托河湖自然形态，充分利用河湖周边地带，因地制宜建设亲水生态岸线，留足河湖滩地和深槽宽度，在确保防洪、供水安全的前提下，积极建设生态型护岸，修复保护河湖滩地，维护河流纵向连续性和河湖连通性，打造各具特色、各现其美的生态廊道。生态廊道建设涉及绿化或种植的，不得影响河势稳定、防洪安全，植物品种、布局、高度、密度等不得影响行洪通畅。重点推进长江、中心城区、城集镇滨水区等水网生态空间建设，构筑绿色发展生态廊道。</w:t>
      </w:r>
    </w:p>
    <w:p w14:paraId="5E72112E">
      <w:pPr>
        <w:pStyle w:val="3"/>
        <w:spacing w:before="163"/>
      </w:pPr>
      <w:bookmarkStart w:id="70" w:name="_Toc169102378"/>
      <w:bookmarkEnd w:id="70"/>
      <w:bookmarkStart w:id="71" w:name="_Toc169102006"/>
      <w:bookmarkEnd w:id="71"/>
      <w:bookmarkStart w:id="72" w:name="_Toc169102382"/>
      <w:bookmarkEnd w:id="72"/>
      <w:bookmarkStart w:id="73" w:name="_Toc169102379"/>
      <w:bookmarkEnd w:id="73"/>
      <w:bookmarkStart w:id="74" w:name="_Toc169102570"/>
      <w:bookmarkEnd w:id="74"/>
      <w:bookmarkStart w:id="75" w:name="_Toc169102005"/>
      <w:bookmarkEnd w:id="75"/>
      <w:bookmarkStart w:id="76" w:name="_Toc169102192"/>
      <w:bookmarkEnd w:id="76"/>
      <w:bookmarkStart w:id="77" w:name="_Toc169102375"/>
      <w:bookmarkEnd w:id="77"/>
      <w:bookmarkStart w:id="78" w:name="_Toc169102188"/>
      <w:bookmarkEnd w:id="78"/>
      <w:bookmarkStart w:id="79" w:name="_Toc169102196"/>
      <w:bookmarkEnd w:id="79"/>
      <w:bookmarkStart w:id="80" w:name="_Toc169102575"/>
      <w:bookmarkEnd w:id="80"/>
      <w:bookmarkStart w:id="81" w:name="_Toc169102198"/>
      <w:bookmarkEnd w:id="81"/>
      <w:bookmarkStart w:id="82" w:name="_Toc169102003"/>
      <w:bookmarkEnd w:id="82"/>
      <w:bookmarkStart w:id="83" w:name="_Toc169102000"/>
      <w:bookmarkEnd w:id="83"/>
      <w:bookmarkStart w:id="84" w:name="_Toc169102567"/>
      <w:bookmarkEnd w:id="84"/>
      <w:bookmarkStart w:id="85" w:name="_Toc169102193"/>
      <w:bookmarkEnd w:id="85"/>
      <w:bookmarkStart w:id="86" w:name="_Toc169102187"/>
      <w:bookmarkEnd w:id="86"/>
      <w:bookmarkStart w:id="87" w:name="_Toc169102194"/>
      <w:bookmarkEnd w:id="87"/>
      <w:bookmarkStart w:id="88" w:name="_Toc169102199"/>
      <w:bookmarkEnd w:id="88"/>
      <w:bookmarkStart w:id="89" w:name="_Toc169102200"/>
      <w:bookmarkEnd w:id="89"/>
      <w:bookmarkStart w:id="90" w:name="_Toc169102381"/>
      <w:bookmarkEnd w:id="90"/>
      <w:bookmarkStart w:id="91" w:name="_Toc169102376"/>
      <w:bookmarkEnd w:id="91"/>
      <w:bookmarkStart w:id="92" w:name="_Toc169102201"/>
      <w:bookmarkEnd w:id="92"/>
      <w:bookmarkStart w:id="93" w:name="_Toc169102010"/>
      <w:bookmarkEnd w:id="93"/>
      <w:bookmarkStart w:id="94" w:name="_Toc169102563"/>
      <w:bookmarkEnd w:id="94"/>
      <w:bookmarkStart w:id="95" w:name="_Toc169102388"/>
      <w:bookmarkEnd w:id="95"/>
      <w:bookmarkStart w:id="96" w:name="_Toc169102002"/>
      <w:bookmarkEnd w:id="96"/>
      <w:bookmarkStart w:id="97" w:name="_Toc169102191"/>
      <w:bookmarkEnd w:id="97"/>
      <w:bookmarkStart w:id="98" w:name="_Toc169102001"/>
      <w:bookmarkEnd w:id="98"/>
      <w:bookmarkStart w:id="99" w:name="_Toc169102377"/>
      <w:bookmarkEnd w:id="99"/>
      <w:bookmarkStart w:id="100" w:name="_Toc169101999"/>
      <w:bookmarkEnd w:id="100"/>
      <w:bookmarkStart w:id="101" w:name="_Toc169102568"/>
      <w:bookmarkEnd w:id="101"/>
      <w:bookmarkStart w:id="102" w:name="_Toc169102569"/>
      <w:bookmarkEnd w:id="102"/>
      <w:bookmarkStart w:id="103" w:name="_Toc169102190"/>
      <w:bookmarkEnd w:id="103"/>
      <w:bookmarkStart w:id="104" w:name="_Toc169102566"/>
      <w:bookmarkEnd w:id="104"/>
      <w:bookmarkStart w:id="105" w:name="_Toc169102390"/>
      <w:bookmarkEnd w:id="105"/>
      <w:bookmarkStart w:id="106" w:name="_Toc169102393"/>
      <w:bookmarkEnd w:id="106"/>
      <w:bookmarkStart w:id="107" w:name="_Toc169102387"/>
      <w:bookmarkEnd w:id="107"/>
      <w:bookmarkStart w:id="108" w:name="_Toc169102007"/>
      <w:bookmarkEnd w:id="108"/>
      <w:bookmarkStart w:id="109" w:name="_Toc169102208"/>
      <w:bookmarkEnd w:id="109"/>
      <w:bookmarkStart w:id="110" w:name="_Toc169102022"/>
      <w:bookmarkEnd w:id="110"/>
      <w:bookmarkStart w:id="111" w:name="_Toc169102391"/>
      <w:bookmarkEnd w:id="111"/>
      <w:bookmarkStart w:id="112" w:name="_Toc169102385"/>
      <w:bookmarkEnd w:id="112"/>
      <w:bookmarkStart w:id="113" w:name="_Toc169102565"/>
      <w:bookmarkEnd w:id="113"/>
      <w:bookmarkStart w:id="114" w:name="_Toc169102207"/>
      <w:bookmarkEnd w:id="114"/>
      <w:bookmarkStart w:id="115" w:name="_Toc169102189"/>
      <w:bookmarkEnd w:id="115"/>
      <w:bookmarkStart w:id="116" w:name="_Toc169102012"/>
      <w:bookmarkEnd w:id="116"/>
      <w:bookmarkStart w:id="117" w:name="_Toc169102021"/>
      <w:bookmarkEnd w:id="117"/>
      <w:bookmarkStart w:id="118" w:name="_Toc169102578"/>
      <w:bookmarkEnd w:id="118"/>
      <w:bookmarkStart w:id="119" w:name="_Toc169102014"/>
      <w:bookmarkEnd w:id="119"/>
      <w:bookmarkStart w:id="120" w:name="_Toc169102380"/>
      <w:bookmarkEnd w:id="120"/>
      <w:bookmarkStart w:id="121" w:name="_Toc169102013"/>
      <w:bookmarkEnd w:id="121"/>
      <w:bookmarkStart w:id="122" w:name="_Toc169102576"/>
      <w:bookmarkEnd w:id="122"/>
      <w:bookmarkStart w:id="123" w:name="_Toc169102564"/>
      <w:bookmarkEnd w:id="123"/>
      <w:bookmarkStart w:id="124" w:name="_Toc169102383"/>
      <w:bookmarkEnd w:id="124"/>
      <w:bookmarkStart w:id="125" w:name="_Toc169102573"/>
      <w:bookmarkEnd w:id="125"/>
      <w:bookmarkStart w:id="126" w:name="_Toc169102386"/>
      <w:bookmarkEnd w:id="126"/>
      <w:bookmarkStart w:id="127" w:name="_Toc169102004"/>
      <w:bookmarkEnd w:id="127"/>
      <w:bookmarkStart w:id="128" w:name="_Toc169102195"/>
      <w:bookmarkEnd w:id="128"/>
      <w:bookmarkStart w:id="129" w:name="_Toc169102011"/>
      <w:bookmarkEnd w:id="129"/>
      <w:bookmarkStart w:id="130" w:name="_Toc169102585"/>
      <w:bookmarkEnd w:id="130"/>
      <w:bookmarkStart w:id="131" w:name="_Toc169102197"/>
      <w:bookmarkEnd w:id="131"/>
      <w:bookmarkStart w:id="132" w:name="_Toc169102577"/>
      <w:bookmarkEnd w:id="132"/>
      <w:bookmarkStart w:id="133" w:name="_Toc169102582"/>
      <w:bookmarkEnd w:id="133"/>
      <w:bookmarkStart w:id="134" w:name="_Toc169102584"/>
      <w:bookmarkEnd w:id="134"/>
      <w:bookmarkStart w:id="135" w:name="_Toc169102572"/>
      <w:bookmarkEnd w:id="135"/>
      <w:bookmarkStart w:id="136" w:name="_Toc169102008"/>
      <w:bookmarkEnd w:id="136"/>
      <w:bookmarkStart w:id="137" w:name="_Toc169102571"/>
      <w:bookmarkEnd w:id="137"/>
      <w:bookmarkStart w:id="138" w:name="_Toc169102389"/>
      <w:bookmarkEnd w:id="138"/>
      <w:bookmarkStart w:id="139" w:name="_Toc169102392"/>
      <w:bookmarkEnd w:id="139"/>
      <w:bookmarkStart w:id="140" w:name="_Toc169102206"/>
      <w:bookmarkEnd w:id="140"/>
      <w:bookmarkStart w:id="141" w:name="_Toc169102016"/>
      <w:bookmarkEnd w:id="141"/>
      <w:bookmarkStart w:id="142" w:name="_Toc169102203"/>
      <w:bookmarkEnd w:id="142"/>
      <w:bookmarkStart w:id="143" w:name="_Toc169102395"/>
      <w:bookmarkEnd w:id="143"/>
      <w:bookmarkStart w:id="144" w:name="_Toc169102017"/>
      <w:bookmarkEnd w:id="144"/>
      <w:bookmarkStart w:id="145" w:name="_Toc169102396"/>
      <w:bookmarkEnd w:id="145"/>
      <w:bookmarkStart w:id="146" w:name="_Toc169102394"/>
      <w:bookmarkEnd w:id="146"/>
      <w:bookmarkStart w:id="147" w:name="_Toc169102209"/>
      <w:bookmarkEnd w:id="147"/>
      <w:bookmarkStart w:id="148" w:name="_Toc169102399"/>
      <w:bookmarkEnd w:id="148"/>
      <w:bookmarkStart w:id="149" w:name="_Toc169102579"/>
      <w:bookmarkEnd w:id="149"/>
      <w:bookmarkStart w:id="150" w:name="_Toc169102018"/>
      <w:bookmarkEnd w:id="150"/>
      <w:bookmarkStart w:id="151" w:name="_Toc169102401"/>
      <w:bookmarkEnd w:id="151"/>
      <w:bookmarkStart w:id="152" w:name="_Toc169102590"/>
      <w:bookmarkEnd w:id="152"/>
      <w:bookmarkStart w:id="153" w:name="_Toc169102204"/>
      <w:bookmarkEnd w:id="153"/>
      <w:bookmarkStart w:id="154" w:name="_Toc169102009"/>
      <w:bookmarkEnd w:id="154"/>
      <w:bookmarkStart w:id="155" w:name="_Toc169102020"/>
      <w:bookmarkEnd w:id="155"/>
      <w:bookmarkStart w:id="156" w:name="_Toc169102211"/>
      <w:bookmarkEnd w:id="156"/>
      <w:bookmarkStart w:id="157" w:name="_Toc169102214"/>
      <w:bookmarkEnd w:id="157"/>
      <w:bookmarkStart w:id="158" w:name="_Toc169102574"/>
      <w:bookmarkEnd w:id="158"/>
      <w:bookmarkStart w:id="159" w:name="_Toc169102384"/>
      <w:bookmarkEnd w:id="159"/>
      <w:bookmarkStart w:id="160" w:name="_Toc169102015"/>
      <w:bookmarkEnd w:id="160"/>
      <w:bookmarkStart w:id="161" w:name="_Toc169102587"/>
      <w:bookmarkEnd w:id="161"/>
      <w:bookmarkStart w:id="162" w:name="_Toc169102024"/>
      <w:bookmarkEnd w:id="162"/>
      <w:bookmarkStart w:id="163" w:name="_Toc169102397"/>
      <w:bookmarkEnd w:id="163"/>
      <w:bookmarkStart w:id="164" w:name="_Toc169102588"/>
      <w:bookmarkEnd w:id="164"/>
      <w:bookmarkStart w:id="165" w:name="_Toc169102213"/>
      <w:bookmarkEnd w:id="165"/>
      <w:bookmarkStart w:id="166" w:name="_Toc169102580"/>
      <w:bookmarkEnd w:id="166"/>
      <w:bookmarkStart w:id="167" w:name="_Toc169102581"/>
      <w:bookmarkEnd w:id="167"/>
      <w:bookmarkStart w:id="168" w:name="_Toc169102202"/>
      <w:bookmarkEnd w:id="168"/>
      <w:bookmarkStart w:id="169" w:name="_Toc169102400"/>
      <w:bookmarkEnd w:id="169"/>
      <w:bookmarkStart w:id="170" w:name="_Toc169102025"/>
      <w:bookmarkEnd w:id="170"/>
      <w:bookmarkStart w:id="171" w:name="_Toc169102583"/>
      <w:bookmarkEnd w:id="171"/>
      <w:bookmarkStart w:id="172" w:name="_Toc169102026"/>
      <w:bookmarkEnd w:id="172"/>
      <w:bookmarkStart w:id="173" w:name="_Toc169102402"/>
      <w:bookmarkEnd w:id="173"/>
      <w:bookmarkStart w:id="174" w:name="_Toc169102212"/>
      <w:bookmarkEnd w:id="174"/>
      <w:bookmarkStart w:id="175" w:name="_Toc169102589"/>
      <w:bookmarkEnd w:id="175"/>
      <w:bookmarkStart w:id="176" w:name="_Toc169102210"/>
      <w:bookmarkEnd w:id="176"/>
      <w:bookmarkStart w:id="177" w:name="_Toc169102205"/>
      <w:bookmarkEnd w:id="177"/>
      <w:bookmarkStart w:id="178" w:name="_Toc169102586"/>
      <w:bookmarkEnd w:id="178"/>
      <w:bookmarkStart w:id="179" w:name="_Toc169102398"/>
      <w:bookmarkEnd w:id="179"/>
      <w:bookmarkStart w:id="180" w:name="_Toc169102023"/>
      <w:bookmarkEnd w:id="180"/>
      <w:bookmarkStart w:id="181" w:name="_Toc169102019"/>
      <w:bookmarkEnd w:id="181"/>
      <w:bookmarkStart w:id="182" w:name="_Toc181109861"/>
      <w:r>
        <w:rPr>
          <w:rFonts w:hint="eastAsia"/>
        </w:rPr>
        <w:t>推进水文化建设</w:t>
      </w:r>
      <w:bookmarkEnd w:id="182"/>
    </w:p>
    <w:p w14:paraId="3261E2CE">
      <w:pPr>
        <w:pStyle w:val="4"/>
      </w:pPr>
      <w:r>
        <w:rPr>
          <w:rFonts w:hint="eastAsia"/>
        </w:rPr>
        <w:t>协同推进国家文化公园建设</w:t>
      </w:r>
    </w:p>
    <w:p w14:paraId="1CA4711E">
      <w:pPr>
        <w:ind w:firstLine="480"/>
      </w:pPr>
      <w:r>
        <w:rPr>
          <w:rFonts w:hint="eastAsia"/>
        </w:rPr>
        <w:t>泰州作为长江国家文化公园江苏段的重要建设区域，打造长江国家文化公园泰州示范区成为泰州的新定位、新追求。坚持把长江文化“保护好、传承好、弘扬好”的原则，立足独特区位，精心布局长江国家文化公园；依托重点，倾情讲述泰州大江大河故事；推进文旅共兴，努力满足人民美好生活向往。</w:t>
      </w:r>
    </w:p>
    <w:p w14:paraId="1883F8BE">
      <w:pPr>
        <w:ind w:firstLine="480"/>
      </w:pPr>
      <w:r>
        <w:rPr>
          <w:rFonts w:hint="eastAsia"/>
        </w:rPr>
        <w:t>融入大运河国家文化公园建设，传承展示江海文化和古盐运河文化，以泰州市古盐运河文化带建设为抓手，突出“水城相融、人水相依”的空间特色，强化运河文化传承利用，深化与大运河沿线城市的文旅合作。</w:t>
      </w:r>
    </w:p>
    <w:p w14:paraId="43C04CEA">
      <w:pPr>
        <w:pStyle w:val="4"/>
      </w:pPr>
      <w:r>
        <w:rPr>
          <w:rFonts w:hint="eastAsia"/>
        </w:rPr>
        <w:t>推动当代治水文化繁荣发展</w:t>
      </w:r>
    </w:p>
    <w:p w14:paraId="6A9B559A">
      <w:pPr>
        <w:ind w:firstLine="480"/>
      </w:pPr>
      <w:r>
        <w:rPr>
          <w:rStyle w:val="35"/>
          <w:rFonts w:hint="eastAsia"/>
        </w:rPr>
        <w:t>充分挖掘治水文化。</w:t>
      </w:r>
      <w:r>
        <w:rPr>
          <w:rFonts w:hint="eastAsia"/>
        </w:rPr>
        <w:t>泰州的水文化内容十分丰富，围绕兴化垛田文化、姜堰三水文化、运盐文化，以“水脉”承“文脉”，通过历史文化景观恢复，以及河流水面景观、湿地景观、水利风景区、水利公园、水文化公园等精品水文化工程的建设，从历史和现代两个方面推动水文化工程建设，展现泰州幸福水天堂的文化特质。</w:t>
      </w:r>
    </w:p>
    <w:p w14:paraId="6B305872">
      <w:pPr>
        <w:ind w:firstLine="480"/>
      </w:pPr>
      <w:r>
        <w:rPr>
          <w:rStyle w:val="35"/>
          <w:rFonts w:hint="eastAsia"/>
        </w:rPr>
        <w:t>打造水文化示范平台载体</w:t>
      </w:r>
      <w:r>
        <w:rPr>
          <w:rStyle w:val="35"/>
        </w:rPr>
        <w:t>。</w:t>
      </w:r>
      <w:r>
        <w:t>把水利风景区建设作为提升水工程及水环境文化内涵和品位的示范工程，目前</w:t>
      </w:r>
      <w:r>
        <w:rPr>
          <w:rFonts w:hint="eastAsia"/>
        </w:rPr>
        <w:t>泰州</w:t>
      </w:r>
      <w:r>
        <w:t>已有凤凰河、引江河、溱湖、凤城河、千垛菜花五个</w:t>
      </w:r>
      <w:r>
        <w:rPr>
          <w:rFonts w:ascii="宋体" w:hAnsi="宋体"/>
        </w:rPr>
        <w:t>“国家级水利风景区”</w:t>
      </w:r>
      <w:r>
        <w:t>，靖江明湖、兴化李中水上森林公园、陈堡草荡（泰州市水上训练基地）等一批水上风景带，近百个精心打造人水和谐的河长制主题公园</w:t>
      </w:r>
      <w:r>
        <w:rPr>
          <w:rFonts w:hint="eastAsia"/>
        </w:rPr>
        <w:t>。</w:t>
      </w:r>
      <w:r>
        <w:rPr>
          <w:rFonts w:hint="eastAsia" w:cs="Times New Roman"/>
        </w:rPr>
        <w:t>加强现有水利风景区管理，积极推动泰州溱湖湿地水利风景区、</w:t>
      </w:r>
      <w:r>
        <w:rPr>
          <w:rFonts w:cs="Times New Roman"/>
        </w:rPr>
        <w:t>泰州凤凰河水利风景区、</w:t>
      </w:r>
      <w:r>
        <w:rPr>
          <w:rFonts w:hint="eastAsia" w:cs="Times New Roman"/>
        </w:rPr>
        <w:t>泰州泰兴市长江生态廊道水利风景区等水利风景区创建或升级</w:t>
      </w:r>
      <w:r>
        <w:t>。</w:t>
      </w:r>
    </w:p>
    <w:p w14:paraId="0BF9C0CD">
      <w:pPr>
        <w:pStyle w:val="4"/>
      </w:pPr>
      <w:r>
        <w:rPr>
          <w:rFonts w:hint="eastAsia"/>
        </w:rPr>
        <w:t>加强新发展阶段水文化弘扬</w:t>
      </w:r>
    </w:p>
    <w:p w14:paraId="20A073C9">
      <w:pPr>
        <w:ind w:firstLine="480"/>
      </w:pPr>
      <w:r>
        <w:rPr>
          <w:rFonts w:hint="eastAsia" w:ascii="黑体" w:hAnsi="黑体" w:eastAsia="黑体"/>
        </w:rPr>
        <w:t>加强水文化阵地建设。</w:t>
      </w:r>
      <w:r>
        <w:rPr>
          <w:rFonts w:hint="eastAsia"/>
        </w:rPr>
        <w:t>以水利工程为依托，结合历史典故、民俗风情，对新建水工程进行全面的文化注入，使它们具有丰富、多元、先进的文化功能，逐步提升全市水工程的文化内涵与品位，打造富有泰州辨识度的文化印记，弘扬盐税文化、城河文化、江海文化、里下河文化，彰显泰州水韵之美、人文之美。</w:t>
      </w:r>
    </w:p>
    <w:p w14:paraId="71DEEDE0">
      <w:pPr>
        <w:ind w:firstLine="480"/>
        <w:rPr>
          <w:rFonts w:cs="Times New Roman"/>
        </w:rPr>
      </w:pPr>
      <w:r>
        <w:rPr>
          <w:rFonts w:hint="eastAsia" w:ascii="黑体" w:hAnsi="黑体" w:eastAsia="黑体" w:cs="Times New Roman"/>
        </w:rPr>
        <w:t>丰富宣传模式与手段。</w:t>
      </w:r>
      <w:r>
        <w:rPr>
          <w:rFonts w:hint="eastAsia" w:cs="Times New Roman"/>
        </w:rPr>
        <w:t>拓宽水文化宣传教育渠道，积极开展水文化进社区、进企业等活动。通过展览、讲坛等形式，利用“世界水日”“中国水周”等时间节点，面向社会公众广泛开展水文化传播活动。多渠道创新传播模式，综合利用传统媒体、新媒体等，大力传播水文化。</w:t>
      </w:r>
    </w:p>
    <w:p w14:paraId="070EC957">
      <w:pPr>
        <w:ind w:firstLine="480"/>
      </w:pPr>
      <w:r>
        <w:rPr>
          <w:rFonts w:hint="eastAsia" w:ascii="黑体" w:hAnsi="黑体" w:eastAsia="黑体"/>
        </w:rPr>
        <w:t>加强水利行业精神文明建设。</w:t>
      </w:r>
      <w:r>
        <w:rPr>
          <w:rFonts w:hint="eastAsia"/>
        </w:rPr>
        <w:t>加强水利单位文化建设，探索水利系统单位精神文明建设、文化建设和思想政治工作融合发展的路径，把水文化建设与群众性精神文明创建活动结合起来，引导水利干部职工更加自觉、主动地弘扬水文化，投身水利高质量发展事业。</w:t>
      </w:r>
    </w:p>
    <w:p w14:paraId="0DFF3931">
      <w:pPr>
        <w:ind w:firstLine="480"/>
      </w:pPr>
    </w:p>
    <w:p w14:paraId="7227BCF9">
      <w:pPr>
        <w:pStyle w:val="2"/>
      </w:pPr>
      <w:bookmarkStart w:id="183" w:name="_Toc169102594"/>
      <w:bookmarkEnd w:id="183"/>
      <w:bookmarkStart w:id="184" w:name="_Toc169102216"/>
      <w:bookmarkEnd w:id="184"/>
      <w:bookmarkStart w:id="185" w:name="_Toc169102031"/>
      <w:bookmarkEnd w:id="185"/>
      <w:bookmarkStart w:id="186" w:name="_Toc169102029"/>
      <w:bookmarkEnd w:id="186"/>
      <w:bookmarkStart w:id="187" w:name="_Toc169102217"/>
      <w:bookmarkEnd w:id="187"/>
      <w:bookmarkStart w:id="188" w:name="_Toc169102598"/>
      <w:bookmarkEnd w:id="188"/>
      <w:bookmarkStart w:id="189" w:name="_Toc169102405"/>
      <w:bookmarkEnd w:id="189"/>
      <w:bookmarkStart w:id="190" w:name="_Toc169102597"/>
      <w:bookmarkEnd w:id="190"/>
      <w:bookmarkStart w:id="191" w:name="_Toc169102033"/>
      <w:bookmarkEnd w:id="191"/>
      <w:bookmarkStart w:id="192" w:name="_Toc169102249"/>
      <w:bookmarkEnd w:id="192"/>
      <w:bookmarkStart w:id="193" w:name="_Toc169102061"/>
      <w:bookmarkEnd w:id="193"/>
      <w:bookmarkStart w:id="194" w:name="_Toc169102220"/>
      <w:bookmarkEnd w:id="194"/>
      <w:bookmarkStart w:id="195" w:name="_Toc169102222"/>
      <w:bookmarkEnd w:id="195"/>
      <w:bookmarkStart w:id="196" w:name="_Toc169102221"/>
      <w:bookmarkEnd w:id="196"/>
      <w:bookmarkStart w:id="197" w:name="_Toc169102410"/>
      <w:bookmarkEnd w:id="197"/>
      <w:bookmarkStart w:id="198" w:name="_Toc169102406"/>
      <w:bookmarkEnd w:id="198"/>
      <w:bookmarkStart w:id="199" w:name="_Toc169102595"/>
      <w:bookmarkEnd w:id="199"/>
      <w:bookmarkStart w:id="200" w:name="_Toc169102404"/>
      <w:bookmarkEnd w:id="200"/>
      <w:bookmarkStart w:id="201" w:name="_Toc169102028"/>
      <w:bookmarkEnd w:id="201"/>
      <w:bookmarkStart w:id="202" w:name="_Toc169102219"/>
      <w:bookmarkEnd w:id="202"/>
      <w:bookmarkStart w:id="203" w:name="_Toc169102407"/>
      <w:bookmarkEnd w:id="203"/>
      <w:bookmarkStart w:id="204" w:name="_Toc169102250"/>
      <w:bookmarkEnd w:id="204"/>
      <w:bookmarkStart w:id="205" w:name="_Toc169102592"/>
      <w:bookmarkEnd w:id="205"/>
      <w:bookmarkStart w:id="206" w:name="_Toc169102408"/>
      <w:bookmarkEnd w:id="206"/>
      <w:bookmarkStart w:id="207" w:name="_Toc169102593"/>
      <w:bookmarkEnd w:id="207"/>
      <w:bookmarkStart w:id="208" w:name="_Toc169102438"/>
      <w:bookmarkEnd w:id="208"/>
      <w:bookmarkStart w:id="209" w:name="_Toc169102596"/>
      <w:bookmarkEnd w:id="209"/>
      <w:bookmarkStart w:id="210" w:name="_Toc169102032"/>
      <w:bookmarkEnd w:id="210"/>
      <w:bookmarkStart w:id="211" w:name="_Toc169102437"/>
      <w:bookmarkEnd w:id="211"/>
      <w:bookmarkStart w:id="212" w:name="_Toc169102218"/>
      <w:bookmarkEnd w:id="212"/>
      <w:bookmarkStart w:id="213" w:name="_Toc169102409"/>
      <w:bookmarkEnd w:id="213"/>
      <w:bookmarkStart w:id="214" w:name="_Toc169102062"/>
      <w:bookmarkEnd w:id="214"/>
      <w:bookmarkStart w:id="215" w:name="_Toc169102034"/>
      <w:bookmarkEnd w:id="215"/>
      <w:bookmarkStart w:id="216" w:name="_Toc169102030"/>
      <w:bookmarkEnd w:id="216"/>
      <w:bookmarkStart w:id="217" w:name="_Toc169102625"/>
      <w:bookmarkEnd w:id="217"/>
      <w:bookmarkStart w:id="218" w:name="_Toc169102626"/>
      <w:bookmarkEnd w:id="218"/>
      <w:bookmarkStart w:id="219" w:name="_Toc181109862"/>
      <w:r>
        <w:rPr>
          <w:rFonts w:hint="eastAsia"/>
        </w:rPr>
        <w:t>推进智慧互联的数字孪生网</w:t>
      </w:r>
      <w:bookmarkEnd w:id="219"/>
    </w:p>
    <w:p w14:paraId="5B792033">
      <w:pPr>
        <w:pStyle w:val="3"/>
        <w:spacing w:before="163"/>
      </w:pPr>
      <w:bookmarkStart w:id="220" w:name="_Toc181109863"/>
      <w:r>
        <w:rPr>
          <w:rFonts w:hint="eastAsia"/>
        </w:rPr>
        <w:t>建设思路</w:t>
      </w:r>
      <w:bookmarkEnd w:id="220"/>
    </w:p>
    <w:p w14:paraId="394C4F9B">
      <w:pPr>
        <w:ind w:firstLine="480"/>
        <w:rPr>
          <w:rFonts w:cs="Times New Roman"/>
        </w:rPr>
      </w:pPr>
      <w:r>
        <w:t>按照</w:t>
      </w:r>
      <w:r>
        <w:rPr>
          <w:rFonts w:ascii="宋体" w:hAnsi="宋体"/>
        </w:rPr>
        <w:t>“需求牵引、应用至上、数字赋能、提升能力”</w:t>
      </w:r>
      <w:r>
        <w:rPr>
          <w:rFonts w:hint="eastAsia"/>
        </w:rPr>
        <w:t>建设数字孪生水利的</w:t>
      </w:r>
      <w:r>
        <w:t>要求</w:t>
      </w:r>
      <w:r>
        <w:rPr>
          <w:rFonts w:hint="eastAsia"/>
        </w:rPr>
        <w:t>，围绕泰州市水利现代化发展目标，以数字化、网络化、智能化为主线，以数字化场景、智慧化模拟、精准化决策为路径，以信息基础设施建设、数字孪生平台建设、智能应用体系建设为三大抓手，</w:t>
      </w:r>
      <w:r>
        <w:rPr>
          <w:rFonts w:hint="eastAsia" w:cs="Times New Roman"/>
        </w:rPr>
        <w:t>整合现有各类水利信息化系统资源，推进水网数字化、调度智慧化、监测预警自动化建设，构建具有水城特色的泰州数字孪生水网体系，提升水网运行效能，为全面提升泰州水安全保障能力提供科学、精准的技术支撑。</w:t>
      </w:r>
    </w:p>
    <w:p w14:paraId="10F028E8">
      <w:pPr>
        <w:pStyle w:val="57"/>
        <w:jc w:val="center"/>
      </w:pPr>
      <w:r>
        <w:drawing>
          <wp:inline distT="0" distB="0" distL="0" distR="0">
            <wp:extent cx="5327650" cy="3112135"/>
            <wp:effectExtent l="0" t="0" r="6350" b="0"/>
            <wp:docPr id="5" name="图片 5" descr="I:\Talk\水网框图2+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Talk\水网框图2+N.t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328000" cy="3112397"/>
                    </a:xfrm>
                    <a:prstGeom prst="rect">
                      <a:avLst/>
                    </a:prstGeom>
                    <a:noFill/>
                    <a:ln>
                      <a:noFill/>
                    </a:ln>
                  </pic:spPr>
                </pic:pic>
              </a:graphicData>
            </a:graphic>
          </wp:inline>
        </w:drawing>
      </w:r>
    </w:p>
    <w:p w14:paraId="300B9C45">
      <w:pPr>
        <w:pStyle w:val="64"/>
      </w:pPr>
      <w:r>
        <w:rPr>
          <w:rFonts w:hint="eastAsia"/>
        </w:rPr>
        <w:t>图</w:t>
      </w:r>
      <w:r>
        <w:t>6.1-1</w:t>
      </w:r>
      <w:r>
        <w:rPr>
          <w:rFonts w:hint="eastAsia"/>
        </w:rPr>
        <w:t>泰州市数字孪生水网框架</w:t>
      </w:r>
    </w:p>
    <w:p w14:paraId="4DAC6CC3">
      <w:pPr>
        <w:ind w:firstLine="480"/>
      </w:pPr>
      <w:r>
        <w:rPr>
          <w:rFonts w:hint="eastAsia"/>
        </w:rPr>
        <w:t>以江苏省大数据管理中心为依托，充分衔接省“5+5+3”水旱灾害预警调度决策系统，基于泰州市现状智慧水利“118”总体框架，全面提升智慧水利发展深度和水平，构建泰州数字孪生水网总骨架。泰州数字孪生水网总体框架由数字孪生平台、信息化基础设施、业务应用、安全保障体系和运行保障体系组成，其中，数字孪生平台包括数据底板、模型平台、知识平台及水利智能中枢；信息化基础设施包括水利感知网、水利信息网、水利云资源和调度指挥实体环境；业务应用包括“</w:t>
      </w:r>
      <w:r>
        <w:t>2+N</w:t>
      </w:r>
      <w:r>
        <w:rPr>
          <w:rFonts w:hint="eastAsia"/>
        </w:rPr>
        <w:t>”，即水旱灾害防御决策支持系统和水资源管理综合业务系统两项建设任务，再逐步覆盖其余</w:t>
      </w:r>
      <w:r>
        <w:t>N</w:t>
      </w:r>
      <w:r>
        <w:rPr>
          <w:rFonts w:hint="eastAsia"/>
        </w:rPr>
        <w:t>项内容，包括河湖与河湖长制管理、农村水利管理系统、水利工程管理系统、水行政执法系统等。</w:t>
      </w:r>
    </w:p>
    <w:p w14:paraId="384AF04B">
      <w:pPr>
        <w:pStyle w:val="3"/>
        <w:spacing w:before="163"/>
      </w:pPr>
      <w:bookmarkStart w:id="221" w:name="_Toc181109864"/>
      <w:r>
        <w:rPr>
          <w:rFonts w:hint="eastAsia"/>
        </w:rPr>
        <w:t>完善信息化基础设施</w:t>
      </w:r>
      <w:bookmarkEnd w:id="221"/>
    </w:p>
    <w:p w14:paraId="71AB93C6">
      <w:pPr>
        <w:pStyle w:val="4"/>
      </w:pPr>
      <w:r>
        <w:rPr>
          <w:rFonts w:hint="eastAsia"/>
        </w:rPr>
        <w:t>完善水利感知网</w:t>
      </w:r>
    </w:p>
    <w:p w14:paraId="207E7BDE">
      <w:pPr>
        <w:ind w:firstLine="480"/>
      </w:pPr>
      <w:r>
        <w:rPr>
          <w:rFonts w:hint="eastAsia"/>
        </w:rPr>
        <w:t>水文监测方面，以“空天地”一体化监测为目标，着力打造“全区域监测、全自动采集、全要素分析、全天候应急、全过程控制”的现代化水文测报网。在重点防洪区域、骨干河道、重点湖泊、塘坝、重要水利工程以及重点城市等补充水文监测站点；运用物联感知、卫星遥感、人工智能等成熟先进监测技术，构建覆盖全面、突出重点的一体化监测体系；加大新仪器新设备应用力度，提高流量自动监测率和视频监控覆盖率。建设跨流域、跨区域重要供水河道、区域骨干河道、湖泊湖荡、大中型水闸泵站等工程安全及运行监测设施，形成基本覆盖市级水网纲、目、结的工程监控体系，实现市级水网工程安全与运行信息全面感知。</w:t>
      </w:r>
    </w:p>
    <w:p w14:paraId="361B9881">
      <w:pPr>
        <w:pStyle w:val="4"/>
      </w:pPr>
      <w:r>
        <w:rPr>
          <w:rFonts w:hint="eastAsia"/>
        </w:rPr>
        <w:t>升级改造水利信息网</w:t>
      </w:r>
    </w:p>
    <w:p w14:paraId="6DB62D9D">
      <w:pPr>
        <w:ind w:firstLine="480"/>
      </w:pPr>
      <w:r>
        <w:rPr>
          <w:rFonts w:hint="eastAsia"/>
        </w:rPr>
        <w:t>利用水利专网与政务外网，改造现有水利业务网络，全面支持</w:t>
      </w:r>
      <w:r>
        <w:t>IPv6</w:t>
      </w:r>
      <w:r>
        <w:rPr>
          <w:rFonts w:hint="eastAsia"/>
        </w:rPr>
        <w:t>、</w:t>
      </w:r>
      <w:r>
        <w:t>SDN</w:t>
      </w:r>
      <w:r>
        <w:rPr>
          <w:rFonts w:hint="eastAsia"/>
        </w:rPr>
        <w:t>等技术，优化网络结构、增强资源动态调配能力，打造安全灵活数字孪生水网骨干网络，适应省－市－县（区）数字孪生水网业务动态联动。大力推广物联网技术，升级遥测传输设备，实现</w:t>
      </w:r>
      <w:r>
        <w:t>4G</w:t>
      </w:r>
      <w:r>
        <w:rPr>
          <w:rFonts w:hint="eastAsia"/>
        </w:rPr>
        <w:t>和</w:t>
      </w:r>
      <w:r>
        <w:t>5G</w:t>
      </w:r>
      <w:r>
        <w:rPr>
          <w:rFonts w:hint="eastAsia"/>
        </w:rPr>
        <w:t>网络普遍覆盖，采用国产卫星通信，推广“地面链路</w:t>
      </w:r>
      <w:r>
        <w:t>+</w:t>
      </w:r>
      <w:r>
        <w:rPr>
          <w:rFonts w:hint="eastAsia"/>
        </w:rPr>
        <w:t>卫星链路”双路由传输，全面增强水利信息数据实时传输能力。升级改造网络核心设备，提高网络传输效率，保障网络安全可靠，试点加强骆马湖水利工控网建设，提升信息网络基础设施的效能。</w:t>
      </w:r>
    </w:p>
    <w:p w14:paraId="6A9F59F9">
      <w:pPr>
        <w:pStyle w:val="4"/>
      </w:pPr>
      <w:r>
        <w:rPr>
          <w:rFonts w:hint="eastAsia"/>
        </w:rPr>
        <w:t>融通水利云资源</w:t>
      </w:r>
    </w:p>
    <w:p w14:paraId="339CC83F">
      <w:pPr>
        <w:ind w:firstLine="480"/>
      </w:pPr>
      <w:r>
        <w:rPr>
          <w:rFonts w:hint="eastAsia"/>
        </w:rPr>
        <w:t>充分利用泰州市城市大数据中心云资源，融合省部级及流域管理机构等水利系统云资源，优化泰州水利云服务。建设提升数字孪生水网混合水利云的高效协同服务能力，增强高性能渲染云资源建设，满足数字孪生水网急速增长的算力资源需求与多用户并发应用需求。</w:t>
      </w:r>
    </w:p>
    <w:p w14:paraId="246272DD">
      <w:pPr>
        <w:pStyle w:val="4"/>
      </w:pPr>
      <w:r>
        <w:rPr>
          <w:rFonts w:hint="eastAsia"/>
        </w:rPr>
        <w:t>搭建调度指挥实体环境</w:t>
      </w:r>
    </w:p>
    <w:p w14:paraId="7859A131">
      <w:pPr>
        <w:ind w:firstLine="480"/>
        <w:rPr>
          <w:rFonts w:cs="Times New Roman"/>
        </w:rPr>
      </w:pPr>
      <w:r>
        <w:rPr>
          <w:rFonts w:hint="eastAsia" w:cs="Times New Roman"/>
        </w:rPr>
        <w:t>聚焦水网统一调度和远程集控需求，在现有的防汛会商系统基础上，搭建调度指挥实体环境，通过水利信息网上衔省水利厅、下接县区，将其作为市水利工作指挥调度、视频会议、综合展示、方案预演、会商研判等功能于一体的中心场所，同时兼具大型会议室功能。</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82"/>
      </w:tblGrid>
      <w:tr w14:paraId="3BAF0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45D57F91">
            <w:pPr>
              <w:pStyle w:val="64"/>
            </w:pPr>
            <w:r>
              <w:rPr>
                <w:rFonts w:hint="eastAsia"/>
              </w:rPr>
              <w:t>专栏</w:t>
            </w:r>
            <w:r>
              <w:t>6.2-1</w:t>
            </w:r>
            <w:r>
              <w:rPr>
                <w:rFonts w:hint="eastAsia"/>
              </w:rPr>
              <w:t>水利信息化基础设施工程</w:t>
            </w:r>
          </w:p>
        </w:tc>
      </w:tr>
      <w:tr w14:paraId="3AC53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15524BE0">
            <w:pPr>
              <w:pStyle w:val="57"/>
              <w:spacing w:line="276" w:lineRule="auto"/>
              <w:ind w:firstLine="480"/>
            </w:pPr>
            <w:r>
              <w:rPr>
                <w:rFonts w:hint="eastAsia"/>
              </w:rPr>
              <w:t>新增建设气象、水文等感知终端</w:t>
            </w:r>
            <w:r>
              <w:t>30个</w:t>
            </w:r>
            <w:r>
              <w:rPr>
                <w:rFonts w:hint="eastAsia"/>
              </w:rPr>
              <w:t>，完善基础通信网络、提升存储、计算、共享服务能力。</w:t>
            </w:r>
          </w:p>
        </w:tc>
      </w:tr>
    </w:tbl>
    <w:p w14:paraId="61F6ABC7">
      <w:pPr>
        <w:pStyle w:val="3"/>
        <w:spacing w:before="163"/>
      </w:pPr>
      <w:bookmarkStart w:id="222" w:name="_Toc169102442"/>
      <w:bookmarkEnd w:id="222"/>
      <w:bookmarkStart w:id="223" w:name="_Toc169102253"/>
      <w:bookmarkEnd w:id="223"/>
      <w:bookmarkStart w:id="224" w:name="_Toc169102634"/>
      <w:bookmarkEnd w:id="224"/>
      <w:bookmarkStart w:id="225" w:name="_Toc169102452"/>
      <w:bookmarkEnd w:id="225"/>
      <w:bookmarkStart w:id="226" w:name="_Toc169102444"/>
      <w:bookmarkEnd w:id="226"/>
      <w:bookmarkStart w:id="227" w:name="_Toc169102259"/>
      <w:bookmarkEnd w:id="227"/>
      <w:bookmarkStart w:id="228" w:name="_Toc169102443"/>
      <w:bookmarkEnd w:id="228"/>
      <w:bookmarkStart w:id="229" w:name="_Toc169102065"/>
      <w:bookmarkEnd w:id="229"/>
      <w:bookmarkStart w:id="230" w:name="_Toc169102635"/>
      <w:bookmarkEnd w:id="230"/>
      <w:bookmarkStart w:id="231" w:name="_Toc169102256"/>
      <w:bookmarkEnd w:id="231"/>
      <w:bookmarkStart w:id="232" w:name="_Toc169102255"/>
      <w:bookmarkEnd w:id="232"/>
      <w:bookmarkStart w:id="233" w:name="_Toc169102257"/>
      <w:bookmarkEnd w:id="233"/>
      <w:bookmarkStart w:id="234" w:name="_Toc169102445"/>
      <w:bookmarkEnd w:id="234"/>
      <w:bookmarkStart w:id="235" w:name="_Toc169102260"/>
      <w:bookmarkEnd w:id="235"/>
      <w:bookmarkStart w:id="236" w:name="_Toc169102629"/>
      <w:bookmarkEnd w:id="236"/>
      <w:bookmarkStart w:id="237" w:name="_Toc169102254"/>
      <w:bookmarkEnd w:id="237"/>
      <w:bookmarkStart w:id="238" w:name="_Toc169102070"/>
      <w:bookmarkEnd w:id="238"/>
      <w:bookmarkStart w:id="239" w:name="_Toc169102633"/>
      <w:bookmarkEnd w:id="239"/>
      <w:bookmarkStart w:id="240" w:name="_Toc169102636"/>
      <w:bookmarkEnd w:id="240"/>
      <w:bookmarkStart w:id="241" w:name="_Toc169102455"/>
      <w:bookmarkEnd w:id="241"/>
      <w:bookmarkStart w:id="242" w:name="_Toc169102078"/>
      <w:bookmarkEnd w:id="242"/>
      <w:bookmarkStart w:id="243" w:name="_Toc169102066"/>
      <w:bookmarkEnd w:id="243"/>
      <w:bookmarkStart w:id="244" w:name="_Toc169102073"/>
      <w:bookmarkEnd w:id="244"/>
      <w:bookmarkStart w:id="245" w:name="_Toc169102630"/>
      <w:bookmarkEnd w:id="245"/>
      <w:bookmarkStart w:id="246" w:name="_Toc169102447"/>
      <w:bookmarkEnd w:id="246"/>
      <w:bookmarkStart w:id="247" w:name="_Toc169102258"/>
      <w:bookmarkEnd w:id="247"/>
      <w:bookmarkStart w:id="248" w:name="_Toc169102067"/>
      <w:bookmarkEnd w:id="248"/>
      <w:bookmarkStart w:id="249" w:name="_Toc169102642"/>
      <w:bookmarkEnd w:id="249"/>
      <w:bookmarkStart w:id="250" w:name="_Toc169102069"/>
      <w:bookmarkEnd w:id="250"/>
      <w:bookmarkStart w:id="251" w:name="_Toc169102446"/>
      <w:bookmarkEnd w:id="251"/>
      <w:bookmarkStart w:id="252" w:name="_Toc169102441"/>
      <w:bookmarkEnd w:id="252"/>
      <w:bookmarkStart w:id="253" w:name="_Toc169102263"/>
      <w:bookmarkEnd w:id="253"/>
      <w:bookmarkStart w:id="254" w:name="_Toc169102454"/>
      <w:bookmarkEnd w:id="254"/>
      <w:bookmarkStart w:id="255" w:name="_Toc169102265"/>
      <w:bookmarkEnd w:id="255"/>
      <w:bookmarkStart w:id="256" w:name="_Toc169102071"/>
      <w:bookmarkEnd w:id="256"/>
      <w:bookmarkStart w:id="257" w:name="_Toc169102266"/>
      <w:bookmarkEnd w:id="257"/>
      <w:bookmarkStart w:id="258" w:name="_Toc169102453"/>
      <w:bookmarkEnd w:id="258"/>
      <w:bookmarkStart w:id="259" w:name="_Toc169102641"/>
      <w:bookmarkEnd w:id="259"/>
      <w:bookmarkStart w:id="260" w:name="_Toc169102637"/>
      <w:bookmarkEnd w:id="260"/>
      <w:bookmarkStart w:id="261" w:name="_Toc169102631"/>
      <w:bookmarkEnd w:id="261"/>
      <w:bookmarkStart w:id="262" w:name="_Toc169102076"/>
      <w:bookmarkEnd w:id="262"/>
      <w:bookmarkStart w:id="263" w:name="_Toc169102449"/>
      <w:bookmarkEnd w:id="263"/>
      <w:bookmarkStart w:id="264" w:name="_Toc169102074"/>
      <w:bookmarkEnd w:id="264"/>
      <w:bookmarkStart w:id="265" w:name="_Toc169102450"/>
      <w:bookmarkEnd w:id="265"/>
      <w:bookmarkStart w:id="266" w:name="_Toc169102262"/>
      <w:bookmarkEnd w:id="266"/>
      <w:bookmarkStart w:id="267" w:name="_Toc169102451"/>
      <w:bookmarkEnd w:id="267"/>
      <w:bookmarkStart w:id="268" w:name="_Toc169102643"/>
      <w:bookmarkEnd w:id="268"/>
      <w:bookmarkStart w:id="269" w:name="_Toc169102077"/>
      <w:bookmarkEnd w:id="269"/>
      <w:bookmarkStart w:id="270" w:name="_Toc169102640"/>
      <w:bookmarkEnd w:id="270"/>
      <w:bookmarkStart w:id="271" w:name="_Toc169102639"/>
      <w:bookmarkEnd w:id="271"/>
      <w:bookmarkStart w:id="272" w:name="_Toc169102072"/>
      <w:bookmarkEnd w:id="272"/>
      <w:bookmarkStart w:id="273" w:name="_Toc169102267"/>
      <w:bookmarkEnd w:id="273"/>
      <w:bookmarkStart w:id="274" w:name="_Toc169102075"/>
      <w:bookmarkEnd w:id="274"/>
      <w:bookmarkStart w:id="275" w:name="_Toc169102079"/>
      <w:bookmarkEnd w:id="275"/>
      <w:bookmarkStart w:id="276" w:name="_Toc169102264"/>
      <w:bookmarkEnd w:id="276"/>
      <w:bookmarkStart w:id="277" w:name="_Toc169102638"/>
      <w:bookmarkEnd w:id="277"/>
      <w:bookmarkStart w:id="278" w:name="_Toc169102261"/>
      <w:bookmarkEnd w:id="278"/>
      <w:bookmarkStart w:id="279" w:name="_Toc169102448"/>
      <w:bookmarkEnd w:id="279"/>
      <w:bookmarkStart w:id="280" w:name="_Toc169102068"/>
      <w:bookmarkEnd w:id="280"/>
      <w:bookmarkStart w:id="281" w:name="_Toc169102632"/>
      <w:bookmarkEnd w:id="281"/>
      <w:bookmarkStart w:id="282" w:name="_Toc181109865"/>
      <w:r>
        <w:rPr>
          <w:rFonts w:hint="eastAsia"/>
        </w:rPr>
        <w:t>构建数字孪生平台</w:t>
      </w:r>
      <w:bookmarkEnd w:id="282"/>
    </w:p>
    <w:p w14:paraId="71A7D57F">
      <w:pPr>
        <w:ind w:firstLine="480"/>
        <w:rPr>
          <w:rFonts w:cs="Times New Roman"/>
        </w:rPr>
      </w:pPr>
      <w:r>
        <w:rPr>
          <w:rFonts w:hint="eastAsia" w:cs="Times New Roman"/>
        </w:rPr>
        <w:t>按照水利部、水利厅数字孪生建设有关要求，衔接流域机构及全省三级数据底板、模型平台、知识平台和水利云建设，遵循统一技术标准，以里下河水系、通南水系为单元，推进泰州数字水网数字孪生平台建设、配合上级水行政主管部门开展三大数字孪生流域建设，奠定数字孪生水网关键基础。</w:t>
      </w:r>
    </w:p>
    <w:p w14:paraId="1BAF6738">
      <w:pPr>
        <w:pStyle w:val="4"/>
      </w:pPr>
      <w:r>
        <w:rPr>
          <w:rFonts w:hint="eastAsia"/>
        </w:rPr>
        <w:t>共建共享数据底板</w:t>
      </w:r>
    </w:p>
    <w:p w14:paraId="09519DE9">
      <w:pPr>
        <w:ind w:firstLine="480"/>
        <w:rPr>
          <w:rFonts w:cs="Times New Roman"/>
        </w:rPr>
      </w:pPr>
      <w:r>
        <w:rPr>
          <w:rFonts w:hint="eastAsia" w:cs="Times New Roman"/>
        </w:rPr>
        <w:t>基于全国、全省水利一张图等，拓展三维展示、数据融合、分析计算、动态场景等功能，形成基础数据统一、监测数据汇集、二三维一体化、三级贯通的智慧水利数据底板。数据底板包括基础、监测、业务管理、跨行业共享、地理空间和多维多时空尺度等数据。其中</w:t>
      </w:r>
      <w:r>
        <w:rPr>
          <w:rFonts w:cs="Times New Roman"/>
        </w:rPr>
        <w:t>L1</w:t>
      </w:r>
      <w:r>
        <w:rPr>
          <w:rFonts w:hint="eastAsia"/>
        </w:rPr>
        <w:t>～</w:t>
      </w:r>
      <w:r>
        <w:rPr>
          <w:rFonts w:cs="Times New Roman"/>
        </w:rPr>
        <w:t>L2</w:t>
      </w:r>
      <w:r>
        <w:rPr>
          <w:rFonts w:hint="eastAsia" w:cs="Times New Roman"/>
        </w:rPr>
        <w:t>级数据底板以全国水利一张图为基础，融合江苏省水利一张图、泰州水利底板，打造水上水下流域基础数字底座；针对重点区域、重要河段，对</w:t>
      </w:r>
      <w:r>
        <w:rPr>
          <w:rFonts w:cs="Times New Roman"/>
        </w:rPr>
        <w:t>L2</w:t>
      </w:r>
      <w:r>
        <w:rPr>
          <w:rFonts w:hint="eastAsia" w:cs="Times New Roman"/>
        </w:rPr>
        <w:t>级数据底板进行补充完善；针对重点水利工程，进行</w:t>
      </w:r>
      <w:r>
        <w:rPr>
          <w:rFonts w:cs="Times New Roman"/>
        </w:rPr>
        <w:t>L3</w:t>
      </w:r>
      <w:r>
        <w:rPr>
          <w:rFonts w:hint="eastAsia" w:cs="Times New Roman"/>
        </w:rPr>
        <w:t>级数据底板建设。在数字底板的基础上，构建数字孪生一张图，实现孪生全景、态势演进和联动指挥等功能，探索三维沉浸式</w:t>
      </w:r>
      <w:r>
        <w:rPr>
          <w:rFonts w:hint="eastAsia" w:asciiTheme="minorEastAsia" w:hAnsiTheme="minorEastAsia" w:eastAsiaTheme="minorEastAsia" w:cstheme="minorEastAsia"/>
        </w:rPr>
        <w:t>“四预”</w:t>
      </w:r>
      <w:r>
        <w:rPr>
          <w:rFonts w:hint="eastAsia" w:cs="Times New Roman"/>
        </w:rPr>
        <w:t>应用的实景化展示，为防洪除涝、水资源调度、水生态环境保护等专题业务应用提供可视化的决策支撑服务。开展水利工程、水文测站、水资源管理、河湖保护、水土保持等基础数据复核更新，建立健全“一数一源、一数一责”的基础数据联动更新机制，形成全面权威和更新及时的水利基础数据。</w:t>
      </w:r>
    </w:p>
    <w:p w14:paraId="00CFA1FD">
      <w:pPr>
        <w:pStyle w:val="4"/>
      </w:pPr>
      <w:r>
        <w:rPr>
          <w:rFonts w:hint="eastAsia"/>
        </w:rPr>
        <w:t>拓展模型平台</w:t>
      </w:r>
    </w:p>
    <w:p w14:paraId="328D8438">
      <w:pPr>
        <w:ind w:firstLine="480"/>
      </w:pPr>
      <w:r>
        <w:rPr>
          <w:rFonts w:hint="eastAsia"/>
        </w:rPr>
        <w:t>基于全省现有或计划研发的模型平台，拓展延伸泰州水网相关工程、边界、调度及需求，建设适应泰州水网的分布部署、快速组装、敏捷复用的水利模型平台，支撑离线、在线计算分析需求，实现服务封装、算法管理、滚动计算和灵活配置等支撑功能。</w:t>
      </w:r>
    </w:p>
    <w:p w14:paraId="4E568946">
      <w:pPr>
        <w:ind w:firstLine="480"/>
      </w:pPr>
      <w:r>
        <w:rPr>
          <w:rStyle w:val="35"/>
          <w:rFonts w:hint="eastAsia"/>
        </w:rPr>
        <w:t>水利专业模型。</w:t>
      </w:r>
      <w:r>
        <w:rPr>
          <w:rFonts w:hint="eastAsia"/>
        </w:rPr>
        <w:t>基于现有基础，考虑泰州水网特点，拓展深化网格化精细水文模型，完善、开发并集成水文学模型、水动力学模型、水工程调度模型，实现洪灾评估模拟、中短期径流预报模拟、水资源承载状况评价及配置模拟、水资源调度模拟、地下水数值模拟、水利工程安全评价模拟、河湖健康评价模拟、水土保持模拟等，指导水工程调度管理。</w:t>
      </w:r>
    </w:p>
    <w:p w14:paraId="096240D0">
      <w:pPr>
        <w:ind w:firstLine="480"/>
      </w:pPr>
      <w:r>
        <w:rPr>
          <w:rStyle w:val="35"/>
          <w:rFonts w:hint="eastAsia"/>
        </w:rPr>
        <w:t>智能识别模型。</w:t>
      </w:r>
      <w:r>
        <w:rPr>
          <w:rFonts w:hint="eastAsia"/>
        </w:rPr>
        <w:t>以水利部模型平台框架为基础，针对里下河地区、通南地区长江、泰州中心城区治理管理需要，基于机器学习和人工智能等技术，在部级、省级平台基础上进行二次开发，在语音、图像、视频和遥感影像识别等方面满足区域管理工作智能化要求。智能识别模型主要包括遥感识别、视频识别、语音识别。</w:t>
      </w:r>
    </w:p>
    <w:p w14:paraId="66A48A3D">
      <w:pPr>
        <w:ind w:firstLine="480"/>
      </w:pPr>
      <w:r>
        <w:rPr>
          <w:rStyle w:val="35"/>
          <w:rFonts w:hint="eastAsia"/>
        </w:rPr>
        <w:t>可视化模型。</w:t>
      </w:r>
      <w:r>
        <w:rPr>
          <w:rFonts w:hint="eastAsia"/>
        </w:rPr>
        <w:t>构建重点湖泊湖荡、河道、堤防、泵站、水闸等工程周边自然背景，泵站、水闸上下游及泵站流道内部流场动态，机电设备操控运行模型（如泵站机组启动、停机状态）。</w:t>
      </w:r>
    </w:p>
    <w:p w14:paraId="575363C4">
      <w:pPr>
        <w:ind w:firstLine="480"/>
      </w:pPr>
      <w:r>
        <w:rPr>
          <w:rStyle w:val="35"/>
          <w:rFonts w:hint="eastAsia"/>
        </w:rPr>
        <w:t>数字模拟仿真引擎。</w:t>
      </w:r>
      <w:r>
        <w:rPr>
          <w:rFonts w:hint="eastAsia"/>
        </w:rPr>
        <w:t>具有模型管理、场景配置、仿真设计等功能。</w:t>
      </w:r>
    </w:p>
    <w:p w14:paraId="371F5DC2">
      <w:pPr>
        <w:pStyle w:val="4"/>
      </w:pPr>
      <w:r>
        <w:rPr>
          <w:rFonts w:hint="eastAsia"/>
        </w:rPr>
        <w:t>构建知识平台</w:t>
      </w:r>
    </w:p>
    <w:p w14:paraId="3BF3D13A">
      <w:pPr>
        <w:ind w:firstLine="480"/>
        <w:rPr>
          <w:rFonts w:cs="Times New Roman"/>
        </w:rPr>
      </w:pPr>
      <w:r>
        <w:rPr>
          <w:rFonts w:hint="eastAsia" w:cs="Times New Roman"/>
        </w:rPr>
        <w:t>提取组织和挖掘处理预案信息、历史场景信息、业务规则、领域知识、专家经验，构建预报调度方案库、历史场景模式库、业务规则库、专家经验库和知识图谱库等知识库。建设具有水利知识表示、水利知识抽取、水利知识融合、水利知识推理、水利知识存储功能的水利知识引擎。</w:t>
      </w:r>
    </w:p>
    <w:p w14:paraId="360D1898">
      <w:pPr>
        <w:ind w:firstLine="480"/>
        <w:rPr>
          <w:rFonts w:cs="Times New Roman"/>
        </w:rPr>
      </w:pPr>
    </w:p>
    <w:p w14:paraId="5613CBCB">
      <w:pPr>
        <w:ind w:firstLine="480"/>
        <w:rPr>
          <w:rFonts w:cs="Times New Roman"/>
        </w:rPr>
      </w:pPr>
    </w:p>
    <w:p w14:paraId="183417FE">
      <w:pPr>
        <w:ind w:firstLine="480"/>
        <w:rPr>
          <w:rFonts w:cs="Times New Roman"/>
        </w:rPr>
      </w:pPr>
    </w:p>
    <w:p w14:paraId="504487F4">
      <w:pPr>
        <w:ind w:firstLine="480"/>
        <w:rPr>
          <w:rFonts w:cs="Times New Roman"/>
        </w:rPr>
      </w:pP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82"/>
      </w:tblGrid>
      <w:tr w14:paraId="400A1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52758884">
            <w:pPr>
              <w:pStyle w:val="64"/>
            </w:pPr>
            <w:r>
              <w:rPr>
                <w:rFonts w:hint="eastAsia"/>
              </w:rPr>
              <w:t>专栏</w:t>
            </w:r>
            <w:r>
              <w:t>6.3-1</w:t>
            </w:r>
            <w:r>
              <w:rPr>
                <w:rFonts w:hint="eastAsia"/>
              </w:rPr>
              <w:t>数字孪生基础平台建设工程</w:t>
            </w:r>
          </w:p>
        </w:tc>
      </w:tr>
      <w:tr w14:paraId="61857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69C8CC9C">
            <w:pPr>
              <w:pStyle w:val="66"/>
              <w:spacing w:line="276" w:lineRule="auto"/>
              <w:ind w:firstLine="480"/>
            </w:pPr>
            <w:r>
              <w:rPr>
                <w:rFonts w:hint="eastAsia"/>
              </w:rPr>
              <w:t>全面对接共享水利部、流域机构、水利厅一张图L1～L2级数据底板，重点区域、重要河段进行L2级数据底板补充完善，重点水利工程进行L3级数据底板建设。其中重点区域包括大纵湖、溱湖等二十多个湖泊湖荡（含里下河滞涝圩），海陵、兴化等六个县区中心城区；重点河道包括长江、泰州引江河、通扬运河、卤汀河、上官河、如泰运河等；重要水利工程包括天星港闸等沿江、沿老328国道闸站，县级以上水源地、水文站、雨量站；5级以上堤防等。每年新增建设视频监控点不少于200处；新建和完善水位水质监测站点20处，城区易涝监控监测站点40处；实施30座闸站工程信息化提升工程；实施20处智慧工地应用系统建设工程。</w:t>
            </w:r>
          </w:p>
        </w:tc>
      </w:tr>
    </w:tbl>
    <w:p w14:paraId="732C6590">
      <w:pPr>
        <w:pStyle w:val="3"/>
        <w:spacing w:before="163"/>
      </w:pPr>
      <w:bookmarkStart w:id="283" w:name="_Toc181109866"/>
      <w:r>
        <w:rPr>
          <w:rFonts w:hint="eastAsia"/>
        </w:rPr>
        <w:t>推进孪生水网应用</w:t>
      </w:r>
      <w:bookmarkEnd w:id="283"/>
    </w:p>
    <w:p w14:paraId="16504BF4">
      <w:pPr>
        <w:ind w:firstLine="480"/>
        <w:rPr>
          <w:rFonts w:cs="Times New Roman"/>
        </w:rPr>
      </w:pPr>
      <w:r>
        <w:rPr>
          <w:rFonts w:hint="eastAsia" w:cs="Times New Roman"/>
        </w:rPr>
        <w:t>对接流域机构、省水利厅数字孪生长江等平台，在省市智能中心的基础上，加强数据价值挖掘，分级建设泰州数字孪生区域、城市与工程枢纽，赋能水旱灾害防御、水资源管理与调配和河湖与河湖长制治理等水利重点工作，协同省级重点推进长江等数字流域建设。</w:t>
      </w:r>
    </w:p>
    <w:p w14:paraId="0E0920BE">
      <w:pPr>
        <w:pStyle w:val="4"/>
      </w:pPr>
      <w:r>
        <w:rPr>
          <w:rFonts w:hint="eastAsia"/>
        </w:rPr>
        <w:t>数字孪生区域应用</w:t>
      </w:r>
    </w:p>
    <w:p w14:paraId="344A4C5B">
      <w:pPr>
        <w:ind w:firstLine="480"/>
      </w:pPr>
      <w:r>
        <w:rPr>
          <w:rStyle w:val="35"/>
          <w:rFonts w:hint="eastAsia"/>
        </w:rPr>
        <w:t>数字孪生长江。</w:t>
      </w:r>
      <w:r>
        <w:rPr>
          <w:rFonts w:hint="eastAsia"/>
        </w:rPr>
        <w:t>充分发挥自有数据基础，试点建设重点工程的数字孪生体，协同省厅构建主要河道等支流河道高精度水下地形、河道岸线、区域高精度</w:t>
      </w:r>
      <w:r>
        <w:t>DEM</w:t>
      </w:r>
      <w:r>
        <w:rPr>
          <w:rFonts w:hint="eastAsia"/>
        </w:rPr>
        <w:t>、高精度遥感影像，实现不同颗粒度和不同精度的流域孪生还原。融入工程运行实施数据，融合下垫面信息，建设长江泰州段的数字化场景，建设预报调度一体化业务应用，强化水资源管理与调配等</w:t>
      </w:r>
      <w:r>
        <w:t>N</w:t>
      </w:r>
      <w:r>
        <w:rPr>
          <w:rFonts w:hint="eastAsia"/>
        </w:rPr>
        <w:t>项业务。</w:t>
      </w:r>
    </w:p>
    <w:p w14:paraId="5EC08602">
      <w:pPr>
        <w:ind w:firstLine="480"/>
      </w:pPr>
      <w:r>
        <w:rPr>
          <w:rStyle w:val="35"/>
          <w:rFonts w:hint="eastAsia"/>
        </w:rPr>
        <w:t>数字孪生平原河网。</w:t>
      </w:r>
      <w:r>
        <w:rPr>
          <w:rFonts w:hint="eastAsia"/>
        </w:rPr>
        <w:t>提升区域监测覆盖率，统筹构建泰州河网三维数字底板，搭建区域水文水资源模型、水动力模型，开发水量业务智能算法，实现高清视频图像智能认知、遥感影像的综合解译处理。一张图实现泰州全境展示、预报预警、调度决策，业务覆盖水灾害防御、调水引流、生态修复等，一平台实现泰州全域智慧化协同指挥。</w:t>
      </w:r>
    </w:p>
    <w:p w14:paraId="39BD2A97">
      <w:pPr>
        <w:pStyle w:val="4"/>
      </w:pPr>
      <w:r>
        <w:rPr>
          <w:rFonts w:hint="eastAsia"/>
        </w:rPr>
        <w:t>水旱灾害防御应用</w:t>
      </w:r>
    </w:p>
    <w:p w14:paraId="588E2145">
      <w:pPr>
        <w:ind w:firstLine="480"/>
        <w:rPr>
          <w:rFonts w:cs="Times New Roman"/>
        </w:rPr>
      </w:pPr>
      <w:r>
        <w:rPr>
          <w:rFonts w:hint="eastAsia"/>
        </w:rPr>
        <w:t>充分衔接省“5+5+3”水旱灾害预警调度决策系统，建设水旱灾害防御调度决策支持系统，基于数字水网孪生底板，分区域、县区逐步开展精准预报调度系统建设，在重点防洪地区形成“四预”和数字化应用场景功能，其他地区具有数字化应用场景功能，开展监测预警、预报预测、调度预演、预案推荐以及对历史调度反演分析，实现预报调度一体化、调度决策智能化和调度过程可视化，达到历史调度过程可溯化。探索防汛抗旱新设备智能化应用，构建方案预案可视化知识图谱，应用</w:t>
      </w:r>
      <w:r>
        <w:t>AI</w:t>
      </w:r>
      <w:r>
        <w:rPr>
          <w:rFonts w:hint="eastAsia"/>
        </w:rPr>
        <w:t>、模式识别和人工智能等技术对关键视频进行态势分析，研判风险等级。强化移动互联技术应用，增强多种链路冗余保障能力，建立和完善防汛联动通讯会商系统，提高水旱灾害处置效率。进一步加强水旱灾害数据资源共享和多业务平台协同应用，着重强化预报调度、风险预警和指挥处置的平台联动和应用串</w:t>
      </w:r>
      <w:r>
        <w:rPr>
          <w:rFonts w:hint="eastAsia" w:cs="Times New Roman"/>
        </w:rPr>
        <w:t>联，实现统一会商、统一调度、统一指挥的综合应用。</w:t>
      </w:r>
    </w:p>
    <w:p w14:paraId="03DBDD4E">
      <w:pPr>
        <w:pStyle w:val="4"/>
      </w:pPr>
      <w:r>
        <w:rPr>
          <w:rFonts w:hint="eastAsia"/>
        </w:rPr>
        <w:t>水资源管理与调配应用</w:t>
      </w:r>
    </w:p>
    <w:p w14:paraId="5EF910DD">
      <w:pPr>
        <w:ind w:firstLine="480"/>
      </w:pPr>
      <w:r>
        <w:rPr>
          <w:rFonts w:hint="eastAsia"/>
        </w:rPr>
        <w:t>实时监控水资源的情况，及时预测和调整水资源的使用策略，从而提高水资源的利用效率，减少浪费。通过数字孪生水网的建设，实现对水资源的科学调度与管理，为区域的可持续发展提供有力支撑。以县级行政区域为单元，因地制宜、分步实施，新建或改造提升一批数字孪生供水工程，建成可以共建共享的数据底板和数字孪生平台，迭代提升信息化基础设施，提高关键业务智能化和多级协同应用，增强数据共享和网络安全防护能力，提升供水工程效益和服务保障水平。实时监测水质状况，对发现的问题采取相应的防治措施。通过数字孪生水网的智能化管理，减少水污染程度，保护和恢复生态环境，提升城市的整体环境质量和居民的生活品质。</w:t>
      </w:r>
    </w:p>
    <w:p w14:paraId="67D4F22D">
      <w:pPr>
        <w:ind w:firstLine="480"/>
      </w:pPr>
      <w:r>
        <w:rPr>
          <w:rFonts w:hint="eastAsia"/>
        </w:rPr>
        <w:t>整合水资源总量及可用水量、水量分配等基础数据，汇集重要断面、取水口、取用水户等监测数据，打造水资源管控一张图。扩展超许可取水和生态流量、取用水总量、地下水双控等功能，实现取用水的精细化管理和超前预警，支撑水资源刚性约束制度实施与监管。开发节水监督、计划用水、用水定额等功能，以及节水政策标准、用水定额、水效排名等信息服务，建立完善动态更新的节水信息数据库，实现区域用水强度指标预报、预警和用水效率评价，为协同推进国家节水行动提供支撑。</w:t>
      </w:r>
    </w:p>
    <w:p w14:paraId="1F57E9A1">
      <w:pPr>
        <w:pStyle w:val="4"/>
      </w:pPr>
      <w:r>
        <w:rPr>
          <w:rFonts w:hint="eastAsia"/>
        </w:rPr>
        <w:t>综合业务应用</w:t>
      </w:r>
    </w:p>
    <w:p w14:paraId="6ECAE922">
      <w:pPr>
        <w:ind w:firstLine="480"/>
        <w:rPr>
          <w:rFonts w:cs="Times New Roman"/>
        </w:rPr>
      </w:pPr>
      <w:r>
        <w:rPr>
          <w:rStyle w:val="35"/>
          <w:rFonts w:hint="eastAsia"/>
        </w:rPr>
        <w:t>河湖与河湖长制管理。</w:t>
      </w:r>
      <w:r>
        <w:rPr>
          <w:rFonts w:hint="eastAsia" w:cs="Times New Roman"/>
        </w:rPr>
        <w:t>建设完成河湖水域“一张图”和基础数据共享，开展涉河建设项目批后监管等应用模块的开发建设，实现涉河建设项目全过程闭环管理。加强河湖管理保护大数据汇集、分析、决策，加强河湖水域岸线的管理和保护，提高应对河湖管理事件的监管水平与处置效率。建设全市的河湖水域保护状况本底数据库，强化自动监测功能，提高监测动态展示、遥感预警分析能力。加强各河长制成员单位之间的涉河数据的共享与交换。强化河长制管理系统应用，服务保障各级河长巡河履职，支撑保障河长制工作高质量发展。</w:t>
      </w:r>
    </w:p>
    <w:p w14:paraId="31AD7E1E">
      <w:pPr>
        <w:ind w:firstLine="480"/>
        <w:rPr>
          <w:rFonts w:cs="Times New Roman"/>
        </w:rPr>
      </w:pPr>
      <w:r>
        <w:rPr>
          <w:rStyle w:val="35"/>
          <w:rFonts w:hint="eastAsia"/>
        </w:rPr>
        <w:t>农村水利与水土保持管理。</w:t>
      </w:r>
      <w:r>
        <w:rPr>
          <w:rFonts w:hint="eastAsia" w:cs="Times New Roman"/>
        </w:rPr>
        <w:t>推进在建大中型灌区信息化建设。深入推动智慧灌区应用体系建设，进一步健全灌区用水计量和大中型灌区用水在线计量系统。围绕农村供水安全监管应用需求，以县级行政区划为单元，建立农村供水安全数字监管体系。协同改造并应用省水土保持管理信息系统，实现水土流失综合防治全业务管理智能化服务。推进数字孪生小流域试点建设，完成里下河地区水土保持监测站点建设，提升监测站点信息化水平。</w:t>
      </w:r>
    </w:p>
    <w:p w14:paraId="624ED9F0">
      <w:pPr>
        <w:ind w:firstLine="480"/>
        <w:rPr>
          <w:rFonts w:cs="Times New Roman"/>
        </w:rPr>
      </w:pPr>
      <w:r>
        <w:rPr>
          <w:rStyle w:val="35"/>
          <w:rFonts w:hint="eastAsia"/>
        </w:rPr>
        <w:t>水行政执法管理。</w:t>
      </w:r>
      <w:r>
        <w:rPr>
          <w:rFonts w:hint="eastAsia" w:cs="Times New Roman"/>
        </w:rPr>
        <w:t>强化水事违法行为预警能力建设，整合现有水利执法信息化资源设施，研究布局重点河湖定点监控系统，实现非法占用、非法建设、非法采砂等水事违法行为的早发现、早处置。推进远程执法指挥系统建设，打造执法船、执法车、执法人三位一体信息采集功能，现场调查、现场取证、现场处置，提升水上执法快速反应能力。落实法治建设要求，全面推进执法全过程记录信息化建设，确保所有执法行为动态留痕迹、可回溯。</w:t>
      </w:r>
    </w:p>
    <w:p w14:paraId="5B27C02F">
      <w:pPr>
        <w:ind w:firstLine="480"/>
        <w:rPr>
          <w:rFonts w:cs="Times New Roman"/>
        </w:rPr>
      </w:pPr>
      <w:r>
        <w:rPr>
          <w:rStyle w:val="35"/>
          <w:rFonts w:hint="eastAsia"/>
        </w:rPr>
        <w:t>水利工程建设管理。</w:t>
      </w:r>
      <w:r>
        <w:rPr>
          <w:rFonts w:hint="eastAsia" w:cs="Times New Roman"/>
        </w:rPr>
        <w:t>建立“数字化设计、数字化建造、数字化交付”的水利建设数字化工作体系，逐步实现规划设计、施工安装、验收移交全建设过程的数字化管理，推进水利工程</w:t>
      </w:r>
      <w:r>
        <w:rPr>
          <w:rFonts w:cs="Times New Roman"/>
        </w:rPr>
        <w:t>BIM+GIS+IOT</w:t>
      </w:r>
      <w:r>
        <w:rPr>
          <w:rFonts w:hint="eastAsia" w:cs="Times New Roman"/>
        </w:rPr>
        <w:t>数字交付，建设中小河流治理工程数字化平台，为水利工程建设提供全生命周期的智慧赋能。</w:t>
      </w:r>
    </w:p>
    <w:p w14:paraId="7A475EDD">
      <w:pPr>
        <w:ind w:firstLine="480"/>
        <w:rPr>
          <w:rFonts w:cs="Times New Roman"/>
        </w:rPr>
      </w:pPr>
      <w:r>
        <w:rPr>
          <w:rStyle w:val="35"/>
          <w:rFonts w:hint="eastAsia"/>
        </w:rPr>
        <w:t>水利工程运行管理。</w:t>
      </w:r>
      <w:r>
        <w:rPr>
          <w:rFonts w:hint="eastAsia" w:cs="Times New Roman"/>
        </w:rPr>
        <w:t>统一建设水利工程运行管理平台，实现工程运行管理全业务流程的数字化。加快推进大中型闸站智能化改造，实现从报警到预警的迭代转变，实施大中型闸站集控建设，逐步推进工程“无人值班、少人值守”。</w:t>
      </w:r>
    </w:p>
    <w:p w14:paraId="004F0692">
      <w:pPr>
        <w:ind w:firstLine="480"/>
        <w:rPr>
          <w:rFonts w:cs="Times New Roman"/>
        </w:rPr>
      </w:pPr>
      <w:r>
        <w:rPr>
          <w:rStyle w:val="35"/>
          <w:rFonts w:hint="eastAsia"/>
        </w:rPr>
        <w:t>多功能政务应用。</w:t>
      </w:r>
      <w:r>
        <w:rPr>
          <w:rFonts w:hint="eastAsia" w:cs="Times New Roman"/>
        </w:rPr>
        <w:t>整合现有数据资源和网上办公应用系统，加强数据共享能力，完善统一、高效、便捷的政务办公协同体系，实现办公智能辅助、舆情分析预测等智能应用，提高行政效率。</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82"/>
      </w:tblGrid>
      <w:tr w14:paraId="79D5A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5763DA73">
            <w:pPr>
              <w:pStyle w:val="64"/>
            </w:pPr>
            <w:r>
              <w:rPr>
                <w:rFonts w:hint="eastAsia"/>
              </w:rPr>
              <w:t>专栏</w:t>
            </w:r>
            <w:r>
              <w:t>6.4-1</w:t>
            </w:r>
            <w:r>
              <w:rPr>
                <w:rFonts w:hint="eastAsia"/>
              </w:rPr>
              <w:t>数字孪生水网应用工程</w:t>
            </w:r>
          </w:p>
        </w:tc>
      </w:tr>
      <w:tr w14:paraId="36420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091399B8">
            <w:pPr>
              <w:pStyle w:val="57"/>
              <w:ind w:firstLine="482"/>
              <w:rPr>
                <w:b/>
              </w:rPr>
            </w:pPr>
            <w:r>
              <w:rPr>
                <w:rFonts w:hint="eastAsia"/>
                <w:b/>
              </w:rPr>
              <w:t>1、通南片区平原河网数字孪生工程</w:t>
            </w:r>
          </w:p>
          <w:p w14:paraId="290B52A7">
            <w:pPr>
              <w:pStyle w:val="66"/>
              <w:ind w:firstLine="480"/>
            </w:pPr>
            <w:r>
              <w:rPr>
                <w:rFonts w:hint="eastAsia"/>
              </w:rPr>
              <w:t>建立通南片水文水动力水质一维及二维耦合数学模型；建立水位及雨量监测站各10座；构建流量观测及水位、流量智能率定模块；拓展防汛及水环境调度模块，实现全域洪涝调度模拟。</w:t>
            </w:r>
          </w:p>
          <w:p w14:paraId="3F6B8142">
            <w:pPr>
              <w:pStyle w:val="57"/>
              <w:ind w:firstLine="482"/>
              <w:rPr>
                <w:b/>
              </w:rPr>
            </w:pPr>
            <w:r>
              <w:rPr>
                <w:b/>
              </w:rPr>
              <w:t>2</w:t>
            </w:r>
            <w:r>
              <w:rPr>
                <w:rFonts w:hint="eastAsia"/>
                <w:b/>
              </w:rPr>
              <w:t>、拓展里下河水旱灾害防御智慧决策系统</w:t>
            </w:r>
          </w:p>
          <w:p w14:paraId="4AF3DCD2">
            <w:pPr>
              <w:pStyle w:val="66"/>
              <w:ind w:firstLine="480"/>
            </w:pPr>
            <w:r>
              <w:rPr>
                <w:rFonts w:hint="eastAsia"/>
              </w:rPr>
              <w:t>基于省“5+5+3”平台，衔接并拓展里下河水旱灾害防御智慧决策系统。</w:t>
            </w:r>
          </w:p>
          <w:p w14:paraId="29F53925">
            <w:pPr>
              <w:pStyle w:val="66"/>
              <w:ind w:firstLine="0" w:firstLineChars="0"/>
              <w:rPr>
                <w:b/>
              </w:rPr>
            </w:pPr>
            <w:r>
              <w:rPr>
                <w:b/>
              </w:rPr>
              <w:t>3</w:t>
            </w:r>
            <w:r>
              <w:rPr>
                <w:rFonts w:hint="eastAsia"/>
                <w:b/>
              </w:rPr>
              <w:t>、长江崩岸监测与数字孪生长江系统</w:t>
            </w:r>
          </w:p>
          <w:p w14:paraId="125BA6AE">
            <w:pPr>
              <w:pStyle w:val="66"/>
              <w:ind w:firstLine="480"/>
            </w:pPr>
            <w:r>
              <w:rPr>
                <w:rFonts w:hint="eastAsia"/>
              </w:rPr>
              <w:t>基于省“5+5+3”平台，衔接并拓展长江崩岸监测系统，构建数字孪生长江。</w:t>
            </w:r>
          </w:p>
          <w:p w14:paraId="528537C1">
            <w:pPr>
              <w:pStyle w:val="66"/>
              <w:ind w:firstLine="0" w:firstLineChars="0"/>
              <w:rPr>
                <w:b/>
              </w:rPr>
            </w:pPr>
            <w:r>
              <w:rPr>
                <w:b/>
              </w:rPr>
              <w:t>4</w:t>
            </w:r>
            <w:r>
              <w:rPr>
                <w:rFonts w:hint="eastAsia"/>
                <w:b/>
              </w:rPr>
              <w:t>、泰州市城市建成区水网全域物理模拟及数字孪生</w:t>
            </w:r>
          </w:p>
          <w:p w14:paraId="09497CAF">
            <w:pPr>
              <w:pStyle w:val="66"/>
              <w:ind w:firstLine="480"/>
            </w:pPr>
            <w:r>
              <w:rPr>
                <w:rFonts w:hint="eastAsia"/>
              </w:rPr>
              <w:t>以九龙片区为基础，构建城市建成区基础数据L3底板、城市建成区中小型控水建筑物单体模型和基于物理模型与数学模型交互预报的“四预”功能。</w:t>
            </w:r>
          </w:p>
          <w:p w14:paraId="521035F1">
            <w:pPr>
              <w:pStyle w:val="66"/>
              <w:ind w:firstLine="0" w:firstLineChars="0"/>
              <w:rPr>
                <w:b/>
              </w:rPr>
            </w:pPr>
            <w:r>
              <w:rPr>
                <w:b/>
              </w:rPr>
              <w:t>5</w:t>
            </w:r>
            <w:r>
              <w:rPr>
                <w:rFonts w:hint="eastAsia"/>
                <w:b/>
              </w:rPr>
              <w:t>、泰州重点河湖数字孪生应用软件系统建设工程</w:t>
            </w:r>
          </w:p>
          <w:p w14:paraId="7849B511">
            <w:pPr>
              <w:pStyle w:val="66"/>
              <w:ind w:firstLine="480"/>
            </w:pPr>
            <w:r>
              <w:rPr>
                <w:rFonts w:hint="eastAsia"/>
              </w:rPr>
              <w:t>充分利用已建业务系统（平台），融合建设泰兴市中心城区智慧水网平台，建设高效科学的水灾害综合防御体系，基本实现水灾害智慧应用服务的集约化建设和管理。补充建设全市域内的重点区域河网监测站点，建设配套的计算资源以及安全保障体系等。入江河道必要的流量站、水质站、感官水质站，配套服务器及安保设施建设、指挥中心局部升级改造等。</w:t>
            </w:r>
          </w:p>
          <w:p w14:paraId="3E7CE257">
            <w:pPr>
              <w:pStyle w:val="66"/>
              <w:ind w:firstLine="0" w:firstLineChars="0"/>
              <w:rPr>
                <w:b/>
              </w:rPr>
            </w:pPr>
            <w:r>
              <w:rPr>
                <w:rFonts w:hint="eastAsia"/>
                <w:b/>
              </w:rPr>
              <w:t>6、城区大暴雨调度辅助决策系统</w:t>
            </w:r>
          </w:p>
          <w:p w14:paraId="30700573">
            <w:pPr>
              <w:pStyle w:val="66"/>
              <w:ind w:firstLine="480"/>
            </w:pPr>
            <w:r>
              <w:rPr>
                <w:rFonts w:hint="eastAsia"/>
              </w:rPr>
              <w:t>对城区泵站或水闸建设城区联排联调及特大暴雨调度辅助决策系统，实现水位、水量、水质、排口状态实时监测、智能监控、灾害预警等功能，对全线泵站、闸门实行统一联合调度。</w:t>
            </w:r>
          </w:p>
          <w:p w14:paraId="6528E407">
            <w:pPr>
              <w:pStyle w:val="66"/>
              <w:ind w:firstLine="0" w:firstLineChars="0"/>
              <w:rPr>
                <w:b/>
              </w:rPr>
            </w:pPr>
            <w:r>
              <w:rPr>
                <w:rFonts w:hint="eastAsia"/>
                <w:b/>
              </w:rPr>
              <w:t>7、大中型灌区渠首智慧改造工程</w:t>
            </w:r>
          </w:p>
          <w:p w14:paraId="3BA080AA">
            <w:pPr>
              <w:pStyle w:val="66"/>
              <w:ind w:firstLine="480"/>
            </w:pPr>
            <w:r>
              <w:rPr>
                <w:rFonts w:hint="eastAsia"/>
              </w:rPr>
              <w:t>新建（购）100台智能终端、200套超声波计量，实现大中型灌区用水实时监测。</w:t>
            </w:r>
            <w:r>
              <w:rPr>
                <w:rFonts w:hint="eastAsia"/>
                <w:b/>
              </w:rPr>
              <w:t>8、河湖生态监管系统</w:t>
            </w:r>
          </w:p>
          <w:p w14:paraId="0F57A032">
            <w:pPr>
              <w:pStyle w:val="66"/>
              <w:ind w:firstLine="480"/>
            </w:pPr>
            <w:r>
              <w:rPr>
                <w:rFonts w:hint="eastAsia"/>
              </w:rPr>
              <w:t>对25处市级以上湖泊湖荡实施水量、水质、水生态、水空间、水环境全要素监测。提升湖泊湖荡监管水平。</w:t>
            </w:r>
          </w:p>
        </w:tc>
      </w:tr>
    </w:tbl>
    <w:p w14:paraId="65AC179D">
      <w:pPr>
        <w:pStyle w:val="3"/>
        <w:spacing w:before="163"/>
      </w:pPr>
      <w:bookmarkStart w:id="284" w:name="_Toc181109867"/>
      <w:r>
        <w:rPr>
          <w:rFonts w:hint="eastAsia"/>
        </w:rPr>
        <w:t>强化网络安全保障</w:t>
      </w:r>
      <w:bookmarkEnd w:id="284"/>
    </w:p>
    <w:p w14:paraId="789949CA">
      <w:pPr>
        <w:pStyle w:val="4"/>
      </w:pPr>
      <w:r>
        <w:rPr>
          <w:rFonts w:hint="eastAsia"/>
        </w:rPr>
        <w:t>完善网络安全保障体系</w:t>
      </w:r>
    </w:p>
    <w:p w14:paraId="0E452464">
      <w:pPr>
        <w:ind w:firstLine="480"/>
        <w:rPr>
          <w:rFonts w:cs="Times New Roman"/>
        </w:rPr>
      </w:pPr>
      <w:r>
        <w:rPr>
          <w:rFonts w:hint="eastAsia" w:cs="Times New Roman"/>
        </w:rPr>
        <w:t>加强全市水利应用系统及内容、数据等资源的安全管理，明确网络安全等级保护级别，并按照相应级别开展安全建设，完成等级保护、密码管理等工作。逐步构建集中安全管理控制平台，实现安全威胁事件应急响应准备、检测、控制、恢复等全过程管理，进一步提升水利网络监测预警和应急响应能力。</w:t>
      </w:r>
    </w:p>
    <w:p w14:paraId="4E545462">
      <w:pPr>
        <w:pStyle w:val="4"/>
      </w:pPr>
      <w:r>
        <w:rPr>
          <w:rFonts w:hint="eastAsia"/>
        </w:rPr>
        <w:t>强化安全风险防御</w:t>
      </w:r>
    </w:p>
    <w:p w14:paraId="17084691">
      <w:pPr>
        <w:ind w:firstLine="480"/>
        <w:rPr>
          <w:rFonts w:cs="Times New Roman"/>
        </w:rPr>
      </w:pPr>
      <w:r>
        <w:rPr>
          <w:rFonts w:hint="eastAsia" w:cs="Times New Roman"/>
        </w:rPr>
        <w:t>从物理和环境安全、网络和通信安全、设备和计算安全、应用和数据安全四个层面强化水利网络安全防护能力。落实网络安全等级保护制度，按照一至三级等保要求，协调分类开展水利关键信息基础设施等级保护改造，全面提升关键信息基础设施的网络安全风险应对能力，加强水利行业重要数据安全防护和推进国产密码应用。</w:t>
      </w:r>
    </w:p>
    <w:p w14:paraId="75A295C1">
      <w:pPr>
        <w:pStyle w:val="4"/>
      </w:pPr>
      <w:r>
        <w:rPr>
          <w:rFonts w:hint="eastAsia"/>
        </w:rPr>
        <w:t>突出安全态势感知</w:t>
      </w:r>
    </w:p>
    <w:p w14:paraId="1B27EC3F">
      <w:pPr>
        <w:ind w:firstLine="480"/>
        <w:rPr>
          <w:rFonts w:cs="Times New Roman"/>
        </w:rPr>
      </w:pPr>
      <w:r>
        <w:rPr>
          <w:rFonts w:hint="eastAsia" w:cs="Times New Roman"/>
        </w:rPr>
        <w:t>着力推进网络安全态势感知平台建设，完善涵盖安全技术、安全管理、安全运营的智慧水利网络安全体系。主要包括：网络安全基础、网络安全态势感知预警及应急处置、水利关键信息基础设施安全防护、数据安全管理等能力建设。</w:t>
      </w:r>
    </w:p>
    <w:p w14:paraId="69E8BFE4">
      <w:pPr>
        <w:pStyle w:val="4"/>
      </w:pPr>
      <w:r>
        <w:rPr>
          <w:rFonts w:hint="eastAsia"/>
        </w:rPr>
        <w:t>加强网络攻防演练</w:t>
      </w:r>
    </w:p>
    <w:p w14:paraId="770D7234">
      <w:pPr>
        <w:ind w:firstLine="480"/>
        <w:rPr>
          <w:rFonts w:cs="Times New Roman"/>
        </w:rPr>
      </w:pPr>
      <w:r>
        <w:rPr>
          <w:rFonts w:hint="eastAsia" w:cs="Times New Roman"/>
        </w:rPr>
        <w:t>定期开展应急演练，协同落实省、市、县三级应急响应机制，保障关键重要时期网络安全工作，加强重要时期值班值守，建立</w:t>
      </w:r>
      <w:r>
        <w:rPr>
          <w:rFonts w:cs="Times New Roman"/>
        </w:rPr>
        <w:t>24</w:t>
      </w:r>
      <w:r>
        <w:rPr>
          <w:rFonts w:hint="eastAsia" w:cs="Times New Roman"/>
        </w:rPr>
        <w:t>小时值班和零报告制度，保持通信联络畅通，及时发现和处置网络安全事件，确保网络运行安全可靠。</w:t>
      </w:r>
    </w:p>
    <w:p w14:paraId="688571EA">
      <w:pPr>
        <w:ind w:firstLine="480"/>
        <w:rPr>
          <w:rFonts w:cs="Times New Roman"/>
        </w:rPr>
      </w:pPr>
    </w:p>
    <w:p w14:paraId="63D46782">
      <w:pPr>
        <w:pStyle w:val="2"/>
      </w:pPr>
      <w:bookmarkStart w:id="285" w:name="_Toc181109868"/>
      <w:r>
        <w:rPr>
          <w:rFonts w:hint="eastAsia"/>
        </w:rPr>
        <w:t>推进水网高质量发展</w:t>
      </w:r>
      <w:bookmarkEnd w:id="285"/>
    </w:p>
    <w:p w14:paraId="334DE397">
      <w:pPr>
        <w:ind w:firstLine="480"/>
      </w:pPr>
      <w:r>
        <w:rPr>
          <w:rFonts w:hint="eastAsia"/>
        </w:rPr>
        <w:t>全面贯彻习近平总书记“节水优先、空间均衡、系统治理、两手发力”治水思路，围绕全面实施国家“江河战略”健全完善国家水网布局，推进水网安全发展、绿色发展、融合发展，完善水网体制机制等，全面推进水利高质量发展，为泰州经济社会发展提供坚实的水安全保障。</w:t>
      </w:r>
    </w:p>
    <w:p w14:paraId="0CD751F0">
      <w:pPr>
        <w:pStyle w:val="3"/>
        <w:spacing w:before="163"/>
      </w:pPr>
      <w:bookmarkStart w:id="286" w:name="_Toc181109869"/>
      <w:r>
        <w:t>推进水网安全发展</w:t>
      </w:r>
      <w:bookmarkEnd w:id="286"/>
    </w:p>
    <w:p w14:paraId="1BBB768D">
      <w:pPr>
        <w:pStyle w:val="4"/>
      </w:pPr>
      <w:r>
        <w:t>提升水安全保障标准</w:t>
      </w:r>
    </w:p>
    <w:p w14:paraId="5C4C29FB">
      <w:pPr>
        <w:ind w:firstLine="480"/>
      </w:pPr>
      <w:r>
        <w:rPr>
          <w:rFonts w:hint="eastAsia"/>
        </w:rPr>
        <w:t>高标准建设泰州水网工程，适时对已建工程进行升级改造，提高水网整体安全性。针对气候变化影响和防洪安全保障需求，巩固提升流域区域防洪能力，分析洪涝灾害风险，优化城镇防洪区划。衔接长江经济生态带发展要求，稳步提升长江堤防防洪能力；结合地方经济发展和产业布局需要，根据保护对象的重要性，合理提高工程防洪工程标准。以提高城乡供水保证率为核心，有效应对长江低潮位、突发水污染、大干旱等供水风险，提升城乡供水安全标准和应急保障能力。</w:t>
      </w:r>
    </w:p>
    <w:p w14:paraId="56F39384">
      <w:pPr>
        <w:pStyle w:val="4"/>
      </w:pPr>
      <w:r>
        <w:rPr>
          <w:rFonts w:hint="eastAsia"/>
        </w:rPr>
        <w:t>加强洪涝灾害防御能力建设</w:t>
      </w:r>
    </w:p>
    <w:p w14:paraId="0D9B127C">
      <w:pPr>
        <w:ind w:firstLine="480"/>
      </w:pPr>
      <w:r>
        <w:rPr>
          <w:rFonts w:hint="eastAsia"/>
        </w:rPr>
        <w:t>深入贯彻落实习近平总书记关于防灾减灾救灾的重要论述和指示批示精神，坚持人民至上、生命至上，锚定“人员不伤亡、不垮坝、重要堤防不决口、重要基础设施不受冲击”的目标，树牢安全理念，强化底线思维，增强风险意识，立足防大汛、抗大洪、抢大险、救大灾，以大概率思维和准备应对小概率事件和灾害，担负保护人民群众生命财产安全和维护社会稳定的重要使命，保障经济社会稳定发展和城市安全运行。</w:t>
      </w:r>
    </w:p>
    <w:p w14:paraId="6CA74B88">
      <w:pPr>
        <w:ind w:firstLine="480"/>
        <w:rPr>
          <w:rFonts w:cs="Times New Roman"/>
        </w:rPr>
      </w:pPr>
      <w:r>
        <w:rPr>
          <w:rStyle w:val="35"/>
          <w:rFonts w:hint="eastAsia"/>
        </w:rPr>
        <w:t>加强“四预”措施。</w:t>
      </w:r>
      <w:r>
        <w:rPr>
          <w:rFonts w:hint="eastAsia" w:cs="Times New Roman"/>
        </w:rPr>
        <w:t>加强监测预报预警体系建设，加强与气象部门协作，实现实时雨量、雷达测雨及短期临近精细化降雨预报信息的共享共用，提高洪水预报能力，提升极端暴雨、超强台风、超标准洪水等极端事件的应对能力。对典型历史洪水事件的预报预警和水利工程调度进行精准预演，结合水利工程最新工况和经济社会情况，制定可操作的工程调度运用和非工程措施，确保预案的可操作性。</w:t>
      </w:r>
    </w:p>
    <w:p w14:paraId="755017E1">
      <w:pPr>
        <w:ind w:firstLine="480"/>
        <w:rPr>
          <w:rFonts w:cs="Times New Roman"/>
        </w:rPr>
      </w:pPr>
      <w:r>
        <w:rPr>
          <w:rStyle w:val="35"/>
          <w:rFonts w:hint="eastAsia"/>
        </w:rPr>
        <w:t>强化前期谋划。</w:t>
      </w:r>
      <w:r>
        <w:rPr>
          <w:rFonts w:hint="eastAsia" w:cs="Times New Roman"/>
        </w:rPr>
        <w:t>加强防洪减灾技术支撑，滚动修订预案，做好应急演练、桌面推演等工作，提升预案管理水平和能力，适时启动洪水风险图编制与应用研究，加强洪水风险图推广应用，提高洪水风险科学识别和预判能力。加强防洪减灾信息化建设，完善农村基层防汛预报预警体系规范化建设和应用，充分发挥基层防洪减灾体系作用。</w:t>
      </w:r>
    </w:p>
    <w:p w14:paraId="5FCF7858">
      <w:pPr>
        <w:ind w:firstLine="480"/>
        <w:rPr>
          <w:rFonts w:cs="Times New Roman"/>
        </w:rPr>
      </w:pPr>
      <w:r>
        <w:rPr>
          <w:rStyle w:val="35"/>
          <w:rFonts w:hint="eastAsia"/>
        </w:rPr>
        <w:t>完善指挥体系。</w:t>
      </w:r>
      <w:r>
        <w:rPr>
          <w:rFonts w:hint="eastAsia" w:cs="Times New Roman"/>
        </w:rPr>
        <w:t>进一步完善防洪减灾应急指挥体系，按照统一指挥、分级负责的原则，健全理顺权责明确、权威高效的防洪减灾指挥体系，汛前调整充实市县两级防洪减灾指挥成员单位及组成人员，细化完善成员单位防洪减灾职责，并及时将更新调整情况上报。充分发挥防洪减灾指挥部统筹协调和牵头抓总作用，健全完善成员单位之间信息共享、会商研判、临灾预警、调度指挥、联合值守、抢险救援、转移救助等工作机制，抓好各项机制落实。</w:t>
      </w:r>
    </w:p>
    <w:p w14:paraId="00821697">
      <w:pPr>
        <w:ind w:firstLine="480"/>
        <w:rPr>
          <w:rFonts w:cs="Times New Roman"/>
        </w:rPr>
      </w:pPr>
      <w:r>
        <w:rPr>
          <w:rStyle w:val="35"/>
          <w:rFonts w:hint="eastAsia"/>
        </w:rPr>
        <w:t>强化救灾能力建设。</w:t>
      </w:r>
      <w:r>
        <w:rPr>
          <w:rFonts w:hint="eastAsia" w:cs="Times New Roman"/>
        </w:rPr>
        <w:t>增强以政府为主导的防汛抢险队伍力量，统筹推进防汛抢险装备和物资储备。提前对江河沿线、地下空间等洪涝易发地区布置防范措施，开展实战推演，细化防灾、抢险、撤离、救援等措施，以及科技、人才和信息支撑保障能力建设，最大限度降低灾害发生后损失。</w:t>
      </w:r>
    </w:p>
    <w:p w14:paraId="0DC3DAAE">
      <w:pPr>
        <w:pStyle w:val="3"/>
        <w:spacing w:before="163"/>
      </w:pPr>
      <w:bookmarkStart w:id="287" w:name="_Toc181109870"/>
      <w:r>
        <w:rPr>
          <w:rFonts w:hint="eastAsia"/>
        </w:rPr>
        <w:t>推动水网绿色发展</w:t>
      </w:r>
      <w:bookmarkEnd w:id="287"/>
    </w:p>
    <w:p w14:paraId="02828434">
      <w:pPr>
        <w:pStyle w:val="4"/>
      </w:pPr>
      <w:r>
        <w:rPr>
          <w:rFonts w:hint="eastAsia"/>
        </w:rPr>
        <w:t>落实最严格水资源管理制度</w:t>
      </w:r>
    </w:p>
    <w:p w14:paraId="702166F1">
      <w:pPr>
        <w:ind w:firstLine="480"/>
      </w:pPr>
      <w:r>
        <w:rPr>
          <w:rStyle w:val="35"/>
          <w:rFonts w:hint="eastAsia"/>
        </w:rPr>
        <w:t>健全节水制度政策。</w:t>
      </w:r>
      <w:r>
        <w:rPr>
          <w:rFonts w:hint="eastAsia"/>
        </w:rPr>
        <w:t>坚持节水优先、量水而行，全面贯彻“四水四定”原则，推进水资源总量管理、科学配置、全面节约、循环利用，从严从细管好水资源，精打细算用好水资源。协同推进国家节水行动，强化节水定额管理、水效标准监管，深化农业节水增效、工业节水减排、城镇节水降损，建设节水型社会，全面提升水资源集约节约安全利用水平。强化水资源刚性约束，严控水资源开发利用总量，严格生态流量监管和地下水水位水量双控，严格规划和建设项目水资源论证、节水评价。</w:t>
      </w:r>
    </w:p>
    <w:p w14:paraId="1275F93B">
      <w:pPr>
        <w:ind w:firstLine="480"/>
        <w:rPr>
          <w:rFonts w:cs="Times New Roman"/>
        </w:rPr>
      </w:pPr>
      <w:r>
        <w:rPr>
          <w:rFonts w:hint="eastAsia" w:ascii="黑体" w:hAnsi="黑体" w:eastAsia="黑体" w:cs="Times New Roman"/>
        </w:rPr>
        <w:t>健全水资源有偿使用制度。</w:t>
      </w:r>
      <w:r>
        <w:rPr>
          <w:rFonts w:hint="eastAsia"/>
        </w:rPr>
        <w:t>健全初始水权分配和用水权交易制度，创新完善用水价格形成机制，深入推进水资源税调整，推进用水权市场化交易。</w:t>
      </w:r>
      <w:r>
        <w:rPr>
          <w:rFonts w:hint="eastAsia" w:cs="Times New Roman"/>
        </w:rPr>
        <w:t>持续推进农业水价综合改革，科学核定灌溉用水量、供水成本和价格，加强农业用水总量控制和定额管理。</w:t>
      </w:r>
    </w:p>
    <w:p w14:paraId="099C44F5">
      <w:pPr>
        <w:ind w:firstLine="480"/>
        <w:rPr>
          <w:rFonts w:cs="Times New Roman"/>
        </w:rPr>
      </w:pPr>
      <w:r>
        <w:rPr>
          <w:rStyle w:val="35"/>
          <w:rFonts w:hint="eastAsia"/>
        </w:rPr>
        <w:t>建立水资源保护和水污染防治协作机制。</w:t>
      </w:r>
      <w:r>
        <w:rPr>
          <w:rFonts w:hint="eastAsia" w:cs="Times New Roman"/>
        </w:rPr>
        <w:t>健全跨部门、跨行政区、跨流域（区域）的水资源保护和水污染防治协作机制，明确水资源保护、河湖水污染防治目标和任务，统筹水上、岸上污染治理，完善入河湖排污管控机制和考核体系。加强信息共享，健全协商议事制度，实行流域联防联控，建立应对突发性水污染事件的综合调度和应急管理机制。</w:t>
      </w:r>
    </w:p>
    <w:p w14:paraId="548613E4">
      <w:pPr>
        <w:pStyle w:val="4"/>
      </w:pPr>
      <w:r>
        <w:rPr>
          <w:rFonts w:hint="eastAsia"/>
        </w:rPr>
        <w:t>加强水生态空间保护</w:t>
      </w:r>
    </w:p>
    <w:p w14:paraId="2469579A">
      <w:pPr>
        <w:ind w:firstLine="480"/>
        <w:rPr>
          <w:rFonts w:cs="Times New Roman"/>
        </w:rPr>
      </w:pPr>
      <w:r>
        <w:rPr>
          <w:rStyle w:val="35"/>
          <w:rFonts w:hint="eastAsia"/>
        </w:rPr>
        <w:t>明确水网空间管控名录。</w:t>
      </w:r>
      <w:r>
        <w:rPr>
          <w:rFonts w:hint="eastAsia" w:cs="Times New Roman"/>
        </w:rPr>
        <w:t>依据《江苏省骨干河道名录》《江苏省湖泊保护名录》《泰州市主要水利控制性建筑物工程名录（2024年修订）》等，将白余</w:t>
      </w:r>
      <w:r>
        <w:rPr>
          <w:rFonts w:cs="Times New Roman"/>
        </w:rPr>
        <w:t>条县级以上河道（含</w:t>
      </w:r>
      <w:r>
        <w:rPr>
          <w:rFonts w:hint="eastAsia" w:cs="Times New Roman"/>
        </w:rPr>
        <w:t>6</w:t>
      </w:r>
      <w:r>
        <w:rPr>
          <w:rFonts w:cs="Times New Roman"/>
        </w:rPr>
        <w:t>5条省骨干河道）</w:t>
      </w:r>
      <w:r>
        <w:rPr>
          <w:rFonts w:hint="eastAsia" w:cs="Times New Roman"/>
        </w:rPr>
        <w:t>及流域面积（或受益面积）大于</w:t>
      </w:r>
      <w:r>
        <w:rPr>
          <w:rFonts w:cs="Times New Roman"/>
        </w:rPr>
        <w:t>50</w:t>
      </w:r>
      <w:r>
        <w:rPr>
          <w:rFonts w:hint="eastAsia" w:cs="Times New Roman"/>
        </w:rPr>
        <w:t>km²的河道，</w:t>
      </w:r>
      <w:r>
        <w:rPr>
          <w:rFonts w:cs="Times New Roman"/>
        </w:rPr>
        <w:t>25</w:t>
      </w:r>
      <w:r>
        <w:rPr>
          <w:rFonts w:hint="eastAsia" w:cs="Times New Roman"/>
        </w:rPr>
        <w:t>个湖泊湖荡，长江沿线控制性建筑物、老328国道沿线控制性建筑物、通南保水控制工程合计</w:t>
      </w:r>
      <w:r>
        <w:rPr>
          <w:iCs/>
        </w:rPr>
        <w:t>180</w:t>
      </w:r>
      <w:r>
        <w:rPr>
          <w:rFonts w:cs="Times New Roman"/>
        </w:rPr>
        <w:t>座闸站</w:t>
      </w:r>
      <w:r>
        <w:rPr>
          <w:rFonts w:hint="eastAsia" w:cs="Times New Roman"/>
        </w:rPr>
        <w:t>纳入市级水网空间管控对象。</w:t>
      </w:r>
    </w:p>
    <w:p w14:paraId="2088B380">
      <w:pPr>
        <w:ind w:firstLine="480"/>
        <w:rPr>
          <w:rFonts w:cs="Times New Roman"/>
        </w:rPr>
      </w:pPr>
      <w:r>
        <w:rPr>
          <w:rStyle w:val="35"/>
          <w:rFonts w:hint="eastAsia"/>
        </w:rPr>
        <w:t>划定水网空间管控范围。</w:t>
      </w:r>
      <w:r>
        <w:rPr>
          <w:rFonts w:hint="eastAsia" w:cs="Times New Roman"/>
        </w:rPr>
        <w:t>在已完成骨干河道、列入省保护名录湖泊、国有水管单位管理的闸站及湖泊湖荡管理范围划定的基础上，推进县乡河道、灌区等管理范围划定工作，科学开展河湖、岸线、滞涝圩、饮用水水源、水源涵养与水土流失防治区等涉水空间划定。</w:t>
      </w:r>
    </w:p>
    <w:p w14:paraId="708D1C42">
      <w:pPr>
        <w:ind w:firstLine="480"/>
        <w:rPr>
          <w:rFonts w:cs="Times New Roman"/>
        </w:rPr>
      </w:pPr>
      <w:r>
        <w:rPr>
          <w:rStyle w:val="35"/>
          <w:rFonts w:hint="eastAsia"/>
        </w:rPr>
        <w:t>强化空间协同保护与管控。</w:t>
      </w:r>
      <w:r>
        <w:rPr>
          <w:rFonts w:hint="eastAsia" w:cs="Times New Roman"/>
        </w:rPr>
        <w:t>制定分区、分类差异化的保护目标与管控要求，确保河湖水域面积不减少、功能不衰退。按照省级以上重要河湖岸线保护与利用规划，进一步明确各级河湖水域岸线功能分区及其用途管制要求，加强河湖水域岸线功能分区管控，强化岸线集约节约利用，提高岸线利用效率和效益。加强水域岸线动态监测，开展水域健康状况评估。严格规范涉水建设项目许可，加强全过程监管。完善水域巡查、督查制度，加强监督检查，查处违法行为。在各类生态空间用途中，</w:t>
      </w:r>
      <w:r>
        <w:rPr>
          <w:rFonts w:hint="eastAsia" w:cs="Times New Roman"/>
          <w:iCs/>
        </w:rPr>
        <w:t>强化生态环境空间管控、严守耕地保护红线、严守城镇开发边界</w:t>
      </w:r>
      <w:r>
        <w:rPr>
          <w:rFonts w:hint="eastAsia" w:cs="Times New Roman"/>
        </w:rPr>
        <w:t>。注重生态保护和节约集约用地，采取生态友好型建设方案、建筑材料、施工工艺，建设绿色水利基础设施网络。</w:t>
      </w:r>
    </w:p>
    <w:p w14:paraId="0A0FA67C">
      <w:pPr>
        <w:pStyle w:val="4"/>
      </w:pPr>
      <w:r>
        <w:t>坚持绿色低碳发展</w:t>
      </w:r>
    </w:p>
    <w:p w14:paraId="7C702B09">
      <w:pPr>
        <w:ind w:firstLine="480"/>
        <w:rPr>
          <w:rFonts w:cs="Times New Roman"/>
        </w:rPr>
      </w:pPr>
      <w:r>
        <w:rPr>
          <w:rFonts w:hint="eastAsia" w:cs="Times New Roman"/>
        </w:rPr>
        <w:t>加强水生态系统保护和修复，增强</w:t>
      </w:r>
      <w:r>
        <w:rPr>
          <w:rFonts w:cs="Times New Roman"/>
        </w:rPr>
        <w:t>生态系统</w:t>
      </w:r>
      <w:r>
        <w:rPr>
          <w:rFonts w:hint="eastAsia" w:cs="Times New Roman"/>
        </w:rPr>
        <w:t>碳汇和固碳能力。以河流源头区为重点，加大封禁治理力度，强化水土流失预防保护，提升水源涵养能力。加强河湖生态保护治理，划定并落实河湖水域空间保护范围，强化管控，落实河湖生态水位（流量）保障目标；强化河湖长制，统筹推进河湖生态保护和治理。在水网重大工程建设中落实节能减排措施，采取生态友好型建设方案、建筑材料、施工工艺，降低建筑能耗，加大资源节约和环境保护力度，减少环境污染，以低能耗、高能效和低碳排放的方式，积极推进水网建设节约集约发展。</w:t>
      </w:r>
    </w:p>
    <w:p w14:paraId="4E75D393">
      <w:pPr>
        <w:pStyle w:val="3"/>
        <w:spacing w:before="163"/>
      </w:pPr>
      <w:bookmarkStart w:id="288" w:name="_Toc181109871"/>
      <w:r>
        <w:rPr>
          <w:rFonts w:hint="eastAsia"/>
        </w:rPr>
        <w:t>坚持协同融合发展</w:t>
      </w:r>
      <w:bookmarkEnd w:id="288"/>
    </w:p>
    <w:p w14:paraId="57802E91">
      <w:pPr>
        <w:pStyle w:val="4"/>
      </w:pPr>
      <w:r>
        <w:rPr>
          <w:rFonts w:hint="eastAsia"/>
        </w:rPr>
        <w:t>坚持省市县水网协同发展</w:t>
      </w:r>
    </w:p>
    <w:p w14:paraId="49139E13">
      <w:pPr>
        <w:ind w:firstLine="480"/>
        <w:rPr>
          <w:rFonts w:cs="Times New Roman"/>
        </w:rPr>
      </w:pPr>
      <w:r>
        <w:rPr>
          <w:rFonts w:hint="eastAsia" w:cs="Times New Roman"/>
        </w:rPr>
        <w:t>加强与国家骨干网、省级水网协同融合，依托国家骨干网及省级水网的调控作用，优化市级河湖水系布局，统筹流域区域水旱灾害防御等需求；有序推进与县级水网互联互通，推进灌区节水改造与高标准农田建设，开展农村水系综合整治，打通防洪排涝和水资源调配“最后一公里”，提高农村水安全保障能力。</w:t>
      </w:r>
    </w:p>
    <w:p w14:paraId="45409C69">
      <w:pPr>
        <w:pStyle w:val="4"/>
      </w:pPr>
      <w:r>
        <w:rPr>
          <w:rFonts w:hint="eastAsia"/>
        </w:rPr>
        <w:t>促进现代农业高质量发展</w:t>
      </w:r>
    </w:p>
    <w:p w14:paraId="2908FB1D">
      <w:pPr>
        <w:ind w:firstLine="480"/>
        <w:rPr>
          <w:rFonts w:cs="Times New Roman"/>
        </w:rPr>
      </w:pPr>
      <w:r>
        <w:rPr>
          <w:rFonts w:hint="eastAsia" w:cs="Times New Roman"/>
        </w:rPr>
        <w:t>统筹协调水网建设与耕地保护，巩固提升农业现代化水平，助力新农村建设，促进现代农业高质量发展。推进水网与现代农业融合发展，推进大中型灌区续建配套和改造，大力发展高效节水灌溉，加快发展喷灌、微灌和水肥一体化项目，推进实施精准灌溉、智慧灌溉工程，切实提高水土资源利用效率，推进高标准农田建设，夯实粮食安全基础。</w:t>
      </w:r>
    </w:p>
    <w:p w14:paraId="0201621A">
      <w:pPr>
        <w:pStyle w:val="4"/>
      </w:pPr>
      <w:r>
        <w:rPr>
          <w:rFonts w:hint="eastAsia"/>
        </w:rPr>
        <w:t>推进水网与航运融合发展</w:t>
      </w:r>
    </w:p>
    <w:p w14:paraId="7AC7DF62">
      <w:pPr>
        <w:ind w:firstLine="480"/>
        <w:rPr>
          <w:rFonts w:cs="Times New Roman"/>
        </w:rPr>
      </w:pPr>
      <w:r>
        <w:rPr>
          <w:rFonts w:hint="eastAsia" w:cs="Times New Roman"/>
        </w:rPr>
        <w:t>坚持水网、航道网深度融合，统筹水利发展与内河航运发展需求，强化空间融合和功能融合，推进“多规合一”，充分发挥泰州平原水网的独特优势，为建成“设施一流、技术一流、管理一流、服务一流”的现代化水运体系，实现泰州由“水运大市”向“水运强市”转变奠定基础。</w:t>
      </w:r>
      <w:r>
        <w:rPr>
          <w:rFonts w:hint="eastAsia"/>
        </w:rPr>
        <w:t>按照共建共享的理念，依托防洪除涝、水系联通、生态治理等工程建设，</w:t>
      </w:r>
      <w:r>
        <w:rPr>
          <w:rFonts w:hint="eastAsia" w:cs="Times New Roman"/>
        </w:rPr>
        <w:t>助力泰东线、通扬线（高东线—建口线）、连申线泰州段提升为二级航道，提高水运通江达海能级。统筹中小河流治理与支线航道整治，服务引领长三角、全省航道网建设。通过水网工程优化运行，保障通航水位，提升内河航道通航保障能力。</w:t>
      </w:r>
    </w:p>
    <w:p w14:paraId="649DC6AE">
      <w:pPr>
        <w:pStyle w:val="4"/>
        <w:spacing w:before="163"/>
      </w:pPr>
      <w:r>
        <w:rPr>
          <w:rFonts w:hint="eastAsia"/>
        </w:rPr>
        <w:t>加强水网与国土空间融合</w:t>
      </w:r>
    </w:p>
    <w:p w14:paraId="2BD1B6C0">
      <w:pPr>
        <w:ind w:firstLine="480"/>
        <w:rPr>
          <w:rFonts w:cs="Times New Roman"/>
        </w:rPr>
      </w:pPr>
      <w:r>
        <w:rPr>
          <w:rFonts w:hint="eastAsia" w:cs="Times New Roman"/>
        </w:rPr>
        <w:t>做好水网规划与国土空间规划的衔接协调，切实维护河湖行洪、滞洪、输水、供水、生态等需求，突出水资源承载力刚性约束，落实“四水四定”要求，协调水利基础设施空间布局与国土空间规划“一张图”“三区三线”关系，为水网建设预留空间。强化水网建设对国土空间开发保护、生产力布局和省市乃至国家重大战略的支撑，以现代水网工程为链，打破行政界线，统筹兼顾各部门职责，发挥现代水网防洪、灌溉、供水、航运、生态、文化等功能的深度融合。</w:t>
      </w:r>
    </w:p>
    <w:p w14:paraId="7F97ED0B">
      <w:pPr>
        <w:pStyle w:val="5"/>
        <w:ind w:firstLine="482"/>
      </w:pPr>
      <w:r>
        <w:rPr>
          <w:rFonts w:hint="eastAsia"/>
        </w:rPr>
        <w:t>（1）融合国土空间规划目标及布局</w:t>
      </w:r>
    </w:p>
    <w:p w14:paraId="1919C329">
      <w:pPr>
        <w:ind w:firstLine="480"/>
      </w:pPr>
      <w:r>
        <w:t>泰州市现代水网建设规划目标以泰州市国土空间规划目标</w:t>
      </w:r>
      <w:r>
        <w:rPr>
          <w:rFonts w:ascii="宋体" w:hAnsi="宋体"/>
        </w:rPr>
        <w:t>“</w:t>
      </w:r>
      <w:r>
        <w:rPr>
          <w:rFonts w:hint="eastAsia" w:ascii="宋体" w:hAnsi="宋体"/>
        </w:rPr>
        <w:t>健康名城、幸福泰州</w:t>
      </w:r>
      <w:r>
        <w:rPr>
          <w:rFonts w:ascii="宋体" w:hAnsi="宋体"/>
        </w:rPr>
        <w:t>”</w:t>
      </w:r>
      <w:r>
        <w:t>为基础，结合国土空间规划</w:t>
      </w:r>
      <w:r>
        <w:rPr>
          <w:rFonts w:asciiTheme="minorEastAsia" w:hAnsiTheme="minorEastAsia" w:eastAsiaTheme="minorEastAsia"/>
        </w:rPr>
        <w:t>“</w:t>
      </w:r>
      <w:r>
        <w:rPr>
          <w:rFonts w:hint="eastAsia" w:asciiTheme="minorEastAsia" w:hAnsiTheme="minorEastAsia" w:eastAsiaTheme="minorEastAsia"/>
        </w:rPr>
        <w:t>到</w:t>
      </w:r>
      <w:r>
        <w:t>2025</w:t>
      </w:r>
      <w:r>
        <w:rPr>
          <w:rFonts w:hint="eastAsia"/>
        </w:rPr>
        <w:t>年，中国式现代化泰州新实践迈出坚实步伐，到2035年，率先基本实现社会主义现代化。</w:t>
      </w:r>
      <w:r>
        <w:rPr>
          <w:rFonts w:ascii="宋体" w:hAnsi="宋体"/>
        </w:rPr>
        <w:t>”</w:t>
      </w:r>
      <w:r>
        <w:t>的要求，制定泰州市现代水网建设具体目标，可为泰州市国土空间规划实施提供水安全保障。</w:t>
      </w:r>
    </w:p>
    <w:p w14:paraId="6681CB20">
      <w:pPr>
        <w:ind w:firstLine="480"/>
      </w:pPr>
      <w:r>
        <w:t>泰州市现代水网建设规划布局充分衔接泰州市国土空间规划</w:t>
      </w:r>
      <w:r>
        <w:rPr>
          <w:rFonts w:ascii="宋体" w:hAnsi="宋体"/>
        </w:rPr>
        <w:t>“</w:t>
      </w:r>
      <w:r>
        <w:rPr>
          <w:rFonts w:hint="eastAsia" w:ascii="宋体" w:hAnsi="宋体"/>
        </w:rPr>
        <w:t>一主一带、两源三片</w:t>
      </w:r>
      <w:r>
        <w:rPr>
          <w:rFonts w:ascii="宋体" w:hAnsi="宋体"/>
        </w:rPr>
        <w:t>”</w:t>
      </w:r>
      <w:r>
        <w:rPr>
          <w:rFonts w:hint="eastAsia" w:ascii="宋体" w:hAnsi="宋体"/>
        </w:rPr>
        <w:t>的市域国土空间总体格局</w:t>
      </w:r>
      <w:r>
        <w:t>，</w:t>
      </w:r>
      <w:r>
        <w:rPr>
          <w:rFonts w:hint="eastAsia"/>
        </w:rPr>
        <w:t>延续</w:t>
      </w:r>
      <w:r>
        <w:rPr>
          <w:rFonts w:ascii="宋体" w:hAnsi="宋体"/>
        </w:rPr>
        <w:t>“</w:t>
      </w:r>
      <w:r>
        <w:rPr>
          <w:rFonts w:hint="eastAsia" w:ascii="宋体" w:hAnsi="宋体"/>
        </w:rPr>
        <w:t>一带、两源、四片、四廊”</w:t>
      </w:r>
      <w:r>
        <w:rPr>
          <w:rFonts w:hint="eastAsia"/>
        </w:rPr>
        <w:t>的市域生态安全格局和</w:t>
      </w:r>
      <w:r>
        <w:rPr>
          <w:rFonts w:ascii="宋体" w:hAnsi="宋体"/>
        </w:rPr>
        <w:t>“</w:t>
      </w:r>
      <w:r>
        <w:rPr>
          <w:rFonts w:hint="eastAsia" w:ascii="宋体" w:hAnsi="宋体"/>
        </w:rPr>
        <w:t>里下河、高沙土及沿江三大农业片区</w:t>
      </w:r>
      <w:r>
        <w:rPr>
          <w:rFonts w:ascii="宋体" w:hAnsi="宋体"/>
        </w:rPr>
        <w:t>”</w:t>
      </w:r>
      <w:r>
        <w:rPr>
          <w:rFonts w:hint="eastAsia"/>
        </w:rPr>
        <w:t>的农业发展格局</w:t>
      </w:r>
      <w:r>
        <w:t>，拟定了</w:t>
      </w:r>
      <w:r>
        <w:rPr>
          <w:rFonts w:hint="eastAsia"/>
        </w:rPr>
        <w:t>“</w:t>
      </w:r>
      <w:r>
        <w:rPr>
          <w:rStyle w:val="35"/>
          <w:rFonts w:hint="eastAsia"/>
        </w:rPr>
        <w:t>一江三纵五横举纲、两区百河张目、湖荡闸站系结</w:t>
      </w:r>
      <w:r>
        <w:rPr>
          <w:rFonts w:hint="eastAsia"/>
        </w:rPr>
        <w:t>”的市级水网总体格局</w:t>
      </w:r>
      <w:r>
        <w:t>，</w:t>
      </w:r>
      <w:r>
        <w:rPr>
          <w:rFonts w:hint="eastAsia"/>
        </w:rPr>
        <w:t>继承并</w:t>
      </w:r>
      <w:r>
        <w:t>拓展了泰州市国土空间规划</w:t>
      </w:r>
      <w:r>
        <w:rPr>
          <w:rFonts w:hint="eastAsia"/>
        </w:rPr>
        <w:t>总体布局</w:t>
      </w:r>
      <w:r>
        <w:t>。</w:t>
      </w:r>
    </w:p>
    <w:p w14:paraId="5A011A27">
      <w:pPr>
        <w:pStyle w:val="5"/>
        <w:ind w:firstLine="482"/>
      </w:pPr>
      <w:r>
        <w:rPr>
          <w:rFonts w:hint="eastAsia"/>
        </w:rPr>
        <w:t>（2）落实国土空间开发保护策略</w:t>
      </w:r>
    </w:p>
    <w:p w14:paraId="5C81E848">
      <w:pPr>
        <w:ind w:firstLine="480"/>
      </w:pPr>
      <w:r>
        <w:rPr>
          <w:rStyle w:val="35"/>
          <w:rFonts w:hint="eastAsia"/>
        </w:rPr>
        <w:t>落实“生态提质”。</w:t>
      </w:r>
      <w:r>
        <w:rPr>
          <w:rFonts w:hint="eastAsia"/>
        </w:rPr>
        <w:t>坚持生态优先，统筹污染治理、生态保护、气候变化应对，协同推进降碳、减污、扩绿、增长，形成节约资源和保护环境的空间格局、产业结构、生产方式、生活方式，促进经济社会发展全面绿色转型和生态环境持续改善，形成人与自然和谐共生的水网国土空间。</w:t>
      </w:r>
    </w:p>
    <w:p w14:paraId="7DFCF047">
      <w:pPr>
        <w:ind w:firstLine="480"/>
      </w:pPr>
      <w:r>
        <w:rPr>
          <w:rStyle w:val="35"/>
          <w:rFonts w:hint="eastAsia"/>
        </w:rPr>
        <w:t>落实“空间统筹”。</w:t>
      </w:r>
      <w:r>
        <w:rPr>
          <w:rFonts w:hint="eastAsia"/>
        </w:rPr>
        <w:t>立足资源环境承载能力和国土空间开发适宜性，落实主体功能区定位，科学确定水网建设工程用地范围，优化水网工程空间开发保护格局。</w:t>
      </w:r>
    </w:p>
    <w:p w14:paraId="2C6668D0">
      <w:pPr>
        <w:ind w:firstLine="480"/>
      </w:pPr>
      <w:r>
        <w:rPr>
          <w:rStyle w:val="35"/>
          <w:rFonts w:hint="eastAsia"/>
        </w:rPr>
        <w:t>落实“协同联动”。</w:t>
      </w:r>
      <w:r>
        <w:rPr>
          <w:rFonts w:hint="eastAsia"/>
        </w:rPr>
        <w:t>深度融入长三角区域一体化发展，推进扬泰通盐协同发展，共同完善江水东引工程，共推里下河滞涝圩调整建设工程等。</w:t>
      </w:r>
    </w:p>
    <w:p w14:paraId="6360BA9C">
      <w:pPr>
        <w:ind w:firstLine="480"/>
      </w:pPr>
      <w:r>
        <w:rPr>
          <w:rStyle w:val="35"/>
          <w:rFonts w:hint="eastAsia"/>
        </w:rPr>
        <w:t>落实“强心聚能”。</w:t>
      </w:r>
      <w:r>
        <w:rPr>
          <w:rFonts w:hint="eastAsia"/>
        </w:rPr>
        <w:t>加强“一轴一核三极三城”建设，强化泰州各市区中心城区城市防洪能力建设，提升城市防洪除涝韧性，提升泰州中心城市服务能级，提高城市区域竞争力。</w:t>
      </w:r>
    </w:p>
    <w:p w14:paraId="2E83C7AF">
      <w:pPr>
        <w:ind w:firstLine="480"/>
      </w:pPr>
      <w:r>
        <w:rPr>
          <w:rStyle w:val="35"/>
          <w:rFonts w:hint="eastAsia"/>
        </w:rPr>
        <w:t>落实“特色引领”。</w:t>
      </w:r>
      <w:r>
        <w:rPr>
          <w:rFonts w:hint="eastAsia"/>
        </w:rPr>
        <w:t>实施长江生态文化带建设，融入长江国家文化公园建设，传承展示江海文化和古盐运河文化。突出“水城相融、人水相依”的空间特色，强化全域自然与文化遗产的保护利用，塑造“水韵泰州”的风貌特色。</w:t>
      </w:r>
    </w:p>
    <w:p w14:paraId="242FE62C">
      <w:pPr>
        <w:ind w:firstLine="480"/>
      </w:pPr>
      <w:r>
        <w:rPr>
          <w:rStyle w:val="35"/>
          <w:rFonts w:hint="eastAsia"/>
        </w:rPr>
        <w:t>落实“品质提升”</w:t>
      </w:r>
      <w:r>
        <w:rPr>
          <w:rStyle w:val="35"/>
          <w:rFonts w:hint="eastAsia" w:ascii="Malgun Gothic" w:hAnsi="Malgun Gothic" w:eastAsia="Malgun Gothic" w:cs="Malgun Gothic"/>
        </w:rPr>
        <w:t>。</w:t>
      </w:r>
      <w:r>
        <w:rPr>
          <w:rFonts w:hint="eastAsia"/>
        </w:rPr>
        <w:t>建设滨江滨河滨湖主题公园、建设“河安湖晏、水清岸绿、鱼翔浅底、文昌人和”的幸福河湖</w:t>
      </w:r>
      <w:r>
        <w:rPr>
          <w:rStyle w:val="35"/>
          <w:rFonts w:hint="eastAsia" w:ascii="宋体" w:hAnsi="宋体" w:eastAsia="宋体"/>
        </w:rPr>
        <w:t>，</w:t>
      </w:r>
      <w:r>
        <w:rPr>
          <w:rFonts w:hint="eastAsia"/>
        </w:rPr>
        <w:t>提升城乡基础设施和公共服务设施的现代化水平，因地制宜建设特色生活圈，形成全龄友好、普惠共享、城乡一体的基本公共服务体系。加强城市总体设计管控，构建以文化和水系为脉络的开敞空间体系，提升国土空间品质。</w:t>
      </w:r>
    </w:p>
    <w:p w14:paraId="5F5170FE">
      <w:pPr>
        <w:pStyle w:val="5"/>
        <w:ind w:firstLine="482"/>
      </w:pPr>
      <w:r>
        <w:t>（</w:t>
      </w:r>
      <w:r>
        <w:rPr>
          <w:rFonts w:hint="eastAsia"/>
        </w:rPr>
        <w:t>3</w:t>
      </w:r>
      <w:r>
        <w:t>）强化与</w:t>
      </w:r>
      <w:r>
        <w:rPr>
          <w:rFonts w:asciiTheme="minorEastAsia" w:hAnsiTheme="minorEastAsia" w:eastAsiaTheme="minorEastAsia"/>
        </w:rPr>
        <w:t>“</w:t>
      </w:r>
      <w:r>
        <w:rPr>
          <w:rFonts w:hint="eastAsia" w:asciiTheme="minorEastAsia" w:hAnsiTheme="minorEastAsia" w:eastAsiaTheme="minorEastAsia"/>
        </w:rPr>
        <w:t>三区三线</w:t>
      </w:r>
      <w:r>
        <w:rPr>
          <w:rFonts w:asciiTheme="minorEastAsia" w:hAnsiTheme="minorEastAsia" w:eastAsiaTheme="minorEastAsia"/>
        </w:rPr>
        <w:t>”</w:t>
      </w:r>
      <w:r>
        <w:rPr>
          <w:rFonts w:hint="eastAsia"/>
        </w:rPr>
        <w:t>协同</w:t>
      </w:r>
    </w:p>
    <w:p w14:paraId="16234B49">
      <w:pPr>
        <w:ind w:firstLine="480"/>
      </w:pPr>
      <w:r>
        <w:rPr>
          <w:rFonts w:hint="eastAsia"/>
        </w:rPr>
        <w:t>《泰州市现代水网建设规划》规划了防洪除涝、水资源、水生态等各类工程，工程方案编制阶段将依据《自然资源部办公厅关于规范开展建设项目节地评价工作的通知（自然资办发</w:t>
      </w:r>
      <w:r>
        <w:rPr>
          <w:rFonts w:hint="eastAsia" w:cs="Times New Roman"/>
        </w:rPr>
        <w:t>〔2021〕</w:t>
      </w:r>
      <w:r>
        <w:rPr>
          <w:rFonts w:hint="eastAsia"/>
        </w:rPr>
        <w:t>14号）》《建设项目用地预审管理办法》单独组织编制《节地评价》（或节地专章），做好用地预审，优化工程用地总量，落实</w:t>
      </w:r>
      <w:r>
        <w:t>基本农田保护条例、</w:t>
      </w:r>
      <w:r>
        <w:rPr>
          <w:rFonts w:hint="eastAsia"/>
        </w:rPr>
        <w:t>坚守</w:t>
      </w:r>
      <w:r>
        <w:t>生态保护红线。</w:t>
      </w:r>
    </w:p>
    <w:p w14:paraId="2BC18D14">
      <w:pPr>
        <w:ind w:firstLine="480"/>
      </w:pPr>
      <w:r>
        <w:rPr>
          <w:rStyle w:val="35"/>
        </w:rPr>
        <w:t>严格恪守“</w:t>
      </w:r>
      <w:r>
        <w:rPr>
          <w:rStyle w:val="35"/>
          <w:rFonts w:hint="eastAsia"/>
        </w:rPr>
        <w:t>三区三线</w:t>
      </w:r>
      <w:r>
        <w:rPr>
          <w:rStyle w:val="35"/>
        </w:rPr>
        <w:t>”。</w:t>
      </w:r>
      <w:r>
        <w:rPr>
          <w:rFonts w:hint="eastAsia"/>
        </w:rPr>
        <w:t>落实耕地保护目标</w:t>
      </w:r>
      <w:r>
        <w:t>395.2351</w:t>
      </w:r>
      <w:r>
        <w:rPr>
          <w:rFonts w:hint="eastAsia"/>
        </w:rPr>
        <w:t>万亩，永久基本农田355.0018万亩，严格落实永久基本农田管控要求，永久基本农田重点用于发展粮食生产，不得转为林地、草地、园地等其他农用地及农业设施建设用地，已划定的永久基本农田不得随意占用和调整，重大建设项目选址确实难以避让的，必须按照相关法律法规办理。落实生态保护红线面积115.23km²，涉及自然保护地（湿地公园）、饮用水水源保护区、水产种质资源保护区以及其他具有潜在重要生态价值的区域共18处，主要分布于长江、兴化市西北湖荡、姜堰溱湖等区域。在优先划定耕地和永久基本农田、生态保护红线的基础上，以促进城镇有序、适度、紧凑发展为目标划定城镇开发边界。</w:t>
      </w:r>
    </w:p>
    <w:p w14:paraId="351AA26D">
      <w:pPr>
        <w:ind w:firstLine="480"/>
      </w:pPr>
      <w:r>
        <w:rPr>
          <w:rStyle w:val="35"/>
          <w:rFonts w:hint="eastAsia"/>
        </w:rPr>
        <w:t>衔接国土空间总体格局。</w:t>
      </w:r>
      <w:r>
        <w:rPr>
          <w:rFonts w:hint="eastAsia"/>
        </w:rPr>
        <w:t>顺应里下河—通南高沙土—沿江圩区自然地理格局，统筹农业、生态、城镇空间，构建“一主一带、两源三片”的市域国土空间总体格局。保障高标准农田工程建设用地需求，确保灌溉及排水设施、田间道路等配套工程设施建设用地需要。以兴化西北湖荡群、溱湖以及骨干河道为骨架，形成</w:t>
      </w:r>
      <w:r>
        <w:rPr>
          <w:rFonts w:asciiTheme="minorEastAsia" w:hAnsiTheme="minorEastAsia" w:eastAsiaTheme="minorEastAsia"/>
        </w:rPr>
        <w:t>“</w:t>
      </w:r>
      <w:r>
        <w:rPr>
          <w:rFonts w:hint="eastAsia" w:asciiTheme="minorEastAsia" w:hAnsiTheme="minorEastAsia" w:eastAsiaTheme="minorEastAsia"/>
        </w:rPr>
        <w:t>一带、两源、四片、四廊</w:t>
      </w:r>
      <w:r>
        <w:rPr>
          <w:rFonts w:asciiTheme="minorEastAsia" w:hAnsiTheme="minorEastAsia" w:eastAsiaTheme="minorEastAsia"/>
        </w:rPr>
        <w:t>”</w:t>
      </w:r>
      <w:r>
        <w:rPr>
          <w:rFonts w:hint="eastAsia"/>
        </w:rPr>
        <w:t>的市域生态安全格局，实现生态保护由点状、块状结构向网络化、系统化结构转变。</w:t>
      </w:r>
    </w:p>
    <w:p w14:paraId="4D1E641F">
      <w:pPr>
        <w:ind w:firstLine="480"/>
      </w:pPr>
      <w:r>
        <w:rPr>
          <w:rStyle w:val="35"/>
          <w:rFonts w:hint="eastAsia"/>
        </w:rPr>
        <w:t>统筹安排各类建设用地，优化城镇空间结构。</w:t>
      </w:r>
      <w:r>
        <w:rPr>
          <w:rFonts w:hint="eastAsia"/>
        </w:rPr>
        <w:t>优先保障重点水利等区域基础设施以及其他建设用地，优化城乡建设用地结构，适度增加城镇用地规模，统筹保障各类民生设施及乡村振兴项目用地需求。</w:t>
      </w:r>
    </w:p>
    <w:p w14:paraId="4EB3F0A1">
      <w:pPr>
        <w:ind w:firstLine="480"/>
      </w:pPr>
      <w:r>
        <w:rPr>
          <w:rStyle w:val="35"/>
        </w:rPr>
        <w:t>坚持</w:t>
      </w:r>
      <w:r>
        <w:rPr>
          <w:rStyle w:val="35"/>
          <w:rFonts w:hint="eastAsia"/>
        </w:rPr>
        <w:t>生态廊道共保共治。</w:t>
      </w:r>
      <w:r>
        <w:rPr>
          <w:rFonts w:hint="eastAsia"/>
        </w:rPr>
        <w:t>加快长江生态廊道建设，共同推进长江大保护。协同开展新通扬运河、老通扬运河、卤汀河、泰州引江河等重要生态廊道的共保共治。推进古马干河、东姜黄河、如靖界河等跨界水系联合治理，统筹交界地区的水系连通和水环境水生态整治。</w:t>
      </w:r>
    </w:p>
    <w:p w14:paraId="1265C2C5">
      <w:pPr>
        <w:pStyle w:val="3"/>
        <w:spacing w:before="163"/>
      </w:pPr>
      <w:bookmarkStart w:id="289" w:name="_Toc181109872"/>
      <w:r>
        <w:rPr>
          <w:rFonts w:hint="eastAsia"/>
        </w:rPr>
        <w:t>完善水网体制机制</w:t>
      </w:r>
      <w:bookmarkEnd w:id="289"/>
    </w:p>
    <w:p w14:paraId="62E5F5C7">
      <w:pPr>
        <w:pStyle w:val="4"/>
      </w:pPr>
      <w:r>
        <w:rPr>
          <w:rFonts w:hint="eastAsia"/>
        </w:rPr>
        <w:t>持续深化河湖长制管理</w:t>
      </w:r>
    </w:p>
    <w:p w14:paraId="0497CCB1">
      <w:pPr>
        <w:ind w:firstLine="480"/>
      </w:pPr>
      <w:r>
        <w:rPr>
          <w:rFonts w:hint="eastAsia" w:ascii="黑体" w:hAnsi="黑体" w:eastAsia="黑体" w:cs="Times New Roman"/>
        </w:rPr>
        <w:t>进一步细化各级河湖长职责。</w:t>
      </w:r>
      <w:r>
        <w:rPr>
          <w:rFonts w:hint="eastAsia" w:cs="Times New Roman"/>
        </w:rPr>
        <w:t>全面落实《泰州市河长制工作条例》等要求，因地制宜地设立村级河湖长。明确各级河湖长负责组织领导相应河湖的水资源保护、水域岸线管理、水污染防治、水环境治理等工作；河湖长协调解决河湖管理保护中的重大问题，协调上下游、左右岸，对跨行政区域的河湖组织实施联</w:t>
      </w:r>
      <w:r>
        <w:rPr>
          <w:rFonts w:hint="eastAsia"/>
        </w:rPr>
        <w:t>防联控；</w:t>
      </w:r>
      <w:r>
        <w:rPr>
          <w:rFonts w:hint="eastAsia" w:cs="Times New Roman"/>
        </w:rPr>
        <w:t>河湖长</w:t>
      </w:r>
      <w:r>
        <w:rPr>
          <w:rFonts w:hint="eastAsia"/>
        </w:rPr>
        <w:t>对河湖管理保护工作相关部门和下一级河湖长履职情况进行督导，对目标任务完成情况进行考核，强化激励问责。切实落实各市（区）河长湖长属地管理责任和相关部门责任，形成党政负责、水利牵头、部门协同、一级抓一级、层层抓落实的工作格局。</w:t>
      </w:r>
    </w:p>
    <w:p w14:paraId="6F2113ED">
      <w:pPr>
        <w:ind w:firstLine="480"/>
      </w:pPr>
      <w:r>
        <w:rPr>
          <w:rStyle w:val="35"/>
          <w:rFonts w:hint="eastAsia"/>
        </w:rPr>
        <w:t>创新履职方式和工作方法。</w:t>
      </w:r>
      <w:r>
        <w:rPr>
          <w:rFonts w:hint="eastAsia"/>
        </w:rPr>
        <w:t>探索有效工作方法，协调解决重大问题，实施“一河（湖）一策”，组织专项整治，开展监督检查，严格考核奖惩。完善务实工作机制、突发事件应急处置机制，健全河湖长会议制度、督办单制度、河湖长述职制度等。继续开展“两违三乱”专项整治，并向乡村级河道纵向延伸，继续巩固长江大保护专项行动成果，从严打击长江非法采砂行为，坚决遏制重大水事违法行为发生。</w:t>
      </w:r>
    </w:p>
    <w:p w14:paraId="2C1A13BF">
      <w:pPr>
        <w:ind w:firstLine="480"/>
        <w:rPr>
          <w:rFonts w:cs="Times New Roman"/>
        </w:rPr>
      </w:pPr>
      <w:r>
        <w:rPr>
          <w:rStyle w:val="35"/>
          <w:rFonts w:hint="eastAsia"/>
        </w:rPr>
        <w:t>健全跨界河湖联防联控机制。</w:t>
      </w:r>
      <w:r>
        <w:rPr>
          <w:rFonts w:hint="eastAsia" w:cs="Times New Roman"/>
          <w:iCs/>
        </w:rPr>
        <w:t>按照“</w:t>
      </w:r>
      <w:r>
        <w:rPr>
          <w:rFonts w:hint="eastAsia" w:cs="Times New Roman"/>
        </w:rPr>
        <w:t>下游对接上游，左岸对接右岸，大水域对接小水域”的原则，在满足流域、区域规划要求的前提下，协调明确河湖管护任务、工作进度、标准等。结合河湖实际，探索建立相邻县区域间的联合会商机制，每位河长湖长“多走</w:t>
      </w:r>
      <w:r>
        <w:rPr>
          <w:rFonts w:cs="Times New Roman"/>
        </w:rPr>
        <w:t>1</w:t>
      </w:r>
      <w:r>
        <w:rPr>
          <w:rFonts w:hint="eastAsia" w:cs="Times New Roman"/>
        </w:rPr>
        <w:t>公里”，设立联合河长湖长，统筹河湖管理保护目标，通过开展联合巡河、联合保洁、联合治理、联合执法、联合水质监测等，协同落实跨界河湖管理保护措施。</w:t>
      </w:r>
    </w:p>
    <w:p w14:paraId="4AFE88AE">
      <w:pPr>
        <w:spacing w:before="120"/>
        <w:ind w:firstLine="480"/>
        <w:rPr>
          <w:rFonts w:cs="Times New Roman"/>
        </w:rPr>
      </w:pPr>
      <w:r>
        <w:rPr>
          <w:rStyle w:val="35"/>
          <w:rFonts w:hint="eastAsia"/>
        </w:rPr>
        <w:t>强化监督与考核体系。</w:t>
      </w:r>
      <w:r>
        <w:rPr>
          <w:rFonts w:hint="eastAsia"/>
        </w:rPr>
        <w:t>建立健全水域面积监测和考核制度，严格涉河建设项目审批管理，严格实施兴建等效替代水域工程，确保基本水面率稳中有升；不断优化河湖水域岸线功能布局和资源利用方式，逐步提高河湖自然生态性，恢复和保障河湖公益性功能。推动河湖长巡河履职，明确河湖问题清单，建立河湖“四乱”治理长效机制，充分发挥河湖长制平台作用，建立从发现问题到整改落实的全过程督促制度，采用定期和随机方式开展河湖长制工作监督检查。采取现场调研、召开专项会议、提醒约谈、通报批评等方式，严格监督和考核，压实各级河湖长责任。</w:t>
      </w:r>
    </w:p>
    <w:p w14:paraId="50F4F1D5">
      <w:pPr>
        <w:pStyle w:val="4"/>
      </w:pPr>
      <w:r>
        <w:rPr>
          <w:rFonts w:hint="eastAsia"/>
        </w:rPr>
        <w:t>完善工程建管体制机制</w:t>
      </w:r>
    </w:p>
    <w:p w14:paraId="0C08B68D">
      <w:pPr>
        <w:ind w:firstLine="480"/>
      </w:pPr>
      <w:r>
        <w:rPr>
          <w:rStyle w:val="35"/>
          <w:rFonts w:hint="eastAsia"/>
        </w:rPr>
        <w:t>完善工程建设监管体系。</w:t>
      </w:r>
      <w:r>
        <w:rPr>
          <w:rFonts w:hint="eastAsia"/>
        </w:rPr>
        <w:t>强化水利工程建设管理，严格执行水利工程基本建设程序，严格落实基本建设“五项制度”；加强工程招投标管理，继续推进公共资源交易平台建设和电子招标工作；加强工程验收管理，落实工程质量终身责任制度；加强建设市场管理，健全信用信息共享、跨部门联合奖惩工作机制，进一步规范水利建设市场秩序。</w:t>
      </w:r>
    </w:p>
    <w:p w14:paraId="10C0DCFB">
      <w:pPr>
        <w:ind w:firstLine="480"/>
      </w:pPr>
      <w:r>
        <w:rPr>
          <w:rStyle w:val="35"/>
          <w:rFonts w:hint="eastAsia"/>
        </w:rPr>
        <w:t>完善工程运行管理体系。</w:t>
      </w:r>
      <w:r>
        <w:rPr>
          <w:rFonts w:hint="eastAsia"/>
        </w:rPr>
        <w:t>推进水利工程精细化管理，落实精细化管理各项措施，科学评价精细化管理水平，促进水利工程管理在规范化基础上提档升级。规范水利工程运行管理，建立堤防险工险段名录，开展堤防险工险段排查，落实闸站注册登记和安全鉴定管理制度，加强闸站维修养护、调度运用、巡查检查和安全管理；继续推进管养分离，推广政府购买服务方式，培育和规范维修养护市场，推行水利工程物业化管理。加强安全生产管理，完善安全生产责任制，落实安全生产法律法规和标准规范，常态化开展安全生产巡查，坚决遏制重特大安全生产事故发生。</w:t>
      </w:r>
    </w:p>
    <w:p w14:paraId="6EA2F299">
      <w:pPr>
        <w:pStyle w:val="4"/>
      </w:pPr>
      <w:r>
        <w:rPr>
          <w:rFonts w:hint="eastAsia"/>
        </w:rPr>
        <w:t>强化水网运行调度管理</w:t>
      </w:r>
    </w:p>
    <w:p w14:paraId="6F6BD82E">
      <w:pPr>
        <w:ind w:firstLine="480"/>
      </w:pPr>
      <w:r>
        <w:rPr>
          <w:rFonts w:hint="eastAsia" w:ascii="黑体" w:hAnsi="黑体" w:eastAsia="黑体"/>
        </w:rPr>
        <w:t>强化水网调度管理。</w:t>
      </w:r>
      <w:r>
        <w:rPr>
          <w:rFonts w:hint="eastAsia"/>
        </w:rPr>
        <w:t>进一步优化水网调度方案，严格执行调度指令，精准实施水工程调度，加强片区协同联动。遵循系统调度、统一指挥、分级负责，区域调度服从流域调度，片区调度服从区域调度。</w:t>
      </w:r>
    </w:p>
    <w:p w14:paraId="43C12FBB">
      <w:pPr>
        <w:ind w:firstLine="480"/>
      </w:pPr>
      <w:r>
        <w:rPr>
          <w:rFonts w:hint="eastAsia" w:ascii="黑体" w:hAnsi="黑体" w:eastAsia="黑体"/>
        </w:rPr>
        <w:t>加强水网风险预防。</w:t>
      </w:r>
      <w:r>
        <w:rPr>
          <w:rFonts w:hint="eastAsia"/>
        </w:rPr>
        <w:t>结合第一次全国自然灾害综合风险普查、工程管理经验等，识别洪涝灾害、水利工程隐患、突发性水污染等重大风险点和风险源，科学预判形势发展。按照鉴定期限，持续开展水闸泵站堤防等水网工程安全鉴定；对水网薄弱环节，及时开展治理；对水网重大工程开展工程建设风险评估。建立水网风险预报预警体系，努力降低风险发生概率和可能影响。</w:t>
      </w:r>
    </w:p>
    <w:p w14:paraId="29D67349">
      <w:pPr>
        <w:ind w:firstLine="480"/>
      </w:pPr>
      <w:r>
        <w:rPr>
          <w:rFonts w:hint="eastAsia" w:ascii="黑体" w:hAnsi="黑体" w:eastAsia="黑体"/>
        </w:rPr>
        <w:t>提高水网综合应对能力。</w:t>
      </w:r>
      <w:r>
        <w:rPr>
          <w:rFonts w:hint="eastAsia"/>
        </w:rPr>
        <w:t>制定完善全市洪涝、突发水污染等各类风险应急预案；完善水网风险管控应急响应机制，提升水网风险事件救援能力；定期组织水网风险教育和应急演练，强化应急救援物资储备。建立水网建设多部门协同应对体制机制，建立联合会商和信息通报制度。</w:t>
      </w:r>
    </w:p>
    <w:p w14:paraId="7F106D64">
      <w:pPr>
        <w:pStyle w:val="4"/>
      </w:pPr>
      <w:bookmarkStart w:id="290" w:name="_Toc169102273"/>
      <w:bookmarkEnd w:id="290"/>
      <w:bookmarkStart w:id="291" w:name="_Toc169102649"/>
      <w:bookmarkEnd w:id="291"/>
      <w:bookmarkStart w:id="292" w:name="_Toc169102461"/>
      <w:bookmarkEnd w:id="292"/>
      <w:bookmarkStart w:id="293" w:name="_Toc169102085"/>
      <w:bookmarkEnd w:id="293"/>
      <w:r>
        <w:rPr>
          <w:rFonts w:hint="eastAsia"/>
        </w:rPr>
        <w:t>拓宽水网建设融资渠道</w:t>
      </w:r>
    </w:p>
    <w:p w14:paraId="1D3E468A">
      <w:pPr>
        <w:ind w:firstLine="480"/>
        <w:rPr>
          <w:rFonts w:cs="Times New Roman"/>
        </w:rPr>
      </w:pPr>
      <w:r>
        <w:rPr>
          <w:rFonts w:hint="eastAsia" w:cs="Times New Roman"/>
        </w:rPr>
        <w:t>坚持政府和市场“两手发力”，抓住一切有利时机、利用一切有利条件，想方设法多渠道筹集资金，积极构建多元化、多层次、多渠道的水利投融资体系，为推动水利高质量发展提供有力资金保障。</w:t>
      </w:r>
    </w:p>
    <w:p w14:paraId="10DADB92">
      <w:pPr>
        <w:pStyle w:val="5"/>
        <w:ind w:firstLine="482"/>
      </w:pPr>
      <w:r>
        <w:rPr>
          <w:rFonts w:hint="eastAsia"/>
        </w:rPr>
        <w:t>（1）依托关键渠道引资金</w:t>
      </w:r>
    </w:p>
    <w:p w14:paraId="16249EE6">
      <w:pPr>
        <w:ind w:firstLine="480"/>
        <w:rPr>
          <w:rFonts w:cs="Times New Roman"/>
        </w:rPr>
      </w:pPr>
      <w:r>
        <w:rPr>
          <w:rFonts w:hint="eastAsia" w:cs="Times New Roman"/>
        </w:rPr>
        <w:t>紧盯中央、省级水利专项资金、地方专项债券、乡村振兴资金和金融机构等关键渠道投向政策，多门类、多途径申报项目。加强与上级水利主管部门的沟通，加强对地方水利部门的具体指导，积极协调推动水网项目融资落地，有力保障现代水网建设资金需求。</w:t>
      </w:r>
    </w:p>
    <w:p w14:paraId="7082A5D3">
      <w:pPr>
        <w:pStyle w:val="5"/>
        <w:ind w:firstLine="482"/>
      </w:pPr>
      <w:r>
        <w:rPr>
          <w:rFonts w:hint="eastAsia"/>
        </w:rPr>
        <w:t>（2）依托投资平台聚资金</w:t>
      </w:r>
    </w:p>
    <w:p w14:paraId="04AB136C">
      <w:pPr>
        <w:ind w:firstLine="480"/>
        <w:rPr>
          <w:rFonts w:cs="Times New Roman"/>
        </w:rPr>
      </w:pPr>
      <w:r>
        <w:rPr>
          <w:rFonts w:hint="eastAsia" w:cs="Times New Roman"/>
        </w:rPr>
        <w:t>充分挖掘国有平台公司、社会资本和金融机构合作需求，力促政府、企业、金融机构源头融合、平台共建、全链合作，不断挖掘社会资本潜力，扩大投资途径。</w:t>
      </w:r>
    </w:p>
    <w:p w14:paraId="5D2BDCA1">
      <w:pPr>
        <w:pStyle w:val="5"/>
        <w:ind w:firstLine="482"/>
      </w:pPr>
      <w:r>
        <w:rPr>
          <w:rFonts w:hint="eastAsia"/>
        </w:rPr>
        <w:t>（3）推进水网产业投资基金</w:t>
      </w:r>
    </w:p>
    <w:p w14:paraId="6FC566B0">
      <w:pPr>
        <w:ind w:firstLine="480"/>
        <w:rPr>
          <w:rFonts w:cs="Times New Roman"/>
        </w:rPr>
      </w:pPr>
      <w:r>
        <w:rPr>
          <w:rFonts w:hint="eastAsia" w:cs="Times New Roman"/>
        </w:rPr>
        <w:t>按照“尽力而为，量力而行”的要求，依法合规开展融资创新工作，通过转让项目经营权、开展资产证券化、发行地方政府专项债券、发行水利不动产信托投资基金（</w:t>
      </w:r>
      <w:r>
        <w:rPr>
          <w:rFonts w:cs="Times New Roman"/>
        </w:rPr>
        <w:t>REITs</w:t>
      </w:r>
      <w:r>
        <w:rPr>
          <w:rFonts w:hint="eastAsia" w:cs="Times New Roman"/>
        </w:rPr>
        <w:t>）等方式盘活存量水网资产，争取水网资源收益全面反哺水网建设。</w:t>
      </w:r>
    </w:p>
    <w:p w14:paraId="4D9D68EF">
      <w:pPr>
        <w:pStyle w:val="5"/>
        <w:ind w:firstLine="482"/>
      </w:pPr>
      <w:r>
        <w:rPr>
          <w:rFonts w:hint="eastAsia"/>
        </w:rPr>
        <w:t>（3）创新投建模式</w:t>
      </w:r>
    </w:p>
    <w:p w14:paraId="0D7FAD35">
      <w:pPr>
        <w:ind w:firstLine="480"/>
        <w:rPr>
          <w:rFonts w:cs="Times New Roman"/>
        </w:rPr>
      </w:pPr>
      <w:r>
        <w:rPr>
          <w:rStyle w:val="35"/>
          <w:rFonts w:hint="eastAsia"/>
        </w:rPr>
        <w:t>推荐优势项目导入。</w:t>
      </w:r>
      <w:r>
        <w:rPr>
          <w:rFonts w:hint="eastAsia" w:cs="Times New Roman"/>
        </w:rPr>
        <w:t>精确筛选社会资本关注度高、收益回报保障率高的项目，向社会推荐，招引社会资本方参与。</w:t>
      </w:r>
    </w:p>
    <w:p w14:paraId="787B47AD">
      <w:pPr>
        <w:ind w:firstLine="480"/>
        <w:rPr>
          <w:rFonts w:cs="Times New Roman"/>
        </w:rPr>
      </w:pPr>
      <w:r>
        <w:rPr>
          <w:rStyle w:val="35"/>
          <w:rFonts w:hint="eastAsia"/>
        </w:rPr>
        <w:t>创新建设模式合作。</w:t>
      </w:r>
      <w:r>
        <w:rPr>
          <w:rFonts w:hint="eastAsia" w:cs="Times New Roman"/>
        </w:rPr>
        <w:t>基于省内外</w:t>
      </w:r>
      <w:r>
        <w:rPr>
          <w:rFonts w:cs="Times New Roman"/>
        </w:rPr>
        <w:t>PPP</w:t>
      </w:r>
      <w:r>
        <w:rPr>
          <w:rFonts w:hint="eastAsia" w:cs="Times New Roman"/>
        </w:rPr>
        <w:t>、</w:t>
      </w:r>
      <w:r>
        <w:rPr>
          <w:rFonts w:cs="Times New Roman"/>
        </w:rPr>
        <w:t>EPC</w:t>
      </w:r>
      <w:r>
        <w:rPr>
          <w:rFonts w:hint="eastAsia" w:cs="Times New Roman"/>
        </w:rPr>
        <w:t>、</w:t>
      </w:r>
      <w:r>
        <w:rPr>
          <w:rFonts w:cs="Times New Roman"/>
        </w:rPr>
        <w:t>B</w:t>
      </w:r>
      <w:r>
        <w:rPr>
          <w:rFonts w:hint="eastAsia" w:cs="Times New Roman"/>
        </w:rPr>
        <w:t>O</w:t>
      </w:r>
      <w:r>
        <w:rPr>
          <w:rFonts w:cs="Times New Roman"/>
        </w:rPr>
        <w:t>D</w:t>
      </w:r>
      <w:r>
        <w:rPr>
          <w:rFonts w:hint="eastAsia" w:cs="Times New Roman"/>
        </w:rPr>
        <w:t>等水利工程建设模式，分类分地区积极推进“专项债</w:t>
      </w:r>
      <w:r>
        <w:rPr>
          <w:rFonts w:cs="Times New Roman"/>
        </w:rPr>
        <w:t>+</w:t>
      </w:r>
      <w:r>
        <w:rPr>
          <w:rFonts w:hint="eastAsia" w:cs="Times New Roman"/>
        </w:rPr>
        <w:t>特许经营权”“投资人</w:t>
      </w:r>
      <w:r>
        <w:rPr>
          <w:rFonts w:cs="Times New Roman"/>
        </w:rPr>
        <w:t>+</w:t>
      </w:r>
      <w:r>
        <w:rPr>
          <w:rFonts w:hint="eastAsia" w:cs="Times New Roman"/>
        </w:rPr>
        <w:t>施工总承包”“总承包”等模式在泰州的深度实践，通过控股参股、注资融资等方式拓宽社会资本方参与的渠道。</w:t>
      </w:r>
    </w:p>
    <w:p w14:paraId="10660550">
      <w:pPr>
        <w:ind w:firstLine="480"/>
        <w:rPr>
          <w:rFonts w:cs="Times New Roman"/>
        </w:rPr>
      </w:pPr>
      <w:r>
        <w:rPr>
          <w:rStyle w:val="35"/>
          <w:rFonts w:hint="eastAsia"/>
        </w:rPr>
        <w:t>搭建开放平台扩张。</w:t>
      </w:r>
      <w:r>
        <w:rPr>
          <w:rFonts w:hint="eastAsia" w:cs="Times New Roman"/>
        </w:rPr>
        <w:t>积极组建联合体，参与社会资本采购；同市属国有平台公司共同组建特别（</w:t>
      </w:r>
      <w:r>
        <w:rPr>
          <w:rFonts w:cs="Times New Roman"/>
        </w:rPr>
        <w:t>SPV</w:t>
      </w:r>
      <w:r>
        <w:rPr>
          <w:rFonts w:hint="eastAsia" w:cs="Times New Roman"/>
        </w:rPr>
        <w:t>公司）公司负责建设、管理、运营水网工程；推动各级水利投资公司、水务公司加快做大做强，充分发挥其在重大水网工程投资、融资、建设和运营的主体作用。</w:t>
      </w:r>
    </w:p>
    <w:p w14:paraId="24405C44">
      <w:pPr>
        <w:pStyle w:val="2"/>
      </w:pPr>
      <w:bookmarkStart w:id="294" w:name="_Toc181109873"/>
      <w:r>
        <w:rPr>
          <w:rFonts w:hint="eastAsia"/>
        </w:rPr>
        <w:t>重大标志性成果</w:t>
      </w:r>
      <w:bookmarkEnd w:id="294"/>
    </w:p>
    <w:p w14:paraId="63517CEF">
      <w:pPr>
        <w:pStyle w:val="3"/>
        <w:spacing w:before="163"/>
      </w:pPr>
      <w:bookmarkStart w:id="295" w:name="_Toc181109874"/>
      <w:r>
        <w:rPr>
          <w:rFonts w:hint="eastAsia"/>
        </w:rPr>
        <w:t>重大工程</w:t>
      </w:r>
      <w:bookmarkEnd w:id="295"/>
    </w:p>
    <w:p w14:paraId="29954FAE">
      <w:pPr>
        <w:pStyle w:val="4"/>
      </w:pPr>
      <w:r>
        <w:rPr>
          <w:rFonts w:hint="eastAsia"/>
        </w:rPr>
        <w:t>防洪排涝重大工程</w:t>
      </w:r>
    </w:p>
    <w:p w14:paraId="71A1614B">
      <w:pPr>
        <w:pStyle w:val="5"/>
        <w:ind w:firstLine="482"/>
      </w:pPr>
      <w:r>
        <w:rPr>
          <w:rFonts w:hint="eastAsia"/>
        </w:rPr>
        <w:t>（1）长江堤防</w:t>
      </w:r>
      <w:r>
        <w:t>防洪</w:t>
      </w:r>
      <w:r>
        <w:rPr>
          <w:rFonts w:hint="eastAsia"/>
        </w:rPr>
        <w:t>能力提升近期工程</w:t>
      </w:r>
    </w:p>
    <w:p w14:paraId="00A0ECE7">
      <w:pPr>
        <w:ind w:firstLine="480"/>
      </w:pPr>
      <w:r>
        <w:rPr>
          <w:rStyle w:val="35"/>
          <w:rFonts w:hint="eastAsia"/>
        </w:rPr>
        <w:t>项目背景。</w:t>
      </w:r>
      <w:r>
        <w:rPr>
          <w:rFonts w:hint="eastAsia"/>
        </w:rPr>
        <w:t>为全面提升长江堤防防御洪潮能力，为长江经济带国家战略实施和经济社会发展提供水安全保障，按照</w:t>
      </w:r>
      <w:r>
        <w:t>《长江三角洲区域一体化发展水安全保障规划》《江苏省长江堤防防洪能力提升工程建设前期工作技术指导意见》等</w:t>
      </w:r>
      <w:r>
        <w:rPr>
          <w:rFonts w:hint="eastAsia"/>
        </w:rPr>
        <w:t>，实施江苏省长江堤防防洪能力提升近期工程。</w:t>
      </w:r>
    </w:p>
    <w:p w14:paraId="46D008AC">
      <w:pPr>
        <w:ind w:firstLine="480"/>
      </w:pPr>
      <w:r>
        <w:rPr>
          <w:rStyle w:val="35"/>
          <w:rFonts w:hint="eastAsia"/>
        </w:rPr>
        <w:t>工程任务。</w:t>
      </w:r>
      <w:r>
        <w:rPr>
          <w:rFonts w:hint="eastAsia"/>
        </w:rPr>
        <w:t>在已实施的江堤达标建设基础上，对江堤及穿堤建筑物进行加固改造、提标建设，畅通防汛道路，完善安全监测设施，提升长江堤防防御洪潮能力至1</w:t>
      </w:r>
      <w:r>
        <w:t>00年一遇</w:t>
      </w:r>
      <w:r>
        <w:rPr>
          <w:rFonts w:hint="eastAsia"/>
        </w:rPr>
        <w:t>，为长江经济带国家战略实施和经济社会发展提供水安全保障。</w:t>
      </w:r>
    </w:p>
    <w:p w14:paraId="2B1667AA">
      <w:pPr>
        <w:ind w:firstLine="480"/>
      </w:pPr>
      <w:r>
        <w:rPr>
          <w:rStyle w:val="35"/>
          <w:rFonts w:hint="eastAsia"/>
        </w:rPr>
        <w:t>建设内容。</w:t>
      </w:r>
      <w:r>
        <w:rPr>
          <w:rFonts w:hint="eastAsia"/>
        </w:rPr>
        <w:t>按照1</w:t>
      </w:r>
      <w:r>
        <w:t>00年一遇防洪标准，加固</w:t>
      </w:r>
      <w:r>
        <w:rPr>
          <w:rFonts w:hint="eastAsia"/>
        </w:rPr>
        <w:t>105.67km长江堤防（含港堤），新改建沿江28座通江节制闸、7座闸站结合工程、12座沿江排涝站、30座通江穿堤涵洞。</w:t>
      </w:r>
    </w:p>
    <w:p w14:paraId="12517139">
      <w:pPr>
        <w:ind w:firstLine="480"/>
      </w:pPr>
      <w:r>
        <w:rPr>
          <w:rStyle w:val="35"/>
        </w:rPr>
        <w:t>工程效益及投资。</w:t>
      </w:r>
      <w:r>
        <w:rPr>
          <w:iCs/>
        </w:rPr>
        <w:t>工程实施后，可</w:t>
      </w:r>
      <w:r>
        <w:rPr>
          <w:rFonts w:hint="eastAsia"/>
        </w:rPr>
        <w:t>提升长江堤防防御洪潮能力至1</w:t>
      </w:r>
      <w:r>
        <w:t>00年一遇，工程投资</w:t>
      </w:r>
      <w:r>
        <w:rPr>
          <w:rFonts w:hint="eastAsia"/>
        </w:rPr>
        <w:t>2</w:t>
      </w:r>
      <w:r>
        <w:t>6亿元。</w:t>
      </w:r>
    </w:p>
    <w:p w14:paraId="4B6BC88A">
      <w:pPr>
        <w:pStyle w:val="5"/>
        <w:ind w:firstLine="482"/>
      </w:pPr>
      <w:r>
        <w:rPr>
          <w:rFonts w:hint="eastAsia"/>
        </w:rPr>
        <w:t>（2）长江扬中河段二期</w:t>
      </w:r>
      <w:r>
        <w:rPr>
          <w:rFonts w:hint="eastAsia" w:ascii="宋体" w:hAnsi="宋体"/>
        </w:rPr>
        <w:t>（应急治理）</w:t>
      </w:r>
      <w:r>
        <w:rPr>
          <w:rFonts w:hint="eastAsia"/>
        </w:rPr>
        <w:t>工程</w:t>
      </w:r>
    </w:p>
    <w:p w14:paraId="7D837635">
      <w:pPr>
        <w:ind w:firstLine="480"/>
        <w:rPr>
          <w:rStyle w:val="35"/>
        </w:rPr>
      </w:pPr>
      <w:r>
        <w:rPr>
          <w:rStyle w:val="35"/>
          <w:rFonts w:hint="eastAsia"/>
        </w:rPr>
        <w:t>项目背景。</w:t>
      </w:r>
      <w:r>
        <w:rPr>
          <w:rFonts w:hint="eastAsia"/>
        </w:rPr>
        <w:t>为适应长江经济带、长三角区域一体化等国家发展战略及沿江经济社会高质量发展需求，进一步稳定长江河势，保障防洪安全和重要基础设施安全运行，根据《长江流域综合规划（2012—2030年）》《长江流域防洪规划》《长江中下游干流河道治理规划（2016年修订）》《长江扬中河段二期（应急治理）工程可行性研究》等上位规划，结合长江干流江苏段五大河段河道整治工程实施情况及存在问题，组织实施长江扬中河段二期（应急治理）工程。</w:t>
      </w:r>
    </w:p>
    <w:p w14:paraId="7100F387">
      <w:pPr>
        <w:ind w:firstLine="480"/>
      </w:pPr>
      <w:r>
        <w:rPr>
          <w:rStyle w:val="35"/>
          <w:rFonts w:hint="eastAsia"/>
        </w:rPr>
        <w:t>工程任务。</w:t>
      </w:r>
      <w:r>
        <w:rPr>
          <w:rFonts w:hint="eastAsia"/>
          <w:snapToGrid w:val="0"/>
        </w:rPr>
        <w:t>适应新水沙、新河道边界条件，在已有河道治理工程、航道整治工程的基础上，加固已建护岸重点薄弱区域，强化嘶马弯道、太平洲左缘等导流岸壁的控导作用，遏制落成洲右汊和小泡沙右汊分流比扩大态势，进一步稳定河势，保护自然岸线，消除江岸坍塌隐患，保障防洪安全和重要基础设施安全运行，促进沿江地区经济社会高质量发展。</w:t>
      </w:r>
    </w:p>
    <w:p w14:paraId="6BDF7C73">
      <w:pPr>
        <w:ind w:firstLine="480"/>
        <w:rPr>
          <w:rFonts w:cs="Times New Roman"/>
        </w:rPr>
      </w:pPr>
      <w:r>
        <w:rPr>
          <w:rStyle w:val="35"/>
        </w:rPr>
        <w:t>建设内容。</w:t>
      </w:r>
      <w:r>
        <w:rPr>
          <w:rFonts w:hint="eastAsia" w:cs="Times New Roman"/>
        </w:rPr>
        <w:t>泰州境内以控制和稳定现有河势为主，加强节点控导、洲滩稳定和险工险段守护，遏制典型支汊不利发展，工程包括礁板沙水下平台（泰州杨湾）维护工程、泰州高港（泰州大桥～白沙洲）护岸加固工程、靖江界河口～小掘港护岸加固工程。</w:t>
      </w:r>
    </w:p>
    <w:p w14:paraId="0C4A2503">
      <w:pPr>
        <w:ind w:firstLine="480"/>
        <w:rPr>
          <w:rFonts w:cs="Times New Roman"/>
        </w:rPr>
      </w:pPr>
      <w:r>
        <w:rPr>
          <w:rStyle w:val="35"/>
        </w:rPr>
        <w:t>工程效益及投资。</w:t>
      </w:r>
      <w:r>
        <w:rPr>
          <w:iCs/>
        </w:rPr>
        <w:t>工程实施后，长江河势将得到控制，防洪保安能力得到进一步巩固提升，工程总投资</w:t>
      </w:r>
      <w:r>
        <w:rPr>
          <w:rFonts w:hint="eastAsia"/>
          <w:iCs/>
        </w:rPr>
        <w:t>3亿元。</w:t>
      </w:r>
    </w:p>
    <w:p w14:paraId="5E8159DC">
      <w:pPr>
        <w:pStyle w:val="5"/>
        <w:ind w:firstLine="482"/>
      </w:pPr>
      <w:r>
        <w:rPr>
          <w:rFonts w:hint="eastAsia"/>
        </w:rPr>
        <w:t>（3）江苏省里下河滞涝圩调整建设工程</w:t>
      </w:r>
    </w:p>
    <w:p w14:paraId="7104E71E">
      <w:pPr>
        <w:ind w:firstLine="480"/>
        <w:rPr>
          <w:rFonts w:cs="Times New Roman"/>
        </w:rPr>
      </w:pPr>
      <w:r>
        <w:rPr>
          <w:rStyle w:val="35"/>
          <w:rFonts w:hint="eastAsia"/>
        </w:rPr>
        <w:t>项目背景。</w:t>
      </w:r>
      <w:r>
        <w:rPr>
          <w:rFonts w:hint="eastAsia" w:cs="Times New Roman"/>
        </w:rPr>
        <w:t>为了提高淮河流域里下河地区防洪除涝能力，提高除涝标准，保障人民群众生命财产安全，改善区内人民群众生产、生活条件，对滞涝圩进行系统治理。</w:t>
      </w:r>
    </w:p>
    <w:p w14:paraId="04604BEE">
      <w:pPr>
        <w:ind w:firstLine="480"/>
        <w:rPr>
          <w:rFonts w:cs="Times New Roman"/>
        </w:rPr>
      </w:pPr>
      <w:r>
        <w:rPr>
          <w:rStyle w:val="35"/>
          <w:rFonts w:hint="eastAsia"/>
        </w:rPr>
        <w:t>工程任务。</w:t>
      </w:r>
      <w:r>
        <w:rPr>
          <w:rFonts w:hint="eastAsia" w:cs="Times New Roman"/>
        </w:rPr>
        <w:t>一是保障滞涝期滞涝圩人员安全，最大程度减少财产损失，对聚居人口超过200人的滞涝圩开展安全隔堤建设；二是保障滞涝期涝水不外溢，避免滞涝圩提前启用，产生次生灾害，充分利用现有周边圩堤，对不满足要求的圩堤进行加固处理；三是对于第一批滞涝圩，由于地势低洼、滞洪库容大，考虑在穿圩河道侧，新建进退洪控制闸，以加快进洪速度，提高滞涝效果。四是对滞涝圩穿圩区河道进行清淤疏浚，提高河道防洪排涝标准，增强里下河腹部地区滞涝圩进退水能力，确保沿河滞涝圩进退水安全。</w:t>
      </w:r>
    </w:p>
    <w:p w14:paraId="123F51CC">
      <w:pPr>
        <w:ind w:firstLine="480"/>
        <w:rPr>
          <w:rFonts w:cs="Times New Roman"/>
        </w:rPr>
      </w:pPr>
      <w:r>
        <w:rPr>
          <w:rStyle w:val="35"/>
          <w:rFonts w:hint="eastAsia"/>
        </w:rPr>
        <w:t>建设内容。</w:t>
      </w:r>
      <w:r>
        <w:rPr>
          <w:rFonts w:hint="eastAsia" w:cs="Times New Roman"/>
        </w:rPr>
        <w:t>滞涝圩堤防达标建设、滞涝圩进退水闸工程、穿湖、穿荡河道疏浚整治等，泰州境内保庄圩建设工程42.65km（全部位于兴化）、安全圩堤防工程141.77km（姜堰区9.78km、兴化市131.99km）、滞涝圩堤防工程53.85km（全部位于兴化）、穿圩河道治理45.42km（姜堰区2.78km、兴化市42.64km）、进退水闸78座。</w:t>
      </w:r>
    </w:p>
    <w:p w14:paraId="5F69FD15">
      <w:pPr>
        <w:ind w:firstLine="480"/>
        <w:rPr>
          <w:rFonts w:cs="Times New Roman"/>
        </w:rPr>
      </w:pPr>
      <w:r>
        <w:rPr>
          <w:rStyle w:val="35"/>
        </w:rPr>
        <w:t>工程效益及投资。</w:t>
      </w:r>
      <w:r>
        <w:rPr>
          <w:iCs/>
        </w:rPr>
        <w:t>工程实施后，里下河湖泊湖荡滞蓄库容将恢复，里下河地区滞洪效率满足规划要求，滞洪损失大大降低，里下河片防洪除涝能力得到有效提升，工程总投资</w:t>
      </w:r>
      <w:r>
        <w:rPr>
          <w:rFonts w:hint="eastAsia"/>
          <w:iCs/>
        </w:rPr>
        <w:t>1</w:t>
      </w:r>
      <w:r>
        <w:rPr>
          <w:iCs/>
        </w:rPr>
        <w:t>6.9亿元。</w:t>
      </w:r>
    </w:p>
    <w:p w14:paraId="7E1B0F43">
      <w:pPr>
        <w:pStyle w:val="5"/>
        <w:ind w:firstLine="482"/>
      </w:pPr>
      <w:bookmarkStart w:id="296" w:name="_Toc169102654"/>
      <w:r>
        <w:rPr>
          <w:rFonts w:hint="eastAsia"/>
        </w:rPr>
        <w:t>（</w:t>
      </w:r>
      <w:r>
        <w:t>4</w:t>
      </w:r>
      <w:r>
        <w:rPr>
          <w:rFonts w:hint="eastAsia"/>
        </w:rPr>
        <w:t>）泰州通南地区引排能力提升工程</w:t>
      </w:r>
    </w:p>
    <w:p w14:paraId="4545A9B6">
      <w:pPr>
        <w:ind w:firstLine="480"/>
        <w:rPr>
          <w:rFonts w:cs="Times New Roman"/>
        </w:rPr>
      </w:pPr>
      <w:r>
        <w:rPr>
          <w:rStyle w:val="35"/>
          <w:rFonts w:hint="eastAsia"/>
        </w:rPr>
        <w:t>项目背景。</w:t>
      </w:r>
      <w:r>
        <w:rPr>
          <w:rFonts w:hint="eastAsia" w:cs="Times New Roman"/>
        </w:rPr>
        <w:t>根据《泰州市通南水利规划（2013～2030）》《泰州市通南地区引排能力提升工程可行性研究》，泰州市通南高沙土片现状排涝能力不能满足20年一遇的规划排涝标准，通过优化河道布局，全面疏浚河道，适当扩大水面，增加调蓄容量，增辟入江口门，扩大外排出路，完善配套必要的引排建筑物等措施，全面提高通南地区引排能力。</w:t>
      </w:r>
    </w:p>
    <w:p w14:paraId="3DFF855C">
      <w:pPr>
        <w:ind w:firstLine="480"/>
        <w:rPr>
          <w:rFonts w:cs="Times New Roman"/>
        </w:rPr>
      </w:pPr>
      <w:r>
        <w:rPr>
          <w:rStyle w:val="35"/>
          <w:rFonts w:hint="eastAsia"/>
        </w:rPr>
        <w:t>工程任务。</w:t>
      </w:r>
      <w:r>
        <w:rPr>
          <w:rFonts w:hint="eastAsia" w:cs="Times New Roman"/>
        </w:rPr>
        <w:t>泰州通南地区引排能力提升工程重点解决泰州通南高沙土片排涝标准不达标，以及遭受长江持续高潮顶托情况下自排受限、城市内涝风险大的问题，为泰州市积极融入和推进长三角一体化发展创造良好的条件。主要任务是通过拓浚增产港，拆建南官河闸站、过船港闸站、天星港闸站、焦土港闸站，并结合区域其他骨干河道整治，替代原安宁港出江口门方案，使泰州通南高沙土片的排涝能力达到规划标准，同时提高区域供水能力。</w:t>
      </w:r>
    </w:p>
    <w:p w14:paraId="4432AC3E">
      <w:pPr>
        <w:ind w:firstLine="480"/>
        <w:rPr>
          <w:rFonts w:cs="Times New Roman"/>
        </w:rPr>
      </w:pPr>
      <w:r>
        <w:rPr>
          <w:rStyle w:val="35"/>
          <w:rFonts w:hint="eastAsia"/>
        </w:rPr>
        <w:t>建设内容。</w:t>
      </w:r>
      <w:r>
        <w:rPr>
          <w:rFonts w:hint="eastAsia" w:cs="Times New Roman"/>
        </w:rPr>
        <w:t>泰州通南地区引排能力提升工程包括河道整治和拆建闸站两部分。拓浚增产港22.3km、设计底高程-1.19</w:t>
      </w:r>
      <w:r>
        <w:rPr>
          <w:rFonts w:hint="eastAsia" w:ascii="宋体" w:hAnsi="宋体" w:cs="Times New Roman"/>
        </w:rPr>
        <w:t>～</w:t>
      </w:r>
      <w:r>
        <w:rPr>
          <w:rFonts w:hint="eastAsia" w:cs="Times New Roman"/>
        </w:rPr>
        <w:t>-2.19m，底宽15</w:t>
      </w:r>
      <w:r>
        <w:rPr>
          <w:rFonts w:hint="eastAsia" w:ascii="宋体" w:hAnsi="宋体" w:cs="Times New Roman"/>
        </w:rPr>
        <w:t>～</w:t>
      </w:r>
      <w:r>
        <w:rPr>
          <w:rFonts w:hint="eastAsia" w:cs="Times New Roman"/>
        </w:rPr>
        <w:t>20m；拓浚夏仕港；拆建闸站4座：拆建南官河闸站（21m+80</w:t>
      </w:r>
      <w:r>
        <w:rPr>
          <w:rFonts w:cs="Times New Roman"/>
        </w:rPr>
        <w:t>m³/s</w:t>
      </w:r>
      <w:r>
        <w:rPr>
          <w:rFonts w:hint="eastAsia" w:cs="Times New Roman"/>
        </w:rPr>
        <w:t>），拆建过船港闸站（21m+60</w:t>
      </w:r>
      <w:r>
        <w:rPr>
          <w:rFonts w:cs="Times New Roman"/>
        </w:rPr>
        <w:t>m³/s</w:t>
      </w:r>
      <w:r>
        <w:rPr>
          <w:rFonts w:hint="eastAsia" w:cs="Times New Roman"/>
        </w:rPr>
        <w:t>），拆建天星港闸站（21m+30</w:t>
      </w:r>
      <w:r>
        <w:rPr>
          <w:rFonts w:cs="Times New Roman"/>
        </w:rPr>
        <w:t>m³/s</w:t>
      </w:r>
      <w:r>
        <w:rPr>
          <w:rFonts w:hint="eastAsia" w:cs="Times New Roman"/>
        </w:rPr>
        <w:t>），拆建焦土港闸站（18m+30</w:t>
      </w:r>
      <w:r>
        <w:rPr>
          <w:rFonts w:cs="Times New Roman"/>
        </w:rPr>
        <w:t>m³/s</w:t>
      </w:r>
      <w:r>
        <w:rPr>
          <w:rFonts w:hint="eastAsia" w:cs="Times New Roman"/>
        </w:rPr>
        <w:t>），泵站均按双向设置。</w:t>
      </w:r>
    </w:p>
    <w:p w14:paraId="7B21BC21">
      <w:pPr>
        <w:ind w:firstLine="480"/>
        <w:rPr>
          <w:rFonts w:cs="Times New Roman"/>
        </w:rPr>
      </w:pPr>
      <w:r>
        <w:rPr>
          <w:rStyle w:val="35"/>
        </w:rPr>
        <w:t>工程效益及投资。</w:t>
      </w:r>
      <w:r>
        <w:rPr>
          <w:iCs/>
        </w:rPr>
        <w:t>工程实施后，通南地区排涝标准进一步提升，在</w:t>
      </w:r>
      <w:r>
        <w:rPr>
          <w:rFonts w:hint="eastAsia" w:cs="Times New Roman"/>
        </w:rPr>
        <w:t>遭受长江持续高潮顶托情况下地区防洪除涝能力得到加强；</w:t>
      </w:r>
      <w:r>
        <w:rPr>
          <w:iCs/>
        </w:rPr>
        <w:t>通南地区引水能力进一步加强，在遭遇长江低潮位时，应急引江能力得到保障。工程总投资</w:t>
      </w:r>
      <w:r>
        <w:rPr>
          <w:rFonts w:hint="eastAsia"/>
          <w:iCs/>
        </w:rPr>
        <w:t>1</w:t>
      </w:r>
      <w:r>
        <w:rPr>
          <w:iCs/>
        </w:rPr>
        <w:t>9.23亿元。</w:t>
      </w:r>
    </w:p>
    <w:p w14:paraId="7C885195">
      <w:pPr>
        <w:pStyle w:val="4"/>
      </w:pPr>
      <w:r>
        <w:rPr>
          <w:rFonts w:hint="eastAsia"/>
        </w:rPr>
        <w:t>水资源配置重大工程</w:t>
      </w:r>
      <w:bookmarkEnd w:id="296"/>
    </w:p>
    <w:p w14:paraId="6570DFA1">
      <w:pPr>
        <w:pStyle w:val="5"/>
        <w:ind w:firstLine="482"/>
      </w:pPr>
      <w:r>
        <w:rPr>
          <w:rFonts w:hint="eastAsia"/>
        </w:rPr>
        <w:t>（</w:t>
      </w:r>
      <w:r>
        <w:t>1</w:t>
      </w:r>
      <w:r>
        <w:rPr>
          <w:rFonts w:hint="eastAsia"/>
        </w:rPr>
        <w:t>）江水东引完善工程</w:t>
      </w:r>
    </w:p>
    <w:p w14:paraId="2A6A9ACD">
      <w:pPr>
        <w:ind w:firstLine="480"/>
        <w:rPr>
          <w:rFonts w:cs="Times New Roman"/>
        </w:rPr>
      </w:pPr>
      <w:r>
        <w:rPr>
          <w:rStyle w:val="35"/>
          <w:rFonts w:hint="eastAsia"/>
        </w:rPr>
        <w:t>工程任务。</w:t>
      </w:r>
      <w:r>
        <w:rPr>
          <w:rFonts w:hint="eastAsia" w:cs="Times New Roman"/>
        </w:rPr>
        <w:t>为了满足里下河地区用水需求，进一步完善“两河引水、三线输水”的供水布局，进一步畅通西线卤汀河、下官河、上官河等骨干输水通道，同时为使泰州引江河、泰东河一线自流引江水尽快消化并真正有效供给垦区，拓浚俞西河－唐港河、盐靖河</w:t>
      </w:r>
      <w:r>
        <w:rPr>
          <w:rFonts w:cs="Times New Roman"/>
        </w:rPr>
        <w:t>2</w:t>
      </w:r>
      <w:r>
        <w:rPr>
          <w:rFonts w:hint="eastAsia" w:cs="Times New Roman"/>
        </w:rPr>
        <w:t>条辅线，形成小中线。</w:t>
      </w:r>
    </w:p>
    <w:p w14:paraId="460ED21A">
      <w:pPr>
        <w:ind w:firstLine="480"/>
        <w:rPr>
          <w:rFonts w:cs="Times New Roman"/>
        </w:rPr>
      </w:pPr>
      <w:r>
        <w:rPr>
          <w:rStyle w:val="35"/>
        </w:rPr>
        <w:t>建设内容。</w:t>
      </w:r>
      <w:r>
        <w:rPr>
          <w:rFonts w:cs="Times New Roman"/>
        </w:rPr>
        <w:t>整治</w:t>
      </w:r>
      <w:r>
        <w:rPr>
          <w:rFonts w:hint="eastAsia" w:cs="Times New Roman"/>
        </w:rPr>
        <w:t>新通扬运河（宜陵～九里沟）、</w:t>
      </w:r>
      <w:r>
        <w:rPr>
          <w:rFonts w:cs="Times New Roman"/>
        </w:rPr>
        <w:t>卤汀河新通至南官河段、茅山河</w:t>
      </w:r>
      <w:r>
        <w:rPr>
          <w:rFonts w:hint="eastAsia" w:cs="Times New Roman"/>
        </w:rPr>
        <w:t>－</w:t>
      </w:r>
      <w:r>
        <w:rPr>
          <w:rFonts w:cs="Times New Roman"/>
        </w:rPr>
        <w:t>西塘港、</w:t>
      </w:r>
      <w:r>
        <w:rPr>
          <w:rFonts w:hint="eastAsia" w:cs="Times New Roman"/>
        </w:rPr>
        <w:t>俞西河－唐港河、盐靖河等骨干输水河道。</w:t>
      </w:r>
    </w:p>
    <w:p w14:paraId="36C88050">
      <w:pPr>
        <w:ind w:firstLine="480"/>
        <w:rPr>
          <w:rFonts w:cs="Times New Roman"/>
        </w:rPr>
      </w:pPr>
      <w:r>
        <w:rPr>
          <w:rStyle w:val="35"/>
        </w:rPr>
        <w:t>工程效益及投资。</w:t>
      </w:r>
      <w:r>
        <w:rPr>
          <w:rFonts w:cs="Times New Roman"/>
          <w:iCs/>
        </w:rPr>
        <w:t>工程实施后</w:t>
      </w:r>
      <w:r>
        <w:rPr>
          <w:rFonts w:hint="eastAsia" w:cs="Times New Roman"/>
        </w:rPr>
        <w:t>可实现泰州里下河片供水保证率达显著提升</w:t>
      </w:r>
      <w:r>
        <w:rPr>
          <w:rFonts w:cs="Times New Roman"/>
        </w:rPr>
        <w:t>，并助力全省实现里下河</w:t>
      </w:r>
      <w:r>
        <w:rPr>
          <w:rFonts w:hint="eastAsia" w:cs="Times New Roman"/>
        </w:rPr>
        <w:t>地区供水保证率提高至</w:t>
      </w:r>
      <w:r>
        <w:rPr>
          <w:rFonts w:cs="Times New Roman"/>
        </w:rPr>
        <w:t>95%</w:t>
      </w:r>
      <w:r>
        <w:rPr>
          <w:rFonts w:hint="eastAsia" w:cs="Times New Roman"/>
        </w:rPr>
        <w:t>，实现通榆河北延常态化供水。工程总投资1</w:t>
      </w:r>
      <w:r>
        <w:rPr>
          <w:rFonts w:cs="Times New Roman"/>
        </w:rPr>
        <w:t>9.5亿元。</w:t>
      </w:r>
    </w:p>
    <w:p w14:paraId="6E7267BD">
      <w:pPr>
        <w:pStyle w:val="4"/>
      </w:pPr>
      <w:bookmarkStart w:id="297" w:name="_Toc169102655"/>
      <w:r>
        <w:rPr>
          <w:rFonts w:hint="eastAsia"/>
        </w:rPr>
        <w:t>水生态修复重大工程</w:t>
      </w:r>
      <w:bookmarkEnd w:id="297"/>
    </w:p>
    <w:p w14:paraId="3CD1F856">
      <w:pPr>
        <w:pStyle w:val="5"/>
        <w:ind w:firstLine="482"/>
      </w:pPr>
      <w:r>
        <w:rPr>
          <w:rFonts w:hint="eastAsia"/>
        </w:rPr>
        <w:t>（</w:t>
      </w:r>
      <w:r>
        <w:t>1</w:t>
      </w:r>
      <w:r>
        <w:rPr>
          <w:rFonts w:hint="eastAsia"/>
        </w:rPr>
        <w:t>）幸福河湖建设</w:t>
      </w:r>
    </w:p>
    <w:p w14:paraId="00097F6D">
      <w:pPr>
        <w:ind w:firstLine="480"/>
      </w:pPr>
      <w:r>
        <w:rPr>
          <w:rStyle w:val="35"/>
          <w:rFonts w:hint="eastAsia"/>
        </w:rPr>
        <w:t>项目背景。</w:t>
      </w:r>
      <w:r>
        <w:rPr>
          <w:rFonts w:hint="eastAsia"/>
        </w:rPr>
        <w:t>2021年第1号省总河长令，部署在全省组织开展幸福河湖建设，力争到2025年全省城市建成区河湖基本建成幸福河湖，到2035年全省河湖总体建成“河安湖晏、水清岸绿、鱼翔浅底、文昌人和”的幸福河湖。2020年10月，泰州市为加快推进幸福河湖建设，推动河长制“全面见效”迈上新台阶，在全省率先出台《泰州市幸福河湖建设实施意见》。2021年3月，召开的泰州市河长制工作会议，提出各地各部门要准确把握新时代绿色发展新理念，强化河长担当、加强部门协作，以更高的站位推进全市域幸福河湖建设，为“彰显江海文化的底蕴与自信，全力打造令人向往的‘幸福水天堂’”贡献河长力量、提供水利支撑。</w:t>
      </w:r>
    </w:p>
    <w:p w14:paraId="6152A4FB">
      <w:pPr>
        <w:ind w:firstLine="480"/>
      </w:pPr>
      <w:r>
        <w:rPr>
          <w:rStyle w:val="35"/>
        </w:rPr>
        <w:t>总体布局。</w:t>
      </w:r>
      <w:r>
        <w:rPr>
          <w:rFonts w:hint="eastAsia"/>
        </w:rPr>
        <w:t>泰州市幸福河湖建设总体布局为：“三带、六城、百条、千片”。三带：大江风光带、生态经济带、水乡风情带交相辉映；六城：海陵区、医药高新区（高港区）、姜堰区、靖江市、泰兴市、兴化市，以城市建成区河道为基底建设各具特色的幸福水城；百条：65条市级以上骨干河道和25处湖泊湖荡构成泰州市幸福河湖网络基础，建设各美其美的幸福河湖。千片：泰州市行政区划三市三区，有61个镇、2个乡、25个街道办事处，1165个村民委员会，523个居民委员会。1688个村民委员会和居民委员会由多个村组或小区组成。市域内以市（区）、乡镇（街道）、行政村水系建立三级网格体系，以村组（小区）水系作为幸福河湖建设最小治理单元，连线成片建设美美与共的千片幸福河湖。</w:t>
      </w:r>
    </w:p>
    <w:p w14:paraId="309BA4CA">
      <w:pPr>
        <w:ind w:firstLine="480"/>
      </w:pPr>
      <w:r>
        <w:rPr>
          <w:rStyle w:val="35"/>
        </w:rPr>
        <w:t>主要任务。</w:t>
      </w:r>
      <w:r>
        <w:rPr>
          <w:rFonts w:hint="eastAsia"/>
        </w:rPr>
        <w:t>确保河湖防洪安全，全力保障用水需求，加强河湖生态修复，科学利用河湖资源，大力传承河湖文化。到2035年全市河湖总体建成“河安湖晏、水清岸绿、鱼翔浅底、文昌人和”的幸福河湖。打造南官河为国家级幸福河湖。</w:t>
      </w:r>
    </w:p>
    <w:p w14:paraId="517A7F0F">
      <w:pPr>
        <w:ind w:firstLine="480"/>
      </w:pPr>
      <w:r>
        <w:rPr>
          <w:rStyle w:val="35"/>
          <w:rFonts w:hint="eastAsia"/>
        </w:rPr>
        <w:t>建设内容。</w:t>
      </w:r>
      <w:r>
        <w:rPr>
          <w:rFonts w:hint="eastAsia"/>
        </w:rPr>
        <w:t>2021年至2035年间计划建设4605条幸福河湖，其中2021年至2023年建成市级幸福河湖2294条，未来需进一步巩固幸福河湖建设成效，加快实施老通扬运河、南官河等2311条幸福河湖建设，确保每年推进建成幸福河湖不少于150条，统筹推进“三带”生态屏障、六座幸福水城建设。到2035年全市河湖总体建成“河安湖晏、水清岸绿、鱼翔浅底、文昌人和”的幸福河湖。</w:t>
      </w:r>
    </w:p>
    <w:p w14:paraId="1AC58783">
      <w:pPr>
        <w:ind w:firstLine="480"/>
        <w:rPr>
          <w:iCs/>
        </w:rPr>
      </w:pPr>
      <w:r>
        <w:rPr>
          <w:rStyle w:val="35"/>
        </w:rPr>
        <w:t>工程效益及投资。</w:t>
      </w:r>
      <w:r>
        <w:rPr>
          <w:iCs/>
        </w:rPr>
        <w:t>工程实施后，泰州水网防洪除涝、水资源调配、水生态保障等水平将显著提升，泰州全域可实现</w:t>
      </w:r>
      <w:r>
        <w:rPr>
          <w:rFonts w:hint="eastAsia"/>
        </w:rPr>
        <w:t>“河安湖晏、水清岸绿、鱼翔浅底、文昌人和”的美丽画面，工程总投资2</w:t>
      </w:r>
      <w:r>
        <w:t>6.75亿元。</w:t>
      </w:r>
    </w:p>
    <w:p w14:paraId="30B1AFA9">
      <w:pPr>
        <w:pStyle w:val="3"/>
        <w:spacing w:before="163"/>
      </w:pPr>
      <w:bookmarkStart w:id="298" w:name="_Toc181109875"/>
      <w:r>
        <w:rPr>
          <w:rFonts w:hint="eastAsia"/>
        </w:rPr>
        <w:t>标志性成果</w:t>
      </w:r>
      <w:bookmarkEnd w:id="298"/>
    </w:p>
    <w:p w14:paraId="01DB588C">
      <w:pPr>
        <w:pStyle w:val="4"/>
      </w:pPr>
      <w:r>
        <w:rPr>
          <w:rFonts w:hint="eastAsia"/>
        </w:rPr>
        <w:t>打造平原水网地区全域幸福河湖建设典范</w:t>
      </w:r>
    </w:p>
    <w:p w14:paraId="29984B50">
      <w:pPr>
        <w:ind w:firstLine="480"/>
      </w:pPr>
      <w:r>
        <w:rPr>
          <w:rFonts w:hint="eastAsia"/>
        </w:rPr>
        <w:t>泰州市围绕“河安湖晏、水清岸绿、鱼翔浅底、文昌人和”的要求，</w:t>
      </w:r>
      <w:r>
        <w:t>全域推进</w:t>
      </w:r>
      <w:r>
        <w:rPr>
          <w:rFonts w:hint="eastAsia"/>
        </w:rPr>
        <w:t>幸福</w:t>
      </w:r>
      <w:r>
        <w:t>河湖建设</w:t>
      </w:r>
      <w:r>
        <w:rPr>
          <w:rFonts w:hint="eastAsia"/>
        </w:rPr>
        <w:t>。一是坚持综合施策，扎实推进建设任务。创建省部级幸福河湖</w:t>
      </w:r>
      <w:r>
        <w:t>50</w:t>
      </w:r>
      <w:r>
        <w:rPr>
          <w:rFonts w:hint="eastAsia"/>
        </w:rPr>
        <w:t>条以上。二是聚焦“河安湖晏”，守牢河湖安全底线。不断完善城市水利体系，畅通农村河道干支流微循环，科学调度水闸泵站，推动河湖调蓄功能和区域引排能力整体提升。三是聚焦“水清岸绿”，深化河湖环境整治。保持全市39个国、省考断面水质优Ⅲ比例均为100%，实现市、县两级河湖基本实现岸线绿化全覆盖。四是聚焦“鱼翔浅底”，推进河湖生态修复。实施湖泊湖荡</w:t>
      </w:r>
      <w:r>
        <w:t>生态</w:t>
      </w:r>
      <w:r>
        <w:rPr>
          <w:rFonts w:hint="eastAsia"/>
        </w:rPr>
        <w:t>修复、退圩（渔）还湖（湿）工程，形成自由水面</w:t>
      </w:r>
      <w:r>
        <w:t>1</w:t>
      </w:r>
      <w:r>
        <w:rPr>
          <w:rFonts w:hint="eastAsia"/>
        </w:rPr>
        <w:t>万亩以上；实施农村生态河道治理。五是聚焦“文昌人和”，深挖河湖特色底蕴。积极宣传水城水乡文化，建设主题公园，打造集宣传、教育、休闲、游乐于一体的综合性载体，成为塑造水景观、传播水文化、宣传水治理的重要阵地。</w:t>
      </w:r>
    </w:p>
    <w:p w14:paraId="3C26E833">
      <w:pPr>
        <w:pStyle w:val="4"/>
      </w:pPr>
      <w:r>
        <w:rPr>
          <w:rFonts w:hint="eastAsia"/>
        </w:rPr>
        <w:t>打造灌区现代化改造和特色管理模式样板</w:t>
      </w:r>
    </w:p>
    <w:p w14:paraId="492A6EA4">
      <w:pPr>
        <w:ind w:firstLine="480"/>
        <w:rPr>
          <w:rFonts w:cs="Times New Roman"/>
        </w:rPr>
      </w:pPr>
      <w:r>
        <w:rPr>
          <w:rFonts w:hint="eastAsia" w:cs="Times New Roman"/>
        </w:rPr>
        <w:t>近年来，姜堰区以深化农业水价综合改革为抓手，探索形成“四主”工作格局、“四精”改革措施、“四融”系统治理的“姜堰模式”，推进灌区现代化建设，赋能现代化农业高质量发展。“姜堰模式”从根本上破解了平原水网丰水地区的多项改革难题，既有里下河圩区改革经验，又有通南高沙土片的改革成果，既有固定泵站，又有流动机船，形式多样、内容全面，可操作、可复制。</w:t>
      </w:r>
    </w:p>
    <w:p w14:paraId="37281B65">
      <w:pPr>
        <w:ind w:firstLine="480"/>
      </w:pPr>
      <w:r>
        <w:rPr>
          <w:rFonts w:hint="eastAsia"/>
        </w:rPr>
        <w:t>根据灌区实际和现代化建设要求，加快全市中型灌区提升改造，全面推广“姜堰模式”，开展灌区水系连通，疏浚拓宽引排水河道，增加渠系辐射范围，做好灌区节水配套改造建设，提高农田灌溉水有效利用系数，按灌区标准化管理要求和标准，提升改造灌区管理用房和管护道路，划定管护范围。</w:t>
      </w:r>
    </w:p>
    <w:p w14:paraId="335EA950">
      <w:pPr>
        <w:pStyle w:val="4"/>
      </w:pPr>
      <w:r>
        <w:rPr>
          <w:rFonts w:hint="eastAsia"/>
        </w:rPr>
        <w:t>打造平原河网智慧水利样板工程</w:t>
      </w:r>
    </w:p>
    <w:p w14:paraId="6A862D55">
      <w:pPr>
        <w:ind w:firstLine="480"/>
        <w:rPr>
          <w:shd w:val="clear" w:color="auto" w:fill="FFFFFF"/>
        </w:rPr>
      </w:pPr>
      <w:r>
        <w:rPr>
          <w:rFonts w:hint="eastAsia"/>
          <w:shd w:val="clear" w:color="auto" w:fill="FFFFFF"/>
        </w:rPr>
        <w:t>泰州市基于通南区域骨干水网特点，坚持问题导向，以“四预”为目标，开展九龙片智慧水网建设及应用示范、海陵东南片区智慧水网、通南地区水文水动力模型及多任务联合调度研究等，实现临江河网地区供排水智慧调度。姜堰区根据平原河网灌区水系纵横交错，河道水流平缓，农田灌溉用水粗放，排水量大，用水效率低特点，基于“四个一”的总体架构，即“监测监控一</w:t>
      </w:r>
      <w:r>
        <w:rPr>
          <w:rFonts w:hint="eastAsia"/>
        </w:rPr>
        <w:t>网覆盖、信息资讯一屏尽览、多元监管一体呈现、调度指挥一室多用”来搭建灌区智慧平台，并</w:t>
      </w:r>
      <w:r>
        <w:rPr>
          <w:rFonts w:hint="eastAsia"/>
          <w:shd w:val="clear" w:color="auto" w:fill="FFFFFF"/>
        </w:rPr>
        <w:t>入选水利部农业水价综合改革典型案例。</w:t>
      </w:r>
    </w:p>
    <w:p w14:paraId="100F46C6">
      <w:pPr>
        <w:ind w:firstLine="480"/>
        <w:rPr>
          <w:shd w:val="clear" w:color="auto" w:fill="FFFFFF"/>
        </w:rPr>
      </w:pPr>
      <w:r>
        <w:rPr>
          <w:shd w:val="clear" w:color="auto" w:fill="FFFFFF"/>
        </w:rPr>
        <w:t>基于上述</w:t>
      </w:r>
      <w:r>
        <w:rPr>
          <w:rFonts w:hint="eastAsia"/>
          <w:shd w:val="clear" w:color="auto" w:fill="FFFFFF"/>
        </w:rPr>
        <w:t>工作</w:t>
      </w:r>
      <w:r>
        <w:rPr>
          <w:shd w:val="clear" w:color="auto" w:fill="FFFFFF"/>
        </w:rPr>
        <w:t>，在实践中推广应用，并通过建立</w:t>
      </w:r>
      <w:r>
        <w:rPr>
          <w:rFonts w:hint="eastAsia"/>
          <w:shd w:val="clear" w:color="auto" w:fill="FFFFFF"/>
        </w:rPr>
        <w:t>泰州</w:t>
      </w:r>
      <w:r>
        <w:rPr>
          <w:shd w:val="clear" w:color="auto" w:fill="FFFFFF"/>
        </w:rPr>
        <w:t>水系水位、流量、水质等水情监测系统，泵站、闸门等水利设施自动控制系统、河湖闸站供排水智慧</w:t>
      </w:r>
      <w:r>
        <w:rPr>
          <w:rFonts w:hint="eastAsia"/>
          <w:shd w:val="clear" w:color="auto" w:fill="FFFFFF"/>
        </w:rPr>
        <w:t>调度</w:t>
      </w:r>
      <w:r>
        <w:rPr>
          <w:shd w:val="clear" w:color="auto" w:fill="FFFFFF"/>
        </w:rPr>
        <w:t>系统，并在此基础上实现智能化业务管理系统智慧</w:t>
      </w:r>
      <w:r>
        <w:rPr>
          <w:rFonts w:hint="eastAsia"/>
          <w:shd w:val="clear" w:color="auto" w:fill="FFFFFF"/>
        </w:rPr>
        <w:t>水利</w:t>
      </w:r>
      <w:r>
        <w:rPr>
          <w:shd w:val="clear" w:color="auto" w:fill="FFFFFF"/>
        </w:rPr>
        <w:t>信息化系统集信息采集、物联网、云计算、大数据分析、业务管理为一体。</w:t>
      </w:r>
    </w:p>
    <w:p w14:paraId="07819D0E">
      <w:pPr>
        <w:pStyle w:val="4"/>
      </w:pPr>
      <w:r>
        <w:rPr>
          <w:rFonts w:hint="eastAsia"/>
        </w:rPr>
        <w:t>打造长三角一体化协同治水标杆</w:t>
      </w:r>
    </w:p>
    <w:p w14:paraId="73759D23">
      <w:pPr>
        <w:ind w:firstLine="480"/>
      </w:pPr>
      <w:r>
        <w:t>统筹推进跨界河湖协同共治，共同开展工作模式和创新机制研究，</w:t>
      </w:r>
      <w:r>
        <w:rPr>
          <w:rFonts w:hint="eastAsia"/>
        </w:rPr>
        <w:t>打破“楚河汉界”的地域壁垒，</w:t>
      </w:r>
      <w:r>
        <w:t>构建跨市边界河湖联合河湖长制工作机制，统筹协调跨界河湖上下游、左右岸、干支流的管理保护。建立交界河道联防联控机制，共同构建起责任明确、协调有序、监管严格、保护有力的跨区域河湖治理格局，</w:t>
      </w:r>
      <w:r>
        <w:rPr>
          <w:rFonts w:hint="eastAsia"/>
        </w:rPr>
        <w:t>走出一条“联合管护、联合监督、联合执法、联合治理”的新路径。</w:t>
      </w:r>
    </w:p>
    <w:p w14:paraId="5C90ED85">
      <w:pPr>
        <w:pStyle w:val="4"/>
      </w:pPr>
      <w:r>
        <w:rPr>
          <w:rFonts w:hint="eastAsia"/>
        </w:rPr>
        <w:t>打造千垛之城特色水乡文化</w:t>
      </w:r>
    </w:p>
    <w:p w14:paraId="68BF28AE">
      <w:pPr>
        <w:ind w:firstLine="480"/>
      </w:pPr>
      <w:r>
        <w:rPr>
          <w:rFonts w:hint="eastAsia"/>
        </w:rPr>
        <w:t>兴化市位于里下河腹部地区的东南部，地势低洼，先民们在湖荡沼泽间积土成丘，垒土为垛，以垛为田，发展出一种独特的土地利用方式，因圪垛形如小岛，称为“垛田”。2013年，兴化垛田成为首批“中国重要农业文化遗产”；2014年，被列入“全球重要农业文化遗产”，是江苏唯一入选项目；2019年，入选全国重点文物保护单位名录；2022年，“兴化垛田灌排工程体系”入选世界灌溉工程遗产。兴化垛田灌排工程体系是国内外唯一、里下河腹地独有的、分布在兴化湖荡区的高地旱田灌排工程体系，在灌溉与排水工程史上有重要的地位和独特的代表性。兴化市依托湖泊湖荡生态修复、骨干河道生态廊道建设、农村生态河道整治、幸福河湖建设等，传承发扬兴化</w:t>
      </w:r>
      <w:r>
        <w:rPr>
          <w:rStyle w:val="35"/>
          <w:rFonts w:hint="eastAsia"/>
        </w:rPr>
        <w:t>千垛之城</w:t>
      </w:r>
      <w:r>
        <w:rPr>
          <w:rFonts w:hint="eastAsia"/>
        </w:rPr>
        <w:t>特色水乡文化。</w:t>
      </w:r>
    </w:p>
    <w:p w14:paraId="174A74EC">
      <w:pPr>
        <w:pStyle w:val="2"/>
      </w:pPr>
      <w:bookmarkStart w:id="299" w:name="_Toc181109876"/>
      <w:r>
        <w:rPr>
          <w:rFonts w:hint="eastAsia"/>
        </w:rPr>
        <w:t>环境影响评价</w:t>
      </w:r>
      <w:bookmarkEnd w:id="299"/>
    </w:p>
    <w:p w14:paraId="20041709">
      <w:pPr>
        <w:pStyle w:val="3"/>
        <w:spacing w:before="163"/>
      </w:pPr>
      <w:bookmarkStart w:id="300" w:name="_Toc181109877"/>
      <w:r>
        <w:rPr>
          <w:rFonts w:hint="eastAsia"/>
        </w:rPr>
        <w:t>环境保护目标及环境影响识别</w:t>
      </w:r>
      <w:bookmarkEnd w:id="300"/>
    </w:p>
    <w:p w14:paraId="3FD3E34E">
      <w:pPr>
        <w:pStyle w:val="4"/>
      </w:pPr>
      <w:r>
        <w:rPr>
          <w:rFonts w:hint="eastAsia"/>
        </w:rPr>
        <w:t>环境保护目标</w:t>
      </w:r>
    </w:p>
    <w:p w14:paraId="27988FB5">
      <w:pPr>
        <w:ind w:firstLine="480"/>
        <w:rPr>
          <w:rFonts w:cs="Times New Roman"/>
        </w:rPr>
      </w:pPr>
      <w:r>
        <w:rPr>
          <w:rFonts w:hint="eastAsia" w:cs="Times New Roman"/>
        </w:rPr>
        <w:t>严守生态保护红线，资源利用上限与环境质量底线，保护和改善区域水环境，主要河湖水环境质量明显提升，城市建成区黑臭水体总体消除。维护森林、河流、湖泊湖荡和湿地生态系统质量和稳定性，保护生物多样性和环境敏感区，修复与改善主要河湖水生态系统。全面节约和高效利用水资源，严格管控区域用水总量，保障主要河流生态水位、重要湖泊湖荡和湿地生态水量。到</w:t>
      </w:r>
      <w:r>
        <w:rPr>
          <w:rFonts w:cs="Times New Roman"/>
        </w:rPr>
        <w:t>2035</w:t>
      </w:r>
      <w:r>
        <w:rPr>
          <w:rFonts w:hint="eastAsia" w:cs="Times New Roman"/>
        </w:rPr>
        <w:t>年，水功能区水质达标率</w:t>
      </w:r>
      <w:r>
        <w:rPr>
          <w:rFonts w:cs="Times New Roman"/>
        </w:rPr>
        <w:t>95%</w:t>
      </w:r>
      <w:r>
        <w:rPr>
          <w:rFonts w:hint="eastAsia" w:cs="Times New Roman"/>
        </w:rPr>
        <w:t>以上，重点河湖水质优良（达到或优于Ⅲ类）比例总体达</w:t>
      </w:r>
      <w:r>
        <w:rPr>
          <w:rFonts w:cs="Times New Roman"/>
        </w:rPr>
        <w:t>93%</w:t>
      </w:r>
      <w:r>
        <w:rPr>
          <w:rFonts w:hint="eastAsia" w:cs="Times New Roman"/>
        </w:rPr>
        <w:t>以上，集中式饮用水水源地水质持续稳定在达标水平。</w:t>
      </w:r>
    </w:p>
    <w:p w14:paraId="30A126ED">
      <w:pPr>
        <w:pStyle w:val="4"/>
      </w:pPr>
      <w:r>
        <w:rPr>
          <w:rFonts w:hint="eastAsia"/>
        </w:rPr>
        <w:t>环境制约因素识别</w:t>
      </w:r>
    </w:p>
    <w:p w14:paraId="5BDC2091">
      <w:pPr>
        <w:ind w:firstLine="480"/>
      </w:pPr>
      <w:r>
        <w:rPr>
          <w:rFonts w:hint="eastAsia"/>
        </w:rPr>
        <w:t>规划部分河道、堤防、湖荡等工程建设距离长江水源涵养生态保护区、溱湖国家湿地、江苏兴化里下河国家湿地、大纵湖重要湿地、泰州市三水厂饮用水水源保护区、卤汀河饮用水水源保护区等环境敏感区较近。项目实施阶段需结合自然保护地体系调整与生态保护红线管控规定，结合《江苏省国家级生态保护红线规划》《江苏省生态空间管控区域规划》《江苏省地表水（环境）功能区划》等要求，进一步复核环境敏感制约因素，分析与区域生态环境分区管控要求的相符性，加强工程方案论证与优化比选。</w:t>
      </w:r>
    </w:p>
    <w:p w14:paraId="79C26E34">
      <w:pPr>
        <w:pStyle w:val="3"/>
        <w:spacing w:before="163"/>
      </w:pPr>
      <w:bookmarkStart w:id="301" w:name="_Toc181109878"/>
      <w:r>
        <w:rPr>
          <w:rFonts w:hint="eastAsia"/>
        </w:rPr>
        <w:t>规划协调性分析</w:t>
      </w:r>
      <w:bookmarkEnd w:id="301"/>
    </w:p>
    <w:p w14:paraId="17DD4DEF">
      <w:pPr>
        <w:ind w:firstLine="480"/>
        <w:rPr>
          <w:rFonts w:cs="Times New Roman"/>
        </w:rPr>
      </w:pPr>
      <w:r>
        <w:rPr>
          <w:rFonts w:hint="eastAsia" w:cs="Times New Roman"/>
        </w:rPr>
        <w:t>规划在“多规合一”的引领下，坚持生态优先、绿色发展，以实</w:t>
      </w:r>
      <w:r>
        <w:rPr>
          <w:rFonts w:hint="eastAsia"/>
        </w:rPr>
        <w:t>现水资源空间均衡、强化河湖生态保护为前提，充分结合经济发展规划要求、国土空间规划总体布局、流域、区域水利规划总体布局等，对泰州市防洪治涝体系、水资源优化配置体系等进行进一步补充完善，符合国家生态文明建设战略和“节水优先、空间均衡、系统治理、两手发力”治水思路。</w:t>
      </w:r>
    </w:p>
    <w:p w14:paraId="06FF9DC6">
      <w:pPr>
        <w:ind w:firstLine="480"/>
        <w:rPr>
          <w:rFonts w:cs="Times New Roman"/>
        </w:rPr>
      </w:pPr>
      <w:r>
        <w:rPr>
          <w:rFonts w:hint="eastAsia" w:cs="Times New Roman"/>
        </w:rPr>
        <w:t>规划原则、布局、规模等与《长江经济带发展规划纲要》《泰州市国民经济和社会发展第十四个五年规划和二</w:t>
      </w:r>
      <w:r>
        <w:rPr>
          <w:rFonts w:cs="Times New Roman" w:asciiTheme="minorEastAsia" w:hAnsiTheme="minorEastAsia" w:eastAsiaTheme="minorEastAsia"/>
        </w:rPr>
        <w:t>〇</w:t>
      </w:r>
      <w:r>
        <w:rPr>
          <w:rFonts w:hint="eastAsia" w:cs="Times New Roman"/>
        </w:rPr>
        <w:t>三五年远景目标纲要》《泰州市国土空间规划》《国家水网建设规划纲要》《长江流域防洪规划》《淮河流域防洪规划》《江苏省区域水利治理规划》等相关规划的总体要求相符合。规划明确了水生态保护红线、水环境质量底线和水资源利用上限，突出生态空间管控，与最严格水资源管理制度、水污染防治行动计划和水生态文明建设要求基本符合。</w:t>
      </w:r>
    </w:p>
    <w:p w14:paraId="2E2EB0EF">
      <w:pPr>
        <w:pStyle w:val="3"/>
        <w:spacing w:before="163"/>
      </w:pPr>
      <w:bookmarkStart w:id="302" w:name="_Toc181109879"/>
      <w:r>
        <w:rPr>
          <w:rFonts w:hint="eastAsia"/>
        </w:rPr>
        <w:t>环境影响预测与评价</w:t>
      </w:r>
      <w:bookmarkEnd w:id="302"/>
    </w:p>
    <w:p w14:paraId="06D20470">
      <w:pPr>
        <w:pStyle w:val="4"/>
      </w:pPr>
      <w:r>
        <w:rPr>
          <w:rFonts w:hint="eastAsia"/>
        </w:rPr>
        <w:t>总体评价</w:t>
      </w:r>
    </w:p>
    <w:p w14:paraId="32E6C5C2">
      <w:pPr>
        <w:ind w:firstLine="480"/>
        <w:rPr>
          <w:rFonts w:cs="Times New Roman"/>
        </w:rPr>
      </w:pPr>
      <w:r>
        <w:rPr>
          <w:rFonts w:hint="eastAsia" w:cs="Times New Roman"/>
        </w:rPr>
        <w:t>规划实施后，可有效提高洪涝灾害防御能力、水资源高效配置能力以及水生态环境保护能力等，保障经济社会高质量发展。规划对环境的有利影响主要体现在以下方面：一是防洪排涝工程，可提升流域、区域和城市防洪排涝标准，减少洪涝灾害带来的环境风险；二是水资源配置工程，可提高城乡供水保障，有效保护饮用水水源地；三是清水活水工程，可促进河道污泥清理，改善河湖水环境；四是水系连通工程，可增强河湖连通性，促进水体有序流动，提升水环境容量；五是</w:t>
      </w:r>
      <w:r>
        <w:t>生态</w:t>
      </w:r>
      <w:r>
        <w:rPr>
          <w:rFonts w:hint="eastAsia"/>
        </w:rPr>
        <w:t>修复、退圩（渔）还湖（湿）</w:t>
      </w:r>
      <w:r>
        <w:rPr>
          <w:rFonts w:hint="eastAsia" w:cs="Times New Roman"/>
        </w:rPr>
        <w:t>工程，可恢复湖泊自由水面，改善湖泊生态环境；六是水土保持工程，可防治水土流失，保护水土资源。</w:t>
      </w:r>
    </w:p>
    <w:p w14:paraId="528768D7">
      <w:pPr>
        <w:pStyle w:val="4"/>
      </w:pPr>
      <w:r>
        <w:rPr>
          <w:rFonts w:hint="eastAsia"/>
        </w:rPr>
        <w:t>水文水资源影响分析</w:t>
      </w:r>
    </w:p>
    <w:p w14:paraId="7579D160">
      <w:pPr>
        <w:ind w:firstLine="480"/>
        <w:rPr>
          <w:rFonts w:cs="Times New Roman"/>
        </w:rPr>
      </w:pPr>
      <w:r>
        <w:rPr>
          <w:rFonts w:hint="eastAsia" w:cs="Times New Roman"/>
        </w:rPr>
        <w:t>江水东引工程、大中型灌区节水配套改造工程等，增加了区域水资源可利用量和可供水量，提高了区域的水资源利用率，全市地表水资源开发利用率总体符合水资源利用上限目标要求。</w:t>
      </w:r>
    </w:p>
    <w:p w14:paraId="1AAB64A6">
      <w:pPr>
        <w:ind w:firstLine="480"/>
        <w:rPr>
          <w:rFonts w:cs="Times New Roman"/>
        </w:rPr>
      </w:pPr>
      <w:r>
        <w:rPr>
          <w:rFonts w:hint="eastAsia" w:cs="Times New Roman"/>
        </w:rPr>
        <w:t>规划明确了通扬运河、泰东河等生态水位保证目标，通过加强水资源优化调度、严格取用水监控、实施生态补水，优先保障河湖生态水位（流量），改善了区域水生态环境质量。</w:t>
      </w:r>
    </w:p>
    <w:p w14:paraId="3025C449">
      <w:pPr>
        <w:pStyle w:val="4"/>
      </w:pPr>
      <w:r>
        <w:rPr>
          <w:rFonts w:hint="eastAsia"/>
        </w:rPr>
        <w:t>水环境影响分析</w:t>
      </w:r>
    </w:p>
    <w:p w14:paraId="50167F39">
      <w:pPr>
        <w:ind w:firstLine="480"/>
        <w:rPr>
          <w:rFonts w:cs="Times New Roman"/>
        </w:rPr>
      </w:pPr>
      <w:r>
        <w:rPr>
          <w:rFonts w:hint="eastAsia" w:cs="Times New Roman"/>
        </w:rPr>
        <w:t>规划通过实施河湖水系连通及生态补水，增加河网水动力条件，加强城镇内河湖水环境治理，实施农村水系连通及水美乡村工程建设，开展生态湿地建设及景观提升等，改善了主要河湖的水质状况。灌区工程建设可能带来农业退水污染风险，通过实施农业节水灌溉、加强农业面源污染治理，可减缓灌溉回归水对区域水环境的影响。规划坚持污染治理和生态扩容“两手发力”，协同推进河湖水环境综合治理，主要河流及控制断面基本满足水质目标。</w:t>
      </w:r>
    </w:p>
    <w:p w14:paraId="3491D943">
      <w:pPr>
        <w:pStyle w:val="4"/>
      </w:pPr>
      <w:r>
        <w:rPr>
          <w:rFonts w:hint="eastAsia"/>
        </w:rPr>
        <w:t>陆生生态影响分析</w:t>
      </w:r>
    </w:p>
    <w:p w14:paraId="58E0F9F7">
      <w:pPr>
        <w:ind w:firstLine="480"/>
        <w:rPr>
          <w:rFonts w:cs="Times New Roman"/>
        </w:rPr>
      </w:pPr>
      <w:r>
        <w:rPr>
          <w:rFonts w:hint="eastAsia" w:cs="Times New Roman"/>
        </w:rPr>
        <w:t>规划以提升生态系统质量和稳定性为目标，坚持山水林田湖草沙海湿地系统治理，推动形成“一主一带、两源三片”的幸福泰州和“一带、两源、四片、四廊”的市域生态安全格局。通过加强水源涵养保护和水土保持生态建设，严格生态空间管控。规划所涉及的河道堤防工程、滞涝圩工程、城市防洪排涝工程、中小河流治理工程等基本是对原有堤防加固、在原有河道上疏浚、对穿堤建筑物维修加固等，基本不会破坏生态系统连通性和完整性，工程实施后多数占地恢复植被，这些工程建设不会对区域生态系统的稳定性产生明显不利影响。</w:t>
      </w:r>
    </w:p>
    <w:p w14:paraId="27FFDB51">
      <w:pPr>
        <w:pStyle w:val="4"/>
      </w:pPr>
      <w:r>
        <w:rPr>
          <w:rFonts w:hint="eastAsia"/>
        </w:rPr>
        <w:t>水生生态影响分析</w:t>
      </w:r>
    </w:p>
    <w:p w14:paraId="69FC5ED1">
      <w:pPr>
        <w:ind w:firstLine="480"/>
        <w:rPr>
          <w:rFonts w:cs="Times New Roman"/>
        </w:rPr>
      </w:pPr>
      <w:r>
        <w:rPr>
          <w:rFonts w:hint="eastAsia" w:cs="Times New Roman"/>
        </w:rPr>
        <w:t>规划对水资源进行配置时，考虑河湖的生态需水量，保证了河湖水生态系统稳定性，避免了由于区域缺水导致的部分河段断流、湖荡干枯现象的发生。泰州境内通过河湖沟通、闸站调度，实现里下河区、高沙土片、沿江圩区水系互联互通，这些河湖闸站的建设降低了区域水生态系统的稳定性，会对上下游洄游鱼类及水生态系统有一定影响。</w:t>
      </w:r>
    </w:p>
    <w:p w14:paraId="0D0ABB8F">
      <w:pPr>
        <w:ind w:firstLine="480"/>
        <w:rPr>
          <w:rFonts w:cs="Times New Roman"/>
        </w:rPr>
      </w:pPr>
      <w:r>
        <w:rPr>
          <w:rFonts w:hint="eastAsia" w:cs="Times New Roman"/>
        </w:rPr>
        <w:t>工程实施后，通过强化生态用水调度，保证生态流量（水位），将在一定程度上减缓上述不利影响，同时规划重点对全市主要河湖推进绿色生态廊道建设，加强河湖水环境治理，推动河湖</w:t>
      </w:r>
      <w:r>
        <w:t>生态</w:t>
      </w:r>
      <w:r>
        <w:rPr>
          <w:rFonts w:hint="eastAsia"/>
        </w:rPr>
        <w:t>清淤、退圩（渔）还湖（湿）</w:t>
      </w:r>
      <w:r>
        <w:rPr>
          <w:rFonts w:hint="eastAsia" w:cs="Times New Roman"/>
        </w:rPr>
        <w:t>，实施鱼类增殖放流和栖息地保护，对改善河湖生态功能具有重要作用。</w:t>
      </w:r>
    </w:p>
    <w:p w14:paraId="58A75327">
      <w:pPr>
        <w:pStyle w:val="4"/>
      </w:pPr>
      <w:r>
        <w:rPr>
          <w:rFonts w:hint="eastAsia"/>
        </w:rPr>
        <w:t>河口生态影响分析</w:t>
      </w:r>
    </w:p>
    <w:p w14:paraId="04D324ED">
      <w:pPr>
        <w:ind w:firstLine="480"/>
        <w:rPr>
          <w:rFonts w:cs="Times New Roman"/>
        </w:rPr>
      </w:pPr>
      <w:r>
        <w:rPr>
          <w:rFonts w:hint="eastAsia" w:cs="Times New Roman"/>
        </w:rPr>
        <w:t>规划通过加强生态水量配置和调度管理、推进十圩港等入江河流综合治理和重要河口湿地修复等，可维护和提升河口湿地生态系统质量和稳定性。部分江堤工程可能涉及河口湿地自然保护区及生态保护红线范围，通过推进生态堤防建设、开展湿地保护和修复等，可减缓对河口湿地生态影响。</w:t>
      </w:r>
    </w:p>
    <w:p w14:paraId="1D43616D">
      <w:pPr>
        <w:pStyle w:val="3"/>
        <w:spacing w:before="163"/>
      </w:pPr>
      <w:bookmarkStart w:id="303" w:name="_Toc181109880"/>
      <w:r>
        <w:rPr>
          <w:rFonts w:hint="eastAsia"/>
        </w:rPr>
        <w:t>水资源配置和水网布局环境影响分析</w:t>
      </w:r>
      <w:bookmarkEnd w:id="303"/>
    </w:p>
    <w:p w14:paraId="1BFD85BE">
      <w:pPr>
        <w:pStyle w:val="4"/>
      </w:pPr>
      <w:r>
        <w:rPr>
          <w:rFonts w:hint="eastAsia"/>
        </w:rPr>
        <w:t>水资源配置环境影响分析</w:t>
      </w:r>
    </w:p>
    <w:p w14:paraId="4E9261A5">
      <w:pPr>
        <w:ind w:firstLine="480"/>
        <w:rPr>
          <w:rFonts w:cs="Times New Roman"/>
        </w:rPr>
      </w:pPr>
      <w:r>
        <w:rPr>
          <w:rFonts w:hint="eastAsia" w:cs="Times New Roman"/>
        </w:rPr>
        <w:t>规划实施后，万元地区生产总值用水量从现状的</w:t>
      </w:r>
      <w:r>
        <w:rPr>
          <w:rFonts w:cs="Times New Roman"/>
        </w:rPr>
        <w:t>44m</w:t>
      </w:r>
      <w:r>
        <w:t>³</w:t>
      </w:r>
      <w:r>
        <w:rPr>
          <w:rFonts w:hint="eastAsia" w:cs="Times New Roman"/>
        </w:rPr>
        <w:t>降低到</w:t>
      </w:r>
      <w:r>
        <w:rPr>
          <w:rFonts w:cs="Times New Roman"/>
        </w:rPr>
        <w:t>40m</w:t>
      </w:r>
      <w:r>
        <w:t>³</w:t>
      </w:r>
      <w:r>
        <w:rPr>
          <w:rFonts w:hint="eastAsia" w:cs="Times New Roman"/>
        </w:rPr>
        <w:t>，农田灌溉水有效利用系数由现状的</w:t>
      </w:r>
      <w:r>
        <w:rPr>
          <w:rFonts w:cs="Times New Roman"/>
        </w:rPr>
        <w:t>0.636</w:t>
      </w:r>
      <w:r>
        <w:rPr>
          <w:rFonts w:hint="eastAsia" w:cs="Times New Roman"/>
        </w:rPr>
        <w:t>提高到</w:t>
      </w:r>
      <w:r>
        <w:rPr>
          <w:rFonts w:cs="Times New Roman"/>
        </w:rPr>
        <w:t>0.65</w:t>
      </w:r>
      <w:r>
        <w:rPr>
          <w:rFonts w:hint="eastAsia" w:cs="Times New Roman"/>
        </w:rPr>
        <w:t>，城镇供水管网漏损率由现状的</w:t>
      </w:r>
      <w:r>
        <w:rPr>
          <w:rFonts w:cs="Times New Roman"/>
        </w:rPr>
        <w:t>9.2%</w:t>
      </w:r>
      <w:r>
        <w:rPr>
          <w:rFonts w:hint="eastAsia" w:cs="Times New Roman"/>
        </w:rPr>
        <w:t>降低到</w:t>
      </w:r>
      <w:r>
        <w:rPr>
          <w:rFonts w:cs="Times New Roman"/>
        </w:rPr>
        <w:t>5.0%</w:t>
      </w:r>
      <w:r>
        <w:rPr>
          <w:rFonts w:hint="eastAsia" w:cs="Times New Roman"/>
        </w:rPr>
        <w:t>以内，规划水资源配置方案总体符合最严格水资源管理“三条红线”管控要求。规划实施后，在全省用水总量控制情况下，适当开源、外流域调水和节约用水等措施，增强了区域水资源承载能力，并按照经济社会和生态环境协调发展的原则合理配置生活、生产和生态用水，全市多年平均缺水率由基准年的</w:t>
      </w:r>
      <w:r>
        <w:rPr>
          <w:rFonts w:cs="Times New Roman"/>
        </w:rPr>
        <w:t>8%</w:t>
      </w:r>
      <w:r>
        <w:rPr>
          <w:rFonts w:hint="eastAsia" w:cs="Times New Roman"/>
        </w:rPr>
        <w:t>降至</w:t>
      </w:r>
      <w:r>
        <w:rPr>
          <w:rFonts w:cs="Times New Roman"/>
        </w:rPr>
        <w:t>1.6%</w:t>
      </w:r>
      <w:r>
        <w:rPr>
          <w:rFonts w:hint="eastAsia" w:cs="Times New Roman"/>
        </w:rPr>
        <w:t>，国民经济各行业用水需求得到基本保障，维持了区域水资源可持续利用。</w:t>
      </w:r>
    </w:p>
    <w:p w14:paraId="3833A371">
      <w:pPr>
        <w:ind w:firstLine="480"/>
        <w:rPr>
          <w:rFonts w:cs="Times New Roman"/>
        </w:rPr>
      </w:pPr>
      <w:r>
        <w:rPr>
          <w:rFonts w:hint="eastAsia" w:cs="Times New Roman"/>
        </w:rPr>
        <w:t>规划通过江水东引完善工程、通南地区引排能力提升工程等重大水资源配置工程的实施，结合江河流域水量调度、用水总量控制和重点河湖生态水位（流量）保障方案的实施，可有效落实水利部关于全国重点河湖生态水位（流量）保证目标以及江苏省重点河湖主要控制断面生态水位（流量）目标，与《长江经济带发展规划纲要》《淮河生态经济带发展规划》等相关战略要求总体符合。</w:t>
      </w:r>
    </w:p>
    <w:p w14:paraId="405219F6">
      <w:pPr>
        <w:pStyle w:val="4"/>
      </w:pPr>
      <w:r>
        <w:rPr>
          <w:rFonts w:hint="eastAsia"/>
        </w:rPr>
        <w:t>水网布局环境影响分析</w:t>
      </w:r>
    </w:p>
    <w:p w14:paraId="31AA4C22">
      <w:pPr>
        <w:ind w:firstLine="480"/>
        <w:rPr>
          <w:rFonts w:cs="Times New Roman"/>
        </w:rPr>
      </w:pPr>
      <w:r>
        <w:rPr>
          <w:rFonts w:hint="eastAsia" w:cs="Times New Roman"/>
        </w:rPr>
        <w:t>规划通过筑牢防洪治涝安全屏障、强化水资源支撑与保障等补网、强链措施，构建完善“</w:t>
      </w:r>
      <w:r>
        <w:rPr>
          <w:rStyle w:val="35"/>
          <w:rFonts w:hint="eastAsia" w:cs="Times New Roman"/>
        </w:rPr>
        <w:t>一江三纵五横举纲、两区百河张目、湖荡闸站系结</w:t>
      </w:r>
      <w:r>
        <w:rPr>
          <w:rFonts w:hint="eastAsia" w:cs="Times New Roman"/>
        </w:rPr>
        <w:t>”的市级水网总体布局，规划措施不涉及重大环境敏感区。由于本阶段规划工程建设的影响范围尚不明确，建议单项工程项目环评阶段重点论证工程选址、选线与环境敏感区的区位关系及其环境影响，尽可能避让生态保护红线与环境敏感区。对规划工程可能无法避让涉及的环境敏感区、生态保护红线等，尽可能通过优化工程布局、调整施工组织设计方案和采取环境保护措施等，减少或者减缓工程建设对各类环境敏感区的不利影响。</w:t>
      </w:r>
    </w:p>
    <w:p w14:paraId="12810F94">
      <w:pPr>
        <w:pStyle w:val="3"/>
        <w:spacing w:before="163"/>
      </w:pPr>
      <w:bookmarkStart w:id="304" w:name="_Toc181109881"/>
      <w:r>
        <w:rPr>
          <w:rFonts w:hint="eastAsia"/>
        </w:rPr>
        <w:t>环境影响减缓对策和措施</w:t>
      </w:r>
      <w:bookmarkEnd w:id="304"/>
    </w:p>
    <w:p w14:paraId="09F247AB">
      <w:pPr>
        <w:ind w:firstLine="480"/>
      </w:pPr>
      <w:r>
        <w:rPr>
          <w:rFonts w:hint="eastAsia"/>
        </w:rPr>
        <w:t>遵循“先节水后调水、先治污后通水、先环保后用水”的原则，加强水资源优化调度与管理，制定重大水资源配置工程的调度方案，确保主要河湖生态流量（水位）要求，持续推进地下水污染防治与修复，全面落实以下几方面以减缓环境影响。</w:t>
      </w:r>
    </w:p>
    <w:p w14:paraId="12EDF1C0">
      <w:pPr>
        <w:ind w:firstLine="480"/>
        <w:rPr>
          <w:rFonts w:cs="Times New Roman"/>
        </w:rPr>
      </w:pPr>
      <w:r>
        <w:rPr>
          <w:rFonts w:hint="eastAsia"/>
        </w:rPr>
        <w:t>一是严格执行《中华人民共和国环境保护法》等法律法规，落实建设项目环境影响评价制度和各类环保措施，严格执行“三同时”制度。</w:t>
      </w:r>
      <w:r>
        <w:rPr>
          <w:rFonts w:hint="eastAsia" w:cs="Times New Roman"/>
        </w:rPr>
        <w:t>二是落实生态空间管控要求，规划工程选址选线应当严格符合《江苏省生态空间管控区域规划》《泰州市国土空间总体规划（2</w:t>
      </w:r>
      <w:r>
        <w:rPr>
          <w:rFonts w:cs="Times New Roman"/>
        </w:rPr>
        <w:t>021—2035年</w:t>
      </w:r>
      <w:r>
        <w:rPr>
          <w:rFonts w:hint="eastAsia" w:cs="Times New Roman"/>
        </w:rPr>
        <w:t>）》等生态空间管控要求。三是全面推进规划中的各类水生态修复和保护措施，充分发挥工程对生态环境的促进和改善作用。四是建立健全生态监测和评估体系，加大对工程可能影响重要生态敏感区的监测与保护，加强规划实施的环境风险评价和管理。</w:t>
      </w:r>
    </w:p>
    <w:p w14:paraId="15867730">
      <w:pPr>
        <w:pStyle w:val="3"/>
        <w:spacing w:before="163"/>
      </w:pPr>
      <w:bookmarkStart w:id="305" w:name="_Toc181109882"/>
      <w:r>
        <w:rPr>
          <w:rFonts w:hint="eastAsia"/>
        </w:rPr>
        <w:t>环境影响评价结论</w:t>
      </w:r>
      <w:bookmarkEnd w:id="305"/>
    </w:p>
    <w:p w14:paraId="46540E34">
      <w:pPr>
        <w:ind w:firstLine="480"/>
        <w:rPr>
          <w:rFonts w:cs="Times New Roman"/>
        </w:rPr>
      </w:pPr>
      <w:r>
        <w:rPr>
          <w:rFonts w:hint="eastAsia" w:cs="Times New Roman"/>
        </w:rPr>
        <w:t>评价认为，规划立足泰州资源禀赋条件，统筹协调了主要河湖生态保护与开发治理的需求，完善了全市防洪排涝体系、供水保障体系、水生态修复和保护体系等，有效保障了全市防洪排涝安全，促进水资源节约集约利用，改善水生态环境质量，维护了生态安全，为美丽泰州夯实了水利基础。</w:t>
      </w:r>
    </w:p>
    <w:p w14:paraId="43C9D63A">
      <w:pPr>
        <w:ind w:firstLine="480"/>
        <w:rPr>
          <w:rFonts w:cs="Times New Roman"/>
        </w:rPr>
      </w:pPr>
      <w:r>
        <w:rPr>
          <w:rFonts w:hint="eastAsia" w:cs="Times New Roman"/>
        </w:rPr>
        <w:t>规划实施带来的不利环境影响都是短期的、暂时的，通过严格落实相关生态环保措施，全面实施规划生态修复和保护工程，不利环境影响均可得到有效控制。因此，本规划对环境的有利影响是主要的，不利影响不足以影响规划实施，且不存在制约性环境问题，规划从生态环境保护角度是可行的。</w:t>
      </w:r>
    </w:p>
    <w:p w14:paraId="1938F63B">
      <w:pPr>
        <w:pStyle w:val="2"/>
      </w:pPr>
      <w:bookmarkStart w:id="306" w:name="_Toc181109883"/>
      <w:r>
        <w:rPr>
          <w:rFonts w:hint="eastAsia"/>
        </w:rPr>
        <w:t>实施安排及效果</w:t>
      </w:r>
      <w:bookmarkEnd w:id="306"/>
    </w:p>
    <w:p w14:paraId="634A35C1">
      <w:pPr>
        <w:pStyle w:val="3"/>
        <w:spacing w:before="163"/>
      </w:pPr>
      <w:bookmarkStart w:id="307" w:name="_Toc181109884"/>
      <w:r>
        <w:rPr>
          <w:rFonts w:hint="eastAsia"/>
        </w:rPr>
        <w:t>实施原则</w:t>
      </w:r>
      <w:bookmarkEnd w:id="307"/>
    </w:p>
    <w:p w14:paraId="349CCBBD">
      <w:pPr>
        <w:ind w:firstLine="480"/>
        <w:rPr>
          <w:rFonts w:cs="Times New Roman"/>
        </w:rPr>
      </w:pPr>
      <w:r>
        <w:rPr>
          <w:rStyle w:val="35"/>
          <w:rFonts w:hint="eastAsia"/>
        </w:rPr>
        <w:t>突出重点、分期实施。</w:t>
      </w:r>
      <w:r>
        <w:rPr>
          <w:rFonts w:hint="eastAsia" w:cs="Times New Roman"/>
        </w:rPr>
        <w:t>统筹谋划泰州现代水网顶层设计，加强与国家水网重大工程、江苏省现代水网重大工程相衔接，突出重点，分期推进，优先实施影响范围大、受益面广、综合效益明显的项目，加大水利基础设施建设力度，助力经济稳大盘、促增长。</w:t>
      </w:r>
    </w:p>
    <w:p w14:paraId="6A6F3C67">
      <w:pPr>
        <w:ind w:firstLine="480"/>
        <w:rPr>
          <w:rFonts w:cs="Times New Roman"/>
        </w:rPr>
      </w:pPr>
      <w:r>
        <w:rPr>
          <w:rStyle w:val="35"/>
          <w:rFonts w:hint="eastAsia"/>
        </w:rPr>
        <w:t>因地制宜、综合治理。</w:t>
      </w:r>
      <w:r>
        <w:rPr>
          <w:rFonts w:hint="eastAsia" w:cs="Times New Roman"/>
        </w:rPr>
        <w:t>在规划实施过程中，坚持从现状实际出发，针对沿线城镇发展、岸线利用、周围环境条件和景观生态要求，因地制宜开展水网综合整治，促进现代水网人与自然的和谐。</w:t>
      </w:r>
    </w:p>
    <w:p w14:paraId="4214CD01">
      <w:pPr>
        <w:ind w:firstLine="480"/>
        <w:rPr>
          <w:rFonts w:cs="Times New Roman"/>
        </w:rPr>
      </w:pPr>
      <w:r>
        <w:rPr>
          <w:rStyle w:val="35"/>
          <w:rFonts w:hint="eastAsia"/>
        </w:rPr>
        <w:t>划分事权、分级负责。</w:t>
      </w:r>
      <w:r>
        <w:rPr>
          <w:rFonts w:hint="eastAsia" w:cs="Times New Roman"/>
        </w:rPr>
        <w:t>按照各级政府事权划分原则和有关管理权限规定，明确现代水网规划工程建设和管理的责任分工，在国家、省级的指导下，负责实施区域骨干工程、跨县工程等重要市级水网工程建设，其余工程由所在市（区）具体负责建设和管理。</w:t>
      </w:r>
    </w:p>
    <w:p w14:paraId="55BFD7DE">
      <w:pPr>
        <w:ind w:firstLine="480"/>
        <w:rPr>
          <w:rFonts w:cs="Times New Roman"/>
        </w:rPr>
      </w:pPr>
      <w:r>
        <w:rPr>
          <w:rStyle w:val="35"/>
          <w:rFonts w:hint="eastAsia"/>
        </w:rPr>
        <w:t>统筹配置，量力而行。</w:t>
      </w:r>
      <w:r>
        <w:rPr>
          <w:rFonts w:hint="eastAsia" w:cs="Times New Roman"/>
        </w:rPr>
        <w:t>围绕规划确定的发展目标和任务，充分考虑经济社会发展状况和各级政府财力，合理规划好近远期实施安排，加强各年度任务资金平衡和项目均衡，安排好大、中、小型水网建设项目的合理配比，统筹协调推进各类项目安排和实施。</w:t>
      </w:r>
    </w:p>
    <w:p w14:paraId="7D1DFF76">
      <w:pPr>
        <w:pStyle w:val="3"/>
        <w:spacing w:before="163"/>
      </w:pPr>
      <w:bookmarkStart w:id="308" w:name="_Toc181109885"/>
      <w:r>
        <w:rPr>
          <w:rFonts w:hint="eastAsia"/>
        </w:rPr>
        <w:t>实施安排</w:t>
      </w:r>
      <w:bookmarkEnd w:id="308"/>
    </w:p>
    <w:p w14:paraId="796EDFDD">
      <w:pPr>
        <w:ind w:firstLine="480"/>
        <w:rPr>
          <w:rFonts w:cs="Times New Roman"/>
        </w:rPr>
      </w:pPr>
      <w:r>
        <w:rPr>
          <w:rFonts w:hint="eastAsia" w:cs="Times New Roman"/>
        </w:rPr>
        <w:t>按照“突出重点、综合治理、分级负责、量力而行”的原则，统筹投资需求与可能，轻重缓急，科学合理安排水网骨干工程建设时序。</w:t>
      </w:r>
      <w:r>
        <w:rPr>
          <w:rFonts w:cs="Times New Roman"/>
        </w:rPr>
        <w:t>近期实施</w:t>
      </w:r>
      <w:r>
        <w:rPr>
          <w:rFonts w:hint="eastAsia" w:cs="Times New Roman"/>
        </w:rPr>
        <w:t>长江扬中河段二期</w:t>
      </w:r>
      <w:r>
        <w:rPr>
          <w:rFonts w:hint="eastAsia" w:cs="Times New Roman" w:asciiTheme="minorEastAsia" w:hAnsiTheme="minorEastAsia" w:eastAsiaTheme="minorEastAsia"/>
        </w:rPr>
        <w:t>（应急治理）</w:t>
      </w:r>
      <w:r>
        <w:rPr>
          <w:rFonts w:hint="eastAsia" w:cs="Times New Roman"/>
        </w:rPr>
        <w:t>工程、通南地区引排能力提升工程、雄港－雌港等中小河流整治工程等，持续实施幸福河湖建设工程，实施大纵湖、洋汊荡等</w:t>
      </w:r>
      <w:r>
        <w:t>生态</w:t>
      </w:r>
      <w:r>
        <w:rPr>
          <w:rFonts w:hint="eastAsia"/>
        </w:rPr>
        <w:t>修复、退圩（渔）还湖（湿）</w:t>
      </w:r>
      <w:r>
        <w:rPr>
          <w:rFonts w:hint="eastAsia" w:cs="Times New Roman"/>
        </w:rPr>
        <w:t>工程，开展大中型灌区续建配套及节水改造。</w:t>
      </w:r>
    </w:p>
    <w:p w14:paraId="38CD7B92">
      <w:pPr>
        <w:pStyle w:val="3"/>
        <w:spacing w:before="163"/>
      </w:pPr>
      <w:bookmarkStart w:id="309" w:name="_Toc181109886"/>
      <w:r>
        <w:rPr>
          <w:rFonts w:hint="eastAsia"/>
        </w:rPr>
        <w:t>投资估算</w:t>
      </w:r>
      <w:bookmarkEnd w:id="309"/>
    </w:p>
    <w:p w14:paraId="3289062D">
      <w:pPr>
        <w:pStyle w:val="4"/>
      </w:pPr>
      <w:r>
        <w:rPr>
          <w:rFonts w:hint="eastAsia"/>
        </w:rPr>
        <w:t>工程投资</w:t>
      </w:r>
    </w:p>
    <w:p w14:paraId="37FFE76E">
      <w:pPr>
        <w:ind w:firstLine="480"/>
        <w:rPr>
          <w:rFonts w:cs="Times New Roman"/>
        </w:rPr>
      </w:pPr>
      <w:r>
        <w:rPr>
          <w:rFonts w:cs="Times New Roman"/>
        </w:rPr>
        <w:t>根据</w:t>
      </w:r>
      <w:r>
        <w:rPr>
          <w:rFonts w:hint="eastAsia" w:cs="Times New Roman"/>
        </w:rPr>
        <w:t>泰州</w:t>
      </w:r>
      <w:r>
        <w:rPr>
          <w:rFonts w:cs="Times New Roman"/>
        </w:rPr>
        <w:t>现代水网的目标与建设任务，建设项目的投资共分为防洪排涝工程、水资源优化配置工程、水生态治理与修复工程、</w:t>
      </w:r>
      <w:r>
        <w:rPr>
          <w:rFonts w:hint="eastAsia" w:cs="Times New Roman"/>
        </w:rPr>
        <w:t>水网智慧化工程</w:t>
      </w:r>
      <w:r>
        <w:rPr>
          <w:rFonts w:cs="Times New Roman"/>
        </w:rPr>
        <w:t>四大类</w:t>
      </w:r>
      <w:r>
        <w:rPr>
          <w:rFonts w:hint="eastAsia" w:cs="Times New Roman"/>
        </w:rPr>
        <w:t>。</w:t>
      </w:r>
      <w:r>
        <w:rPr>
          <w:rFonts w:cs="Times New Roman"/>
        </w:rPr>
        <w:t>经初步匡算，</w:t>
      </w:r>
      <w:r>
        <w:rPr>
          <w:rFonts w:hint="eastAsia" w:cs="Times New Roman"/>
        </w:rPr>
        <w:t>泰州现代</w:t>
      </w:r>
      <w:r>
        <w:rPr>
          <w:rFonts w:cs="Times New Roman"/>
        </w:rPr>
        <w:t>水网建设规划总投资测算为302.96亿元</w:t>
      </w:r>
      <w:r>
        <w:rPr>
          <w:rFonts w:hint="eastAsia" w:cs="Times New Roman"/>
        </w:rPr>
        <w:t>，</w:t>
      </w:r>
      <w:r>
        <w:rPr>
          <w:rFonts w:hint="eastAsia"/>
        </w:rPr>
        <w:t>防洪排涝工程、水资源配置和供水保障工程、水生态保护与修复工程、水网智慧化工程分别为</w:t>
      </w:r>
      <w:r>
        <w:t>132.6</w:t>
      </w:r>
      <w:r>
        <w:rPr>
          <w:rFonts w:hint="eastAsia"/>
        </w:rPr>
        <w:t>亿元、</w:t>
      </w:r>
      <w:r>
        <w:t>66.27</w:t>
      </w:r>
      <w:r>
        <w:rPr>
          <w:rFonts w:hint="eastAsia"/>
        </w:rPr>
        <w:t>亿元、</w:t>
      </w:r>
      <w:r>
        <w:t>95.49</w:t>
      </w:r>
      <w:r>
        <w:rPr>
          <w:rFonts w:hint="eastAsia"/>
        </w:rPr>
        <w:t>亿元、</w:t>
      </w:r>
      <w:r>
        <w:t>8.6</w:t>
      </w:r>
      <w:r>
        <w:rPr>
          <w:rFonts w:hint="eastAsia"/>
        </w:rPr>
        <w:t>亿元。202</w:t>
      </w:r>
      <w:r>
        <w:t>4</w:t>
      </w:r>
      <w:r>
        <w:rPr>
          <w:rFonts w:hint="eastAsia"/>
        </w:rPr>
        <w:t>～2025年投资</w:t>
      </w:r>
      <w:r>
        <w:t>37.51</w:t>
      </w:r>
      <w:r>
        <w:rPr>
          <w:rFonts w:hint="eastAsia"/>
        </w:rPr>
        <w:t>亿元、2026～2030年投资</w:t>
      </w:r>
      <w:r>
        <w:t>131.06</w:t>
      </w:r>
      <w:r>
        <w:rPr>
          <w:rFonts w:hint="eastAsia"/>
        </w:rPr>
        <w:t>亿元、2031～2035年投资</w:t>
      </w:r>
      <w:r>
        <w:t>134.39</w:t>
      </w:r>
      <w:r>
        <w:rPr>
          <w:rFonts w:hint="eastAsia"/>
        </w:rPr>
        <w:t>亿元，详见表1</w:t>
      </w:r>
      <w:r>
        <w:t>0.3-1。</w:t>
      </w:r>
    </w:p>
    <w:p w14:paraId="75B5F3B0">
      <w:pPr>
        <w:pStyle w:val="64"/>
      </w:pPr>
      <w:r>
        <w:rPr>
          <w:rFonts w:hint="eastAsia"/>
        </w:rPr>
        <w:t>表</w:t>
      </w:r>
      <w:r>
        <w:t>10.3-1</w:t>
      </w:r>
      <w:r>
        <w:rPr>
          <w:rFonts w:hint="eastAsia"/>
        </w:rPr>
        <w:t>泰州市现代水网建设（2</w:t>
      </w:r>
      <w:r>
        <w:t>024—2035年</w:t>
      </w:r>
      <w:r>
        <w:rPr>
          <w:rFonts w:hint="eastAsia"/>
        </w:rPr>
        <w:t>）投资估算表</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3"/>
        <w:gridCol w:w="4023"/>
        <w:gridCol w:w="2142"/>
        <w:gridCol w:w="1864"/>
      </w:tblGrid>
      <w:tr w14:paraId="10F49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trPr>
        <w:tc>
          <w:tcPr>
            <w:tcW w:w="580" w:type="pct"/>
            <w:shd w:val="clear" w:color="auto" w:fill="auto"/>
            <w:noWrap/>
            <w:vAlign w:val="center"/>
          </w:tcPr>
          <w:p w14:paraId="0C507996">
            <w:pPr>
              <w:pStyle w:val="57"/>
              <w:jc w:val="center"/>
              <w:rPr>
                <w:rFonts w:ascii="Times New Roman" w:cs="Times New Roman"/>
                <w:b/>
              </w:rPr>
            </w:pPr>
            <w:r>
              <w:rPr>
                <w:rFonts w:ascii="Times New Roman" w:cs="Times New Roman"/>
                <w:b/>
              </w:rPr>
              <w:t>序号</w:t>
            </w:r>
          </w:p>
        </w:tc>
        <w:tc>
          <w:tcPr>
            <w:tcW w:w="2215" w:type="pct"/>
            <w:shd w:val="clear" w:color="auto" w:fill="auto"/>
            <w:noWrap/>
            <w:vAlign w:val="center"/>
          </w:tcPr>
          <w:p w14:paraId="01139B4A">
            <w:pPr>
              <w:pStyle w:val="57"/>
              <w:jc w:val="center"/>
              <w:rPr>
                <w:rFonts w:ascii="Times New Roman" w:cs="Times New Roman"/>
                <w:b/>
              </w:rPr>
            </w:pPr>
            <w:r>
              <w:rPr>
                <w:rFonts w:ascii="Times New Roman" w:cs="Times New Roman"/>
                <w:b/>
              </w:rPr>
              <w:t>项目</w:t>
            </w:r>
          </w:p>
        </w:tc>
        <w:tc>
          <w:tcPr>
            <w:tcW w:w="1179" w:type="pct"/>
            <w:shd w:val="clear" w:color="auto" w:fill="auto"/>
            <w:noWrap/>
            <w:vAlign w:val="center"/>
          </w:tcPr>
          <w:p w14:paraId="338C1DF9">
            <w:pPr>
              <w:pStyle w:val="57"/>
              <w:jc w:val="center"/>
              <w:rPr>
                <w:rFonts w:ascii="Times New Roman" w:cs="Times New Roman"/>
                <w:b/>
              </w:rPr>
            </w:pPr>
            <w:r>
              <w:rPr>
                <w:rFonts w:ascii="Times New Roman" w:cs="Times New Roman"/>
                <w:b/>
              </w:rPr>
              <w:t>总投资（亿元）</w:t>
            </w:r>
          </w:p>
        </w:tc>
        <w:tc>
          <w:tcPr>
            <w:tcW w:w="1026" w:type="pct"/>
            <w:vAlign w:val="center"/>
          </w:tcPr>
          <w:p w14:paraId="398FACDB">
            <w:pPr>
              <w:pStyle w:val="57"/>
              <w:jc w:val="center"/>
              <w:rPr>
                <w:rFonts w:ascii="Times New Roman" w:cs="Times New Roman"/>
                <w:b/>
              </w:rPr>
            </w:pPr>
            <w:r>
              <w:rPr>
                <w:rFonts w:ascii="Times New Roman" w:cs="Times New Roman"/>
                <w:b/>
              </w:rPr>
              <w:t>备注</w:t>
            </w:r>
          </w:p>
        </w:tc>
      </w:tr>
      <w:tr w14:paraId="3A098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80" w:type="pct"/>
            <w:shd w:val="clear" w:color="auto" w:fill="auto"/>
            <w:noWrap/>
            <w:vAlign w:val="center"/>
          </w:tcPr>
          <w:p w14:paraId="4AD029DD">
            <w:pPr>
              <w:pStyle w:val="57"/>
              <w:rPr>
                <w:rFonts w:ascii="Times New Roman" w:cs="Times New Roman"/>
              </w:rPr>
            </w:pPr>
            <w:r>
              <w:rPr>
                <w:rFonts w:ascii="Times New Roman" w:cs="Times New Roman"/>
              </w:rPr>
              <w:t>合计</w:t>
            </w:r>
          </w:p>
        </w:tc>
        <w:tc>
          <w:tcPr>
            <w:tcW w:w="2215" w:type="pct"/>
            <w:shd w:val="clear" w:color="auto" w:fill="auto"/>
            <w:noWrap/>
            <w:vAlign w:val="center"/>
          </w:tcPr>
          <w:p w14:paraId="37F89AA2">
            <w:pPr>
              <w:pStyle w:val="57"/>
              <w:rPr>
                <w:rFonts w:ascii="Times New Roman" w:cs="Times New Roman"/>
              </w:rPr>
            </w:pPr>
          </w:p>
        </w:tc>
        <w:tc>
          <w:tcPr>
            <w:tcW w:w="1179" w:type="pct"/>
            <w:shd w:val="clear" w:color="auto" w:fill="auto"/>
            <w:noWrap/>
            <w:vAlign w:val="center"/>
          </w:tcPr>
          <w:p w14:paraId="6443AD74">
            <w:pPr>
              <w:pStyle w:val="57"/>
              <w:jc w:val="right"/>
              <w:rPr>
                <w:rFonts w:ascii="Times New Roman" w:eastAsia="宋体" w:cs="Times New Roman"/>
              </w:rPr>
            </w:pPr>
            <w:r>
              <w:rPr>
                <w:rFonts w:ascii="Times New Roman" w:eastAsia="宋体" w:cs="Times New Roman"/>
              </w:rPr>
              <w:t>302.96</w:t>
            </w:r>
          </w:p>
        </w:tc>
        <w:tc>
          <w:tcPr>
            <w:tcW w:w="1026" w:type="pct"/>
          </w:tcPr>
          <w:p w14:paraId="3825084B">
            <w:pPr>
              <w:pStyle w:val="57"/>
              <w:rPr>
                <w:rFonts w:ascii="Times New Roman" w:cs="Times New Roman"/>
              </w:rPr>
            </w:pPr>
          </w:p>
        </w:tc>
      </w:tr>
      <w:tr w14:paraId="0BA0A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80" w:type="pct"/>
            <w:shd w:val="clear" w:color="auto" w:fill="auto"/>
            <w:noWrap/>
            <w:vAlign w:val="center"/>
          </w:tcPr>
          <w:p w14:paraId="7CE33943">
            <w:pPr>
              <w:pStyle w:val="57"/>
              <w:rPr>
                <w:rFonts w:ascii="Times New Roman" w:cs="Times New Roman"/>
                <w:b/>
              </w:rPr>
            </w:pPr>
            <w:r>
              <w:rPr>
                <w:rFonts w:ascii="Times New Roman" w:cs="Times New Roman"/>
                <w:b/>
              </w:rPr>
              <w:t>一</w:t>
            </w:r>
          </w:p>
        </w:tc>
        <w:tc>
          <w:tcPr>
            <w:tcW w:w="2215" w:type="pct"/>
            <w:shd w:val="clear" w:color="auto" w:fill="auto"/>
            <w:noWrap/>
            <w:vAlign w:val="center"/>
          </w:tcPr>
          <w:p w14:paraId="1A4F1162">
            <w:pPr>
              <w:pStyle w:val="57"/>
              <w:rPr>
                <w:rFonts w:ascii="Times New Roman" w:cs="Times New Roman"/>
                <w:b/>
              </w:rPr>
            </w:pPr>
            <w:r>
              <w:rPr>
                <w:rFonts w:ascii="Times New Roman" w:cs="Times New Roman"/>
                <w:b/>
              </w:rPr>
              <w:t>防洪排涝工程</w:t>
            </w:r>
          </w:p>
        </w:tc>
        <w:tc>
          <w:tcPr>
            <w:tcW w:w="1179" w:type="pct"/>
            <w:shd w:val="clear" w:color="auto" w:fill="auto"/>
            <w:noWrap/>
            <w:vAlign w:val="center"/>
          </w:tcPr>
          <w:p w14:paraId="63CE1414">
            <w:pPr>
              <w:pStyle w:val="57"/>
              <w:jc w:val="right"/>
              <w:rPr>
                <w:rFonts w:ascii="Times New Roman" w:eastAsia="宋体" w:cs="Times New Roman"/>
                <w:b/>
              </w:rPr>
            </w:pPr>
            <w:r>
              <w:rPr>
                <w:rFonts w:ascii="Times New Roman" w:eastAsia="宋体" w:cs="Times New Roman"/>
                <w:b/>
                <w:sz w:val="22"/>
                <w:szCs w:val="22"/>
              </w:rPr>
              <w:t>132.6</w:t>
            </w:r>
          </w:p>
        </w:tc>
        <w:tc>
          <w:tcPr>
            <w:tcW w:w="1026" w:type="pct"/>
          </w:tcPr>
          <w:p w14:paraId="48E65404">
            <w:pPr>
              <w:pStyle w:val="57"/>
              <w:rPr>
                <w:rFonts w:ascii="Times New Roman" w:cs="Times New Roman"/>
                <w:b/>
              </w:rPr>
            </w:pPr>
          </w:p>
        </w:tc>
      </w:tr>
      <w:tr w14:paraId="23E5A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80" w:type="pct"/>
            <w:shd w:val="clear" w:color="auto" w:fill="auto"/>
            <w:noWrap/>
            <w:vAlign w:val="center"/>
          </w:tcPr>
          <w:p w14:paraId="3D6B41DA">
            <w:pPr>
              <w:pStyle w:val="57"/>
              <w:rPr>
                <w:rFonts w:ascii="Times New Roman" w:cs="Times New Roman"/>
              </w:rPr>
            </w:pPr>
            <w:r>
              <w:rPr>
                <w:rFonts w:ascii="Times New Roman" w:cs="Times New Roman"/>
              </w:rPr>
              <w:t>（一）</w:t>
            </w:r>
          </w:p>
        </w:tc>
        <w:tc>
          <w:tcPr>
            <w:tcW w:w="2215" w:type="pct"/>
            <w:shd w:val="clear" w:color="auto" w:fill="auto"/>
            <w:noWrap/>
            <w:vAlign w:val="center"/>
          </w:tcPr>
          <w:p w14:paraId="383B8E0F">
            <w:pPr>
              <w:pStyle w:val="57"/>
              <w:rPr>
                <w:rFonts w:ascii="Times New Roman" w:cs="Times New Roman"/>
              </w:rPr>
            </w:pPr>
            <w:r>
              <w:rPr>
                <w:rFonts w:ascii="Times New Roman" w:cs="Times New Roman"/>
              </w:rPr>
              <w:t>流域性防洪能力提升工程</w:t>
            </w:r>
          </w:p>
        </w:tc>
        <w:tc>
          <w:tcPr>
            <w:tcW w:w="1179" w:type="pct"/>
            <w:shd w:val="clear" w:color="auto" w:fill="auto"/>
            <w:noWrap/>
            <w:vAlign w:val="center"/>
          </w:tcPr>
          <w:p w14:paraId="13CF7B4B">
            <w:pPr>
              <w:pStyle w:val="57"/>
              <w:jc w:val="right"/>
              <w:rPr>
                <w:rFonts w:ascii="Times New Roman" w:eastAsia="宋体" w:cs="Times New Roman"/>
              </w:rPr>
            </w:pPr>
            <w:r>
              <w:rPr>
                <w:rFonts w:ascii="Times New Roman" w:eastAsia="宋体" w:cs="Times New Roman"/>
                <w:sz w:val="22"/>
                <w:szCs w:val="22"/>
              </w:rPr>
              <w:t>29.00</w:t>
            </w:r>
          </w:p>
        </w:tc>
        <w:tc>
          <w:tcPr>
            <w:tcW w:w="1026" w:type="pct"/>
          </w:tcPr>
          <w:p w14:paraId="2CCB8E0F">
            <w:pPr>
              <w:pStyle w:val="57"/>
              <w:rPr>
                <w:rFonts w:ascii="Times New Roman" w:cs="Times New Roman"/>
              </w:rPr>
            </w:pPr>
          </w:p>
        </w:tc>
      </w:tr>
      <w:tr w14:paraId="5568D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80" w:type="pct"/>
            <w:shd w:val="clear" w:color="auto" w:fill="auto"/>
            <w:noWrap/>
            <w:vAlign w:val="center"/>
          </w:tcPr>
          <w:p w14:paraId="3E44865E">
            <w:pPr>
              <w:pStyle w:val="57"/>
              <w:rPr>
                <w:rFonts w:ascii="Times New Roman" w:cs="Times New Roman"/>
              </w:rPr>
            </w:pPr>
            <w:r>
              <w:rPr>
                <w:rFonts w:ascii="Times New Roman" w:cs="Times New Roman"/>
              </w:rPr>
              <w:t>（二）</w:t>
            </w:r>
          </w:p>
        </w:tc>
        <w:tc>
          <w:tcPr>
            <w:tcW w:w="2215" w:type="pct"/>
            <w:shd w:val="clear" w:color="auto" w:fill="auto"/>
            <w:noWrap/>
            <w:vAlign w:val="center"/>
          </w:tcPr>
          <w:p w14:paraId="5D234E5D">
            <w:pPr>
              <w:pStyle w:val="57"/>
              <w:rPr>
                <w:rFonts w:ascii="Times New Roman" w:cs="Times New Roman"/>
              </w:rPr>
            </w:pPr>
            <w:r>
              <w:rPr>
                <w:rFonts w:ascii="Times New Roman" w:cs="Times New Roman"/>
              </w:rPr>
              <w:t>区域性防洪除涝能力提升工程</w:t>
            </w:r>
          </w:p>
        </w:tc>
        <w:tc>
          <w:tcPr>
            <w:tcW w:w="1179" w:type="pct"/>
            <w:shd w:val="clear" w:color="auto" w:fill="auto"/>
            <w:noWrap/>
            <w:vAlign w:val="center"/>
          </w:tcPr>
          <w:p w14:paraId="75A37D94">
            <w:pPr>
              <w:pStyle w:val="57"/>
              <w:jc w:val="right"/>
              <w:rPr>
                <w:rFonts w:ascii="Times New Roman" w:eastAsia="宋体" w:cs="Times New Roman"/>
              </w:rPr>
            </w:pPr>
            <w:r>
              <w:rPr>
                <w:rFonts w:ascii="Times New Roman" w:eastAsia="宋体" w:cs="Times New Roman"/>
                <w:sz w:val="22"/>
                <w:szCs w:val="22"/>
              </w:rPr>
              <w:t>95.79</w:t>
            </w:r>
          </w:p>
        </w:tc>
        <w:tc>
          <w:tcPr>
            <w:tcW w:w="1026" w:type="pct"/>
          </w:tcPr>
          <w:p w14:paraId="35E34C21">
            <w:pPr>
              <w:pStyle w:val="57"/>
              <w:rPr>
                <w:rFonts w:ascii="Times New Roman" w:cs="Times New Roman"/>
              </w:rPr>
            </w:pPr>
          </w:p>
        </w:tc>
      </w:tr>
      <w:tr w14:paraId="38511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80" w:type="pct"/>
            <w:shd w:val="clear" w:color="auto" w:fill="auto"/>
            <w:noWrap/>
            <w:vAlign w:val="center"/>
          </w:tcPr>
          <w:p w14:paraId="278A622D">
            <w:pPr>
              <w:pStyle w:val="57"/>
              <w:rPr>
                <w:rFonts w:ascii="Times New Roman" w:cs="Times New Roman"/>
              </w:rPr>
            </w:pPr>
            <w:r>
              <w:rPr>
                <w:rFonts w:ascii="Times New Roman" w:cs="Times New Roman"/>
              </w:rPr>
              <w:t>（三）</w:t>
            </w:r>
          </w:p>
        </w:tc>
        <w:tc>
          <w:tcPr>
            <w:tcW w:w="2215" w:type="pct"/>
            <w:shd w:val="clear" w:color="auto" w:fill="auto"/>
            <w:noWrap/>
            <w:vAlign w:val="center"/>
          </w:tcPr>
          <w:p w14:paraId="75EA75FB">
            <w:pPr>
              <w:pStyle w:val="57"/>
              <w:rPr>
                <w:rFonts w:ascii="Times New Roman" w:cs="Times New Roman"/>
              </w:rPr>
            </w:pPr>
            <w:r>
              <w:rPr>
                <w:rFonts w:ascii="Times New Roman" w:cs="Times New Roman"/>
              </w:rPr>
              <w:t>城市防洪排涝工程</w:t>
            </w:r>
          </w:p>
        </w:tc>
        <w:tc>
          <w:tcPr>
            <w:tcW w:w="1179" w:type="pct"/>
            <w:shd w:val="clear" w:color="auto" w:fill="auto"/>
            <w:noWrap/>
            <w:vAlign w:val="center"/>
          </w:tcPr>
          <w:p w14:paraId="1719A16F">
            <w:pPr>
              <w:pStyle w:val="57"/>
              <w:jc w:val="right"/>
              <w:rPr>
                <w:rFonts w:ascii="Times New Roman" w:eastAsia="宋体" w:cs="Times New Roman"/>
              </w:rPr>
            </w:pPr>
            <w:r>
              <w:rPr>
                <w:rFonts w:ascii="Times New Roman" w:eastAsia="宋体" w:cs="Times New Roman"/>
                <w:sz w:val="22"/>
                <w:szCs w:val="22"/>
              </w:rPr>
              <w:t>7.81</w:t>
            </w:r>
          </w:p>
        </w:tc>
        <w:tc>
          <w:tcPr>
            <w:tcW w:w="1026" w:type="pct"/>
          </w:tcPr>
          <w:p w14:paraId="78C21A95">
            <w:pPr>
              <w:pStyle w:val="57"/>
              <w:rPr>
                <w:rFonts w:ascii="Times New Roman" w:cs="Times New Roman"/>
              </w:rPr>
            </w:pPr>
          </w:p>
        </w:tc>
      </w:tr>
      <w:tr w14:paraId="3EF6C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80" w:type="pct"/>
            <w:shd w:val="clear" w:color="auto" w:fill="auto"/>
            <w:noWrap/>
            <w:vAlign w:val="center"/>
          </w:tcPr>
          <w:p w14:paraId="77EB7C48">
            <w:pPr>
              <w:pStyle w:val="57"/>
              <w:rPr>
                <w:rFonts w:ascii="Times New Roman" w:cs="Times New Roman"/>
                <w:b/>
              </w:rPr>
            </w:pPr>
            <w:r>
              <w:rPr>
                <w:rFonts w:ascii="Times New Roman" w:cs="Times New Roman"/>
                <w:b/>
              </w:rPr>
              <w:t>二</w:t>
            </w:r>
          </w:p>
        </w:tc>
        <w:tc>
          <w:tcPr>
            <w:tcW w:w="2215" w:type="pct"/>
            <w:shd w:val="clear" w:color="auto" w:fill="auto"/>
            <w:noWrap/>
            <w:vAlign w:val="center"/>
          </w:tcPr>
          <w:p w14:paraId="3F9E8143">
            <w:pPr>
              <w:pStyle w:val="57"/>
              <w:rPr>
                <w:rFonts w:ascii="Times New Roman" w:cs="Times New Roman"/>
                <w:b/>
              </w:rPr>
            </w:pPr>
            <w:r>
              <w:rPr>
                <w:rFonts w:ascii="Times New Roman" w:cs="Times New Roman"/>
                <w:b/>
              </w:rPr>
              <w:t>水资源配置和供水保障工程</w:t>
            </w:r>
          </w:p>
        </w:tc>
        <w:tc>
          <w:tcPr>
            <w:tcW w:w="1179" w:type="pct"/>
            <w:shd w:val="clear" w:color="auto" w:fill="auto"/>
            <w:noWrap/>
            <w:vAlign w:val="center"/>
          </w:tcPr>
          <w:p w14:paraId="600D009C">
            <w:pPr>
              <w:pStyle w:val="57"/>
              <w:jc w:val="right"/>
              <w:rPr>
                <w:rFonts w:ascii="Times New Roman" w:eastAsia="宋体" w:cs="Times New Roman"/>
                <w:b/>
              </w:rPr>
            </w:pPr>
            <w:r>
              <w:rPr>
                <w:rFonts w:ascii="Times New Roman" w:eastAsia="宋体" w:cs="Times New Roman"/>
                <w:b/>
                <w:sz w:val="22"/>
                <w:szCs w:val="22"/>
              </w:rPr>
              <w:t>66.27</w:t>
            </w:r>
          </w:p>
        </w:tc>
        <w:tc>
          <w:tcPr>
            <w:tcW w:w="1026" w:type="pct"/>
          </w:tcPr>
          <w:p w14:paraId="20CDF980">
            <w:pPr>
              <w:pStyle w:val="57"/>
              <w:rPr>
                <w:rFonts w:ascii="Times New Roman" w:cs="Times New Roman"/>
                <w:b/>
              </w:rPr>
            </w:pPr>
          </w:p>
        </w:tc>
      </w:tr>
      <w:tr w14:paraId="677BB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80" w:type="pct"/>
            <w:shd w:val="clear" w:color="auto" w:fill="auto"/>
            <w:noWrap/>
            <w:vAlign w:val="center"/>
          </w:tcPr>
          <w:p w14:paraId="1B0579D6">
            <w:pPr>
              <w:pStyle w:val="57"/>
              <w:rPr>
                <w:rFonts w:ascii="Times New Roman" w:cs="Times New Roman"/>
              </w:rPr>
            </w:pPr>
            <w:r>
              <w:rPr>
                <w:rFonts w:ascii="Times New Roman" w:cs="Times New Roman"/>
              </w:rPr>
              <w:t>（一）</w:t>
            </w:r>
          </w:p>
        </w:tc>
        <w:tc>
          <w:tcPr>
            <w:tcW w:w="2215" w:type="pct"/>
            <w:shd w:val="clear" w:color="auto" w:fill="auto"/>
            <w:noWrap/>
            <w:vAlign w:val="center"/>
          </w:tcPr>
          <w:p w14:paraId="4C10E694">
            <w:pPr>
              <w:pStyle w:val="57"/>
              <w:rPr>
                <w:rFonts w:ascii="Times New Roman" w:cs="Times New Roman"/>
              </w:rPr>
            </w:pPr>
            <w:r>
              <w:rPr>
                <w:rFonts w:ascii="Times New Roman" w:cs="Times New Roman"/>
              </w:rPr>
              <w:t>水资源配置工程</w:t>
            </w:r>
          </w:p>
        </w:tc>
        <w:tc>
          <w:tcPr>
            <w:tcW w:w="1179" w:type="pct"/>
            <w:shd w:val="clear" w:color="auto" w:fill="auto"/>
            <w:noWrap/>
            <w:vAlign w:val="center"/>
          </w:tcPr>
          <w:p w14:paraId="697463A8">
            <w:pPr>
              <w:pStyle w:val="57"/>
              <w:jc w:val="right"/>
              <w:rPr>
                <w:rFonts w:ascii="Times New Roman" w:eastAsia="宋体" w:cs="Times New Roman"/>
              </w:rPr>
            </w:pPr>
            <w:r>
              <w:rPr>
                <w:rFonts w:ascii="Times New Roman" w:eastAsia="宋体" w:cs="Times New Roman"/>
                <w:sz w:val="22"/>
                <w:szCs w:val="22"/>
              </w:rPr>
              <w:t>19.50</w:t>
            </w:r>
          </w:p>
        </w:tc>
        <w:tc>
          <w:tcPr>
            <w:tcW w:w="1026" w:type="pct"/>
          </w:tcPr>
          <w:p w14:paraId="388BF750">
            <w:pPr>
              <w:pStyle w:val="57"/>
              <w:rPr>
                <w:rFonts w:ascii="Times New Roman" w:cs="Times New Roman"/>
              </w:rPr>
            </w:pPr>
          </w:p>
        </w:tc>
      </w:tr>
      <w:tr w14:paraId="100FA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80" w:type="pct"/>
            <w:shd w:val="clear" w:color="auto" w:fill="auto"/>
            <w:noWrap/>
            <w:vAlign w:val="center"/>
          </w:tcPr>
          <w:p w14:paraId="3C65C4A1">
            <w:pPr>
              <w:pStyle w:val="57"/>
              <w:rPr>
                <w:rFonts w:ascii="Times New Roman" w:cs="Times New Roman"/>
              </w:rPr>
            </w:pPr>
            <w:r>
              <w:rPr>
                <w:rFonts w:ascii="Times New Roman" w:cs="Times New Roman"/>
              </w:rPr>
              <w:t>（二）</w:t>
            </w:r>
          </w:p>
        </w:tc>
        <w:tc>
          <w:tcPr>
            <w:tcW w:w="2215" w:type="pct"/>
            <w:shd w:val="clear" w:color="auto" w:fill="auto"/>
            <w:noWrap/>
            <w:vAlign w:val="center"/>
          </w:tcPr>
          <w:p w14:paraId="0669E670">
            <w:pPr>
              <w:pStyle w:val="57"/>
              <w:rPr>
                <w:rFonts w:ascii="Times New Roman" w:cs="Times New Roman"/>
              </w:rPr>
            </w:pPr>
            <w:r>
              <w:rPr>
                <w:rFonts w:ascii="Times New Roman" w:cs="Times New Roman"/>
              </w:rPr>
              <w:t>城乡供水提升工程</w:t>
            </w:r>
          </w:p>
        </w:tc>
        <w:tc>
          <w:tcPr>
            <w:tcW w:w="1179" w:type="pct"/>
            <w:shd w:val="clear" w:color="auto" w:fill="auto"/>
            <w:noWrap/>
            <w:vAlign w:val="center"/>
          </w:tcPr>
          <w:p w14:paraId="21E5AA09">
            <w:pPr>
              <w:pStyle w:val="57"/>
              <w:jc w:val="right"/>
              <w:rPr>
                <w:rFonts w:ascii="Times New Roman" w:eastAsia="宋体" w:cs="Times New Roman"/>
              </w:rPr>
            </w:pPr>
            <w:r>
              <w:rPr>
                <w:rFonts w:ascii="Times New Roman" w:eastAsia="宋体" w:cs="Times New Roman"/>
                <w:sz w:val="22"/>
                <w:szCs w:val="22"/>
              </w:rPr>
              <w:t>3.66</w:t>
            </w:r>
          </w:p>
        </w:tc>
        <w:tc>
          <w:tcPr>
            <w:tcW w:w="1026" w:type="pct"/>
          </w:tcPr>
          <w:p w14:paraId="67DF78D2">
            <w:pPr>
              <w:pStyle w:val="57"/>
              <w:rPr>
                <w:rFonts w:ascii="Times New Roman" w:cs="Times New Roman"/>
              </w:rPr>
            </w:pPr>
            <w:r>
              <w:rPr>
                <w:rFonts w:ascii="Times New Roman" w:cs="Times New Roman"/>
              </w:rPr>
              <w:t>市政部门为主</w:t>
            </w:r>
          </w:p>
        </w:tc>
      </w:tr>
      <w:tr w14:paraId="40CE3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80" w:type="pct"/>
            <w:shd w:val="clear" w:color="auto" w:fill="auto"/>
            <w:noWrap/>
            <w:vAlign w:val="center"/>
          </w:tcPr>
          <w:p w14:paraId="60FB4115">
            <w:pPr>
              <w:pStyle w:val="57"/>
              <w:rPr>
                <w:rFonts w:ascii="Times New Roman" w:cs="Times New Roman"/>
              </w:rPr>
            </w:pPr>
            <w:r>
              <w:rPr>
                <w:rFonts w:ascii="Times New Roman" w:cs="Times New Roman"/>
              </w:rPr>
              <w:t>（三）</w:t>
            </w:r>
          </w:p>
        </w:tc>
        <w:tc>
          <w:tcPr>
            <w:tcW w:w="2215" w:type="pct"/>
            <w:shd w:val="clear" w:color="auto" w:fill="auto"/>
            <w:noWrap/>
            <w:vAlign w:val="center"/>
          </w:tcPr>
          <w:p w14:paraId="62007AD5">
            <w:pPr>
              <w:pStyle w:val="57"/>
              <w:rPr>
                <w:rFonts w:ascii="Times New Roman" w:cs="Times New Roman"/>
              </w:rPr>
            </w:pPr>
            <w:r>
              <w:rPr>
                <w:rFonts w:ascii="Times New Roman" w:cs="Times New Roman"/>
              </w:rPr>
              <w:t>灌区续建配套与节水改造</w:t>
            </w:r>
          </w:p>
        </w:tc>
        <w:tc>
          <w:tcPr>
            <w:tcW w:w="1179" w:type="pct"/>
            <w:shd w:val="clear" w:color="auto" w:fill="auto"/>
            <w:noWrap/>
            <w:vAlign w:val="center"/>
          </w:tcPr>
          <w:p w14:paraId="089A3824">
            <w:pPr>
              <w:pStyle w:val="57"/>
              <w:jc w:val="right"/>
              <w:rPr>
                <w:rFonts w:ascii="Times New Roman" w:eastAsia="宋体" w:cs="Times New Roman"/>
              </w:rPr>
            </w:pPr>
            <w:r>
              <w:rPr>
                <w:rFonts w:ascii="Times New Roman" w:eastAsia="宋体" w:cs="Times New Roman"/>
                <w:sz w:val="22"/>
                <w:szCs w:val="22"/>
              </w:rPr>
              <w:t>20.41</w:t>
            </w:r>
          </w:p>
        </w:tc>
        <w:tc>
          <w:tcPr>
            <w:tcW w:w="1026" w:type="pct"/>
          </w:tcPr>
          <w:p w14:paraId="7EEC025A">
            <w:pPr>
              <w:pStyle w:val="57"/>
              <w:rPr>
                <w:rFonts w:ascii="Times New Roman" w:cs="Times New Roman"/>
              </w:rPr>
            </w:pPr>
          </w:p>
        </w:tc>
      </w:tr>
      <w:tr w14:paraId="1190A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trPr>
        <w:tc>
          <w:tcPr>
            <w:tcW w:w="580" w:type="pct"/>
            <w:shd w:val="clear" w:color="auto" w:fill="auto"/>
            <w:noWrap/>
            <w:vAlign w:val="center"/>
          </w:tcPr>
          <w:p w14:paraId="74DAB40F">
            <w:pPr>
              <w:pStyle w:val="57"/>
              <w:rPr>
                <w:rFonts w:ascii="Times New Roman" w:cs="Times New Roman"/>
              </w:rPr>
            </w:pPr>
            <w:r>
              <w:rPr>
                <w:rFonts w:ascii="Times New Roman" w:cs="Times New Roman"/>
              </w:rPr>
              <w:t>（四）</w:t>
            </w:r>
          </w:p>
        </w:tc>
        <w:tc>
          <w:tcPr>
            <w:tcW w:w="2215" w:type="pct"/>
            <w:shd w:val="clear" w:color="auto" w:fill="auto"/>
            <w:noWrap/>
            <w:vAlign w:val="center"/>
          </w:tcPr>
          <w:p w14:paraId="19E62938">
            <w:pPr>
              <w:pStyle w:val="57"/>
              <w:rPr>
                <w:rFonts w:ascii="Times New Roman" w:cs="Times New Roman"/>
              </w:rPr>
            </w:pPr>
            <w:r>
              <w:rPr>
                <w:rFonts w:ascii="Times New Roman" w:cs="Times New Roman"/>
              </w:rPr>
              <w:t>高标准农田改造</w:t>
            </w:r>
            <w:r>
              <w:rPr>
                <w:rFonts w:hint="eastAsia" w:ascii="Times New Roman" w:cs="Times New Roman"/>
              </w:rPr>
              <w:t>提升</w:t>
            </w:r>
            <w:r>
              <w:rPr>
                <w:rFonts w:ascii="Times New Roman" w:cs="Times New Roman"/>
              </w:rPr>
              <w:t>工程</w:t>
            </w:r>
          </w:p>
        </w:tc>
        <w:tc>
          <w:tcPr>
            <w:tcW w:w="1179" w:type="pct"/>
            <w:shd w:val="clear" w:color="auto" w:fill="auto"/>
            <w:noWrap/>
            <w:vAlign w:val="center"/>
          </w:tcPr>
          <w:p w14:paraId="6AB4C5FE">
            <w:pPr>
              <w:pStyle w:val="57"/>
              <w:jc w:val="right"/>
              <w:rPr>
                <w:rFonts w:ascii="Times New Roman" w:eastAsia="宋体" w:cs="Times New Roman"/>
              </w:rPr>
            </w:pPr>
            <w:r>
              <w:rPr>
                <w:rFonts w:ascii="Times New Roman" w:eastAsia="宋体" w:cs="Times New Roman"/>
                <w:sz w:val="22"/>
                <w:szCs w:val="22"/>
              </w:rPr>
              <w:t>22.70</w:t>
            </w:r>
          </w:p>
        </w:tc>
        <w:tc>
          <w:tcPr>
            <w:tcW w:w="1026" w:type="pct"/>
          </w:tcPr>
          <w:p w14:paraId="6388E4D9">
            <w:pPr>
              <w:pStyle w:val="57"/>
              <w:rPr>
                <w:rFonts w:ascii="Times New Roman" w:cs="Times New Roman"/>
              </w:rPr>
            </w:pPr>
            <w:r>
              <w:rPr>
                <w:rFonts w:ascii="Times New Roman" w:cs="Times New Roman"/>
              </w:rPr>
              <w:t>农业部门为主</w:t>
            </w:r>
          </w:p>
        </w:tc>
      </w:tr>
      <w:tr w14:paraId="405B1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80" w:type="pct"/>
            <w:shd w:val="clear" w:color="auto" w:fill="auto"/>
            <w:noWrap/>
            <w:vAlign w:val="center"/>
          </w:tcPr>
          <w:p w14:paraId="73CD9938">
            <w:pPr>
              <w:pStyle w:val="57"/>
              <w:rPr>
                <w:rFonts w:ascii="Times New Roman" w:cs="Times New Roman"/>
                <w:b/>
              </w:rPr>
            </w:pPr>
            <w:r>
              <w:rPr>
                <w:rFonts w:ascii="Times New Roman" w:cs="Times New Roman"/>
                <w:b/>
              </w:rPr>
              <w:t>三</w:t>
            </w:r>
          </w:p>
        </w:tc>
        <w:tc>
          <w:tcPr>
            <w:tcW w:w="2215" w:type="pct"/>
            <w:shd w:val="clear" w:color="auto" w:fill="auto"/>
            <w:noWrap/>
            <w:vAlign w:val="center"/>
          </w:tcPr>
          <w:p w14:paraId="1E522896">
            <w:pPr>
              <w:pStyle w:val="57"/>
              <w:rPr>
                <w:rFonts w:ascii="Times New Roman" w:cs="Times New Roman"/>
                <w:b/>
              </w:rPr>
            </w:pPr>
            <w:r>
              <w:rPr>
                <w:rFonts w:ascii="Times New Roman" w:cs="Times New Roman"/>
                <w:b/>
              </w:rPr>
              <w:t>水生态保护与修复工程</w:t>
            </w:r>
          </w:p>
        </w:tc>
        <w:tc>
          <w:tcPr>
            <w:tcW w:w="1179" w:type="pct"/>
            <w:shd w:val="clear" w:color="auto" w:fill="auto"/>
            <w:noWrap/>
            <w:vAlign w:val="center"/>
          </w:tcPr>
          <w:p w14:paraId="7C999269">
            <w:pPr>
              <w:pStyle w:val="57"/>
              <w:jc w:val="right"/>
              <w:rPr>
                <w:rFonts w:ascii="Times New Roman" w:eastAsia="宋体" w:cs="Times New Roman"/>
                <w:b/>
              </w:rPr>
            </w:pPr>
            <w:r>
              <w:rPr>
                <w:rFonts w:ascii="Times New Roman" w:eastAsia="宋体" w:cs="Times New Roman"/>
                <w:b/>
                <w:sz w:val="22"/>
                <w:szCs w:val="22"/>
              </w:rPr>
              <w:t>95.49</w:t>
            </w:r>
          </w:p>
        </w:tc>
        <w:tc>
          <w:tcPr>
            <w:tcW w:w="1026" w:type="pct"/>
          </w:tcPr>
          <w:p w14:paraId="01577827">
            <w:pPr>
              <w:pStyle w:val="57"/>
              <w:rPr>
                <w:rFonts w:ascii="Times New Roman" w:cs="Times New Roman"/>
                <w:b/>
              </w:rPr>
            </w:pPr>
          </w:p>
        </w:tc>
      </w:tr>
      <w:tr w14:paraId="291AD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80" w:type="pct"/>
            <w:shd w:val="clear" w:color="auto" w:fill="auto"/>
            <w:noWrap/>
            <w:vAlign w:val="center"/>
          </w:tcPr>
          <w:p w14:paraId="3F121487">
            <w:pPr>
              <w:pStyle w:val="57"/>
              <w:rPr>
                <w:rFonts w:ascii="Times New Roman" w:cs="Times New Roman"/>
              </w:rPr>
            </w:pPr>
            <w:r>
              <w:rPr>
                <w:rFonts w:ascii="Times New Roman" w:cs="Times New Roman"/>
              </w:rPr>
              <w:t>（一）</w:t>
            </w:r>
          </w:p>
        </w:tc>
        <w:tc>
          <w:tcPr>
            <w:tcW w:w="2215" w:type="pct"/>
            <w:shd w:val="clear" w:color="auto" w:fill="auto"/>
            <w:noWrap/>
            <w:vAlign w:val="center"/>
          </w:tcPr>
          <w:p w14:paraId="0098B1AE">
            <w:pPr>
              <w:pStyle w:val="57"/>
              <w:rPr>
                <w:rFonts w:ascii="Times New Roman" w:cs="Times New Roman"/>
              </w:rPr>
            </w:pPr>
            <w:r>
              <w:rPr>
                <w:rFonts w:ascii="Times New Roman" w:cs="Times New Roman"/>
              </w:rPr>
              <w:t>湖泊湖荡生态修复工程</w:t>
            </w:r>
          </w:p>
        </w:tc>
        <w:tc>
          <w:tcPr>
            <w:tcW w:w="1179" w:type="pct"/>
            <w:shd w:val="clear" w:color="auto" w:fill="auto"/>
            <w:noWrap/>
            <w:vAlign w:val="center"/>
          </w:tcPr>
          <w:p w14:paraId="78C3464B">
            <w:pPr>
              <w:pStyle w:val="57"/>
              <w:jc w:val="right"/>
              <w:rPr>
                <w:rFonts w:ascii="Times New Roman" w:eastAsia="宋体" w:cs="Times New Roman"/>
              </w:rPr>
            </w:pPr>
            <w:r>
              <w:rPr>
                <w:rFonts w:ascii="Times New Roman" w:eastAsia="宋体" w:cs="Times New Roman"/>
                <w:sz w:val="22"/>
                <w:szCs w:val="22"/>
              </w:rPr>
              <w:t>22.00</w:t>
            </w:r>
          </w:p>
        </w:tc>
        <w:tc>
          <w:tcPr>
            <w:tcW w:w="1026" w:type="pct"/>
          </w:tcPr>
          <w:p w14:paraId="7FA4FD09">
            <w:pPr>
              <w:pStyle w:val="57"/>
              <w:rPr>
                <w:rFonts w:ascii="Times New Roman" w:cs="Times New Roman"/>
              </w:rPr>
            </w:pPr>
          </w:p>
        </w:tc>
      </w:tr>
      <w:tr w14:paraId="05761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80" w:type="pct"/>
            <w:shd w:val="clear" w:color="auto" w:fill="auto"/>
            <w:noWrap/>
            <w:vAlign w:val="center"/>
          </w:tcPr>
          <w:p w14:paraId="337DC7FF">
            <w:pPr>
              <w:pStyle w:val="57"/>
              <w:rPr>
                <w:rFonts w:ascii="Times New Roman" w:cs="Times New Roman"/>
              </w:rPr>
            </w:pPr>
            <w:r>
              <w:rPr>
                <w:rFonts w:ascii="Times New Roman" w:cs="Times New Roman"/>
              </w:rPr>
              <w:t>（二）</w:t>
            </w:r>
          </w:p>
        </w:tc>
        <w:tc>
          <w:tcPr>
            <w:tcW w:w="2215" w:type="pct"/>
            <w:shd w:val="clear" w:color="auto" w:fill="auto"/>
            <w:noWrap/>
            <w:vAlign w:val="center"/>
          </w:tcPr>
          <w:p w14:paraId="2C7B5CDC">
            <w:pPr>
              <w:pStyle w:val="57"/>
              <w:rPr>
                <w:rFonts w:ascii="Times New Roman" w:cs="Times New Roman"/>
              </w:rPr>
            </w:pPr>
            <w:r>
              <w:rPr>
                <w:rFonts w:ascii="Times New Roman" w:cs="Times New Roman"/>
              </w:rPr>
              <w:t>幸福河湖建设工程</w:t>
            </w:r>
          </w:p>
        </w:tc>
        <w:tc>
          <w:tcPr>
            <w:tcW w:w="1179" w:type="pct"/>
            <w:shd w:val="clear" w:color="auto" w:fill="auto"/>
            <w:noWrap/>
            <w:vAlign w:val="center"/>
          </w:tcPr>
          <w:p w14:paraId="31E31680">
            <w:pPr>
              <w:pStyle w:val="57"/>
              <w:jc w:val="right"/>
              <w:rPr>
                <w:rFonts w:ascii="Times New Roman" w:eastAsia="宋体" w:cs="Times New Roman"/>
              </w:rPr>
            </w:pPr>
            <w:r>
              <w:rPr>
                <w:rFonts w:ascii="Times New Roman" w:eastAsia="宋体" w:cs="Times New Roman"/>
                <w:sz w:val="22"/>
                <w:szCs w:val="22"/>
              </w:rPr>
              <w:t>26.75</w:t>
            </w:r>
          </w:p>
        </w:tc>
        <w:tc>
          <w:tcPr>
            <w:tcW w:w="1026" w:type="pct"/>
          </w:tcPr>
          <w:p w14:paraId="2FF9315E">
            <w:pPr>
              <w:pStyle w:val="57"/>
              <w:rPr>
                <w:rFonts w:ascii="Times New Roman" w:cs="Times New Roman"/>
              </w:rPr>
            </w:pPr>
          </w:p>
        </w:tc>
      </w:tr>
      <w:tr w14:paraId="24C94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80" w:type="pct"/>
            <w:shd w:val="clear" w:color="auto" w:fill="auto"/>
            <w:noWrap/>
            <w:vAlign w:val="center"/>
          </w:tcPr>
          <w:p w14:paraId="0609B037">
            <w:pPr>
              <w:pStyle w:val="57"/>
              <w:rPr>
                <w:rFonts w:ascii="Times New Roman" w:cs="Times New Roman"/>
              </w:rPr>
            </w:pPr>
            <w:r>
              <w:rPr>
                <w:rFonts w:ascii="Times New Roman" w:cs="Times New Roman"/>
              </w:rPr>
              <w:t>（三）</w:t>
            </w:r>
          </w:p>
        </w:tc>
        <w:tc>
          <w:tcPr>
            <w:tcW w:w="2215" w:type="pct"/>
            <w:shd w:val="clear" w:color="auto" w:fill="auto"/>
            <w:noWrap/>
            <w:vAlign w:val="center"/>
          </w:tcPr>
          <w:p w14:paraId="2992C20C">
            <w:pPr>
              <w:pStyle w:val="57"/>
              <w:rPr>
                <w:rFonts w:ascii="Times New Roman" w:cs="Times New Roman"/>
              </w:rPr>
            </w:pPr>
            <w:r>
              <w:rPr>
                <w:rFonts w:ascii="Times New Roman" w:cs="Times New Roman"/>
              </w:rPr>
              <w:t>农村河道生态治理</w:t>
            </w:r>
          </w:p>
        </w:tc>
        <w:tc>
          <w:tcPr>
            <w:tcW w:w="1179" w:type="pct"/>
            <w:shd w:val="clear" w:color="auto" w:fill="auto"/>
            <w:noWrap/>
            <w:vAlign w:val="center"/>
          </w:tcPr>
          <w:p w14:paraId="06E226D3">
            <w:pPr>
              <w:pStyle w:val="57"/>
              <w:jc w:val="right"/>
              <w:rPr>
                <w:rFonts w:ascii="Times New Roman" w:eastAsia="宋体" w:cs="Times New Roman"/>
              </w:rPr>
            </w:pPr>
            <w:r>
              <w:rPr>
                <w:rFonts w:ascii="Times New Roman" w:eastAsia="宋体" w:cs="Times New Roman"/>
                <w:sz w:val="22"/>
                <w:szCs w:val="22"/>
              </w:rPr>
              <w:t>22.46</w:t>
            </w:r>
          </w:p>
        </w:tc>
        <w:tc>
          <w:tcPr>
            <w:tcW w:w="1026" w:type="pct"/>
          </w:tcPr>
          <w:p w14:paraId="6E65A93F">
            <w:pPr>
              <w:pStyle w:val="57"/>
              <w:rPr>
                <w:rFonts w:ascii="Times New Roman" w:cs="Times New Roman"/>
              </w:rPr>
            </w:pPr>
          </w:p>
        </w:tc>
      </w:tr>
      <w:tr w14:paraId="40D97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80" w:type="pct"/>
            <w:shd w:val="clear" w:color="auto" w:fill="auto"/>
            <w:noWrap/>
            <w:vAlign w:val="center"/>
          </w:tcPr>
          <w:p w14:paraId="7A8513FE">
            <w:pPr>
              <w:pStyle w:val="57"/>
              <w:rPr>
                <w:rFonts w:ascii="Times New Roman" w:cs="Times New Roman"/>
              </w:rPr>
            </w:pPr>
            <w:r>
              <w:rPr>
                <w:rFonts w:ascii="Times New Roman" w:cs="Times New Roman"/>
              </w:rPr>
              <w:t>（四）</w:t>
            </w:r>
          </w:p>
        </w:tc>
        <w:tc>
          <w:tcPr>
            <w:tcW w:w="2215" w:type="pct"/>
            <w:shd w:val="clear" w:color="auto" w:fill="auto"/>
            <w:noWrap/>
            <w:vAlign w:val="center"/>
          </w:tcPr>
          <w:p w14:paraId="16F0C3FD">
            <w:pPr>
              <w:pStyle w:val="57"/>
              <w:rPr>
                <w:rFonts w:ascii="Times New Roman" w:cs="Times New Roman"/>
              </w:rPr>
            </w:pPr>
            <w:r>
              <w:rPr>
                <w:rFonts w:ascii="Times New Roman" w:cs="Times New Roman"/>
              </w:rPr>
              <w:t>水系连通工程</w:t>
            </w:r>
          </w:p>
        </w:tc>
        <w:tc>
          <w:tcPr>
            <w:tcW w:w="1179" w:type="pct"/>
            <w:shd w:val="clear" w:color="auto" w:fill="auto"/>
            <w:noWrap/>
            <w:vAlign w:val="center"/>
          </w:tcPr>
          <w:p w14:paraId="12FA0B71">
            <w:pPr>
              <w:pStyle w:val="57"/>
              <w:jc w:val="right"/>
              <w:rPr>
                <w:rFonts w:ascii="Times New Roman" w:eastAsia="宋体" w:cs="Times New Roman"/>
              </w:rPr>
            </w:pPr>
            <w:r>
              <w:rPr>
                <w:rFonts w:ascii="Times New Roman" w:eastAsia="宋体" w:cs="Times New Roman"/>
                <w:sz w:val="22"/>
                <w:szCs w:val="22"/>
              </w:rPr>
              <w:t>18.41</w:t>
            </w:r>
          </w:p>
        </w:tc>
        <w:tc>
          <w:tcPr>
            <w:tcW w:w="1026" w:type="pct"/>
          </w:tcPr>
          <w:p w14:paraId="31ED9CA0">
            <w:pPr>
              <w:pStyle w:val="57"/>
              <w:rPr>
                <w:rFonts w:ascii="Times New Roman" w:cs="Times New Roman"/>
              </w:rPr>
            </w:pPr>
          </w:p>
        </w:tc>
      </w:tr>
      <w:tr w14:paraId="77264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80" w:type="pct"/>
            <w:shd w:val="clear" w:color="auto" w:fill="auto"/>
            <w:noWrap/>
            <w:vAlign w:val="center"/>
          </w:tcPr>
          <w:p w14:paraId="3C742010">
            <w:pPr>
              <w:pStyle w:val="57"/>
              <w:rPr>
                <w:rFonts w:ascii="Times New Roman" w:cs="Times New Roman"/>
              </w:rPr>
            </w:pPr>
            <w:r>
              <w:rPr>
                <w:rFonts w:ascii="Times New Roman" w:cs="Times New Roman"/>
              </w:rPr>
              <w:t>（五）</w:t>
            </w:r>
          </w:p>
        </w:tc>
        <w:tc>
          <w:tcPr>
            <w:tcW w:w="2215" w:type="pct"/>
            <w:shd w:val="clear" w:color="auto" w:fill="auto"/>
            <w:noWrap/>
            <w:vAlign w:val="center"/>
          </w:tcPr>
          <w:p w14:paraId="054FEA42">
            <w:pPr>
              <w:pStyle w:val="57"/>
              <w:rPr>
                <w:rFonts w:ascii="Times New Roman" w:cs="Times New Roman"/>
              </w:rPr>
            </w:pPr>
            <w:r>
              <w:rPr>
                <w:rFonts w:ascii="Times New Roman" w:cs="Times New Roman"/>
              </w:rPr>
              <w:t>生态清洁小流域建设</w:t>
            </w:r>
          </w:p>
        </w:tc>
        <w:tc>
          <w:tcPr>
            <w:tcW w:w="1179" w:type="pct"/>
            <w:shd w:val="clear" w:color="auto" w:fill="auto"/>
            <w:noWrap/>
            <w:vAlign w:val="center"/>
          </w:tcPr>
          <w:p w14:paraId="1220C839">
            <w:pPr>
              <w:pStyle w:val="57"/>
              <w:jc w:val="right"/>
              <w:rPr>
                <w:rFonts w:ascii="Times New Roman" w:eastAsia="宋体" w:cs="Times New Roman"/>
              </w:rPr>
            </w:pPr>
            <w:r>
              <w:rPr>
                <w:rFonts w:ascii="Times New Roman" w:eastAsia="宋体" w:cs="Times New Roman"/>
                <w:sz w:val="22"/>
                <w:szCs w:val="22"/>
              </w:rPr>
              <w:t>0.67</w:t>
            </w:r>
          </w:p>
        </w:tc>
        <w:tc>
          <w:tcPr>
            <w:tcW w:w="1026" w:type="pct"/>
          </w:tcPr>
          <w:p w14:paraId="32A592E5">
            <w:pPr>
              <w:pStyle w:val="57"/>
              <w:rPr>
                <w:rFonts w:ascii="Times New Roman" w:cs="Times New Roman"/>
              </w:rPr>
            </w:pPr>
          </w:p>
        </w:tc>
      </w:tr>
      <w:tr w14:paraId="5C7D9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80" w:type="pct"/>
            <w:shd w:val="clear" w:color="auto" w:fill="auto"/>
            <w:noWrap/>
            <w:vAlign w:val="center"/>
          </w:tcPr>
          <w:p w14:paraId="7F72B2F5">
            <w:pPr>
              <w:pStyle w:val="57"/>
              <w:rPr>
                <w:rFonts w:ascii="Times New Roman" w:cs="Times New Roman"/>
              </w:rPr>
            </w:pPr>
            <w:r>
              <w:rPr>
                <w:rFonts w:ascii="Times New Roman" w:cs="Times New Roman"/>
              </w:rPr>
              <w:t>（六）</w:t>
            </w:r>
          </w:p>
        </w:tc>
        <w:tc>
          <w:tcPr>
            <w:tcW w:w="2215" w:type="pct"/>
            <w:shd w:val="clear" w:color="auto" w:fill="auto"/>
            <w:noWrap/>
            <w:vAlign w:val="center"/>
          </w:tcPr>
          <w:p w14:paraId="334D7E46">
            <w:pPr>
              <w:pStyle w:val="57"/>
              <w:rPr>
                <w:rFonts w:ascii="Times New Roman" w:cs="Times New Roman"/>
              </w:rPr>
            </w:pPr>
            <w:r>
              <w:rPr>
                <w:rFonts w:ascii="Times New Roman" w:cs="Times New Roman"/>
              </w:rPr>
              <w:t>水土保持重点工程</w:t>
            </w:r>
          </w:p>
        </w:tc>
        <w:tc>
          <w:tcPr>
            <w:tcW w:w="1179" w:type="pct"/>
            <w:shd w:val="clear" w:color="auto" w:fill="auto"/>
            <w:noWrap/>
            <w:vAlign w:val="center"/>
          </w:tcPr>
          <w:p w14:paraId="61B096E8">
            <w:pPr>
              <w:pStyle w:val="57"/>
              <w:jc w:val="right"/>
              <w:rPr>
                <w:rFonts w:ascii="Times New Roman" w:eastAsia="宋体" w:cs="Times New Roman"/>
              </w:rPr>
            </w:pPr>
            <w:r>
              <w:rPr>
                <w:rFonts w:ascii="Times New Roman" w:eastAsia="宋体" w:cs="Times New Roman"/>
                <w:sz w:val="22"/>
                <w:szCs w:val="22"/>
              </w:rPr>
              <w:t>3.41</w:t>
            </w:r>
          </w:p>
        </w:tc>
        <w:tc>
          <w:tcPr>
            <w:tcW w:w="1026" w:type="pct"/>
          </w:tcPr>
          <w:p w14:paraId="6BE28DCA">
            <w:pPr>
              <w:pStyle w:val="57"/>
              <w:rPr>
                <w:rFonts w:ascii="Times New Roman" w:cs="Times New Roman"/>
              </w:rPr>
            </w:pPr>
          </w:p>
        </w:tc>
      </w:tr>
      <w:tr w14:paraId="35517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80" w:type="pct"/>
            <w:shd w:val="clear" w:color="auto" w:fill="auto"/>
            <w:noWrap/>
            <w:vAlign w:val="center"/>
          </w:tcPr>
          <w:p w14:paraId="3E51F938">
            <w:pPr>
              <w:pStyle w:val="57"/>
              <w:rPr>
                <w:rFonts w:ascii="Times New Roman" w:cs="Times New Roman"/>
              </w:rPr>
            </w:pPr>
            <w:r>
              <w:rPr>
                <w:rFonts w:ascii="Times New Roman" w:cs="Times New Roman"/>
              </w:rPr>
              <w:t>（七）</w:t>
            </w:r>
          </w:p>
        </w:tc>
        <w:tc>
          <w:tcPr>
            <w:tcW w:w="2215" w:type="pct"/>
            <w:shd w:val="clear" w:color="auto" w:fill="auto"/>
            <w:noWrap/>
            <w:vAlign w:val="center"/>
          </w:tcPr>
          <w:p w14:paraId="6C722679">
            <w:pPr>
              <w:pStyle w:val="57"/>
              <w:rPr>
                <w:rFonts w:ascii="Times New Roman" w:cs="Times New Roman"/>
              </w:rPr>
            </w:pPr>
            <w:r>
              <w:rPr>
                <w:rFonts w:ascii="Times New Roman" w:cs="Times New Roman"/>
              </w:rPr>
              <w:t>生态廊道建设</w:t>
            </w:r>
          </w:p>
        </w:tc>
        <w:tc>
          <w:tcPr>
            <w:tcW w:w="1179" w:type="pct"/>
            <w:shd w:val="clear" w:color="auto" w:fill="auto"/>
            <w:noWrap/>
            <w:vAlign w:val="center"/>
          </w:tcPr>
          <w:p w14:paraId="64FDFB8B">
            <w:pPr>
              <w:pStyle w:val="57"/>
              <w:jc w:val="right"/>
              <w:rPr>
                <w:rFonts w:ascii="Times New Roman" w:eastAsia="宋体" w:cs="Times New Roman"/>
              </w:rPr>
            </w:pPr>
            <w:r>
              <w:rPr>
                <w:rFonts w:ascii="Times New Roman" w:eastAsia="宋体" w:cs="Times New Roman"/>
                <w:sz w:val="22"/>
                <w:szCs w:val="22"/>
              </w:rPr>
              <w:t>1.70</w:t>
            </w:r>
          </w:p>
        </w:tc>
        <w:tc>
          <w:tcPr>
            <w:tcW w:w="1026" w:type="pct"/>
          </w:tcPr>
          <w:p w14:paraId="61B83A59">
            <w:pPr>
              <w:pStyle w:val="57"/>
              <w:rPr>
                <w:rFonts w:ascii="Times New Roman" w:cs="Times New Roman"/>
              </w:rPr>
            </w:pPr>
            <w:r>
              <w:rPr>
                <w:rFonts w:ascii="Times New Roman" w:cs="Times New Roman"/>
              </w:rPr>
              <w:t>生态部门为主</w:t>
            </w:r>
          </w:p>
        </w:tc>
      </w:tr>
      <w:tr w14:paraId="4902A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80" w:type="pct"/>
            <w:shd w:val="clear" w:color="auto" w:fill="auto"/>
            <w:noWrap/>
            <w:vAlign w:val="center"/>
          </w:tcPr>
          <w:p w14:paraId="1217011E">
            <w:pPr>
              <w:pStyle w:val="57"/>
              <w:rPr>
                <w:rFonts w:ascii="Times New Roman" w:cs="Times New Roman"/>
              </w:rPr>
            </w:pPr>
            <w:r>
              <w:rPr>
                <w:rFonts w:ascii="Times New Roman" w:cs="Times New Roman"/>
              </w:rPr>
              <w:t>（八）</w:t>
            </w:r>
          </w:p>
        </w:tc>
        <w:tc>
          <w:tcPr>
            <w:tcW w:w="2215" w:type="pct"/>
            <w:shd w:val="clear" w:color="auto" w:fill="auto"/>
            <w:noWrap/>
            <w:vAlign w:val="center"/>
          </w:tcPr>
          <w:p w14:paraId="73EDDF4E">
            <w:pPr>
              <w:pStyle w:val="57"/>
              <w:rPr>
                <w:rFonts w:ascii="Times New Roman" w:cs="Times New Roman"/>
              </w:rPr>
            </w:pPr>
            <w:r>
              <w:rPr>
                <w:rFonts w:ascii="Times New Roman" w:cs="Times New Roman"/>
              </w:rPr>
              <w:t>水文化工程</w:t>
            </w:r>
          </w:p>
        </w:tc>
        <w:tc>
          <w:tcPr>
            <w:tcW w:w="1179" w:type="pct"/>
            <w:shd w:val="clear" w:color="auto" w:fill="auto"/>
            <w:noWrap/>
            <w:vAlign w:val="center"/>
          </w:tcPr>
          <w:p w14:paraId="08CAD2E8">
            <w:pPr>
              <w:pStyle w:val="57"/>
              <w:jc w:val="right"/>
              <w:rPr>
                <w:rFonts w:ascii="Times New Roman" w:eastAsia="宋体" w:cs="Times New Roman"/>
              </w:rPr>
            </w:pPr>
            <w:r>
              <w:rPr>
                <w:rFonts w:ascii="Times New Roman" w:eastAsia="宋体" w:cs="Times New Roman"/>
                <w:sz w:val="22"/>
                <w:szCs w:val="22"/>
              </w:rPr>
              <w:t>0.08</w:t>
            </w:r>
          </w:p>
        </w:tc>
        <w:tc>
          <w:tcPr>
            <w:tcW w:w="1026" w:type="pct"/>
          </w:tcPr>
          <w:p w14:paraId="6F13B937">
            <w:pPr>
              <w:pStyle w:val="57"/>
              <w:rPr>
                <w:rFonts w:ascii="Times New Roman" w:cs="Times New Roman"/>
              </w:rPr>
            </w:pPr>
          </w:p>
        </w:tc>
      </w:tr>
      <w:tr w14:paraId="6E95F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80" w:type="pct"/>
            <w:shd w:val="clear" w:color="auto" w:fill="auto"/>
            <w:noWrap/>
            <w:vAlign w:val="center"/>
          </w:tcPr>
          <w:p w14:paraId="3633044E">
            <w:pPr>
              <w:pStyle w:val="57"/>
              <w:rPr>
                <w:rFonts w:ascii="Times New Roman" w:cs="Times New Roman"/>
                <w:b/>
              </w:rPr>
            </w:pPr>
            <w:r>
              <w:rPr>
                <w:rFonts w:ascii="Times New Roman" w:cs="Times New Roman"/>
                <w:b/>
              </w:rPr>
              <w:t>四</w:t>
            </w:r>
          </w:p>
        </w:tc>
        <w:tc>
          <w:tcPr>
            <w:tcW w:w="2215" w:type="pct"/>
            <w:shd w:val="clear" w:color="auto" w:fill="auto"/>
            <w:noWrap/>
            <w:vAlign w:val="center"/>
          </w:tcPr>
          <w:p w14:paraId="5F3895B1">
            <w:pPr>
              <w:pStyle w:val="57"/>
              <w:rPr>
                <w:rFonts w:ascii="Times New Roman" w:cs="Times New Roman"/>
                <w:b/>
              </w:rPr>
            </w:pPr>
            <w:r>
              <w:rPr>
                <w:rFonts w:ascii="Times New Roman" w:cs="Times New Roman"/>
                <w:b/>
              </w:rPr>
              <w:t>水网智慧化工程</w:t>
            </w:r>
          </w:p>
        </w:tc>
        <w:tc>
          <w:tcPr>
            <w:tcW w:w="1179" w:type="pct"/>
            <w:shd w:val="clear" w:color="auto" w:fill="auto"/>
            <w:noWrap/>
            <w:vAlign w:val="center"/>
          </w:tcPr>
          <w:p w14:paraId="012B3DA3">
            <w:pPr>
              <w:pStyle w:val="57"/>
              <w:jc w:val="right"/>
              <w:rPr>
                <w:rFonts w:ascii="Times New Roman" w:eastAsia="宋体" w:cs="Times New Roman"/>
                <w:b/>
              </w:rPr>
            </w:pPr>
            <w:r>
              <w:rPr>
                <w:rFonts w:ascii="Times New Roman" w:eastAsia="宋体" w:cs="Times New Roman"/>
                <w:b/>
                <w:sz w:val="22"/>
                <w:szCs w:val="22"/>
              </w:rPr>
              <w:t>8.6</w:t>
            </w:r>
          </w:p>
        </w:tc>
        <w:tc>
          <w:tcPr>
            <w:tcW w:w="1026" w:type="pct"/>
          </w:tcPr>
          <w:p w14:paraId="5BC96702">
            <w:pPr>
              <w:pStyle w:val="57"/>
              <w:rPr>
                <w:rFonts w:ascii="Times New Roman" w:cs="Times New Roman"/>
                <w:b/>
              </w:rPr>
            </w:pPr>
          </w:p>
        </w:tc>
      </w:tr>
      <w:tr w14:paraId="6042F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80" w:type="pct"/>
            <w:shd w:val="clear" w:color="auto" w:fill="auto"/>
            <w:noWrap/>
            <w:vAlign w:val="center"/>
          </w:tcPr>
          <w:p w14:paraId="7A28056F">
            <w:pPr>
              <w:pStyle w:val="57"/>
              <w:rPr>
                <w:rFonts w:ascii="Times New Roman" w:cs="Times New Roman"/>
              </w:rPr>
            </w:pPr>
            <w:r>
              <w:rPr>
                <w:rFonts w:ascii="Times New Roman" w:cs="Times New Roman"/>
              </w:rPr>
              <w:t>（一）</w:t>
            </w:r>
          </w:p>
        </w:tc>
        <w:tc>
          <w:tcPr>
            <w:tcW w:w="2215" w:type="pct"/>
            <w:shd w:val="clear" w:color="auto" w:fill="auto"/>
            <w:noWrap/>
            <w:vAlign w:val="center"/>
          </w:tcPr>
          <w:p w14:paraId="3F0556B2">
            <w:pPr>
              <w:pStyle w:val="57"/>
              <w:rPr>
                <w:rFonts w:ascii="Times New Roman" w:cs="Times New Roman"/>
              </w:rPr>
            </w:pPr>
            <w:r>
              <w:rPr>
                <w:rFonts w:ascii="Times New Roman" w:cs="Times New Roman"/>
              </w:rPr>
              <w:t>泰州市水利信息化基础设施工程</w:t>
            </w:r>
          </w:p>
        </w:tc>
        <w:tc>
          <w:tcPr>
            <w:tcW w:w="1179" w:type="pct"/>
            <w:shd w:val="clear" w:color="auto" w:fill="auto"/>
            <w:noWrap/>
            <w:vAlign w:val="center"/>
          </w:tcPr>
          <w:p w14:paraId="7DC737F5">
            <w:pPr>
              <w:pStyle w:val="57"/>
              <w:jc w:val="right"/>
              <w:rPr>
                <w:rFonts w:ascii="Times New Roman" w:eastAsia="宋体" w:cs="Times New Roman"/>
              </w:rPr>
            </w:pPr>
            <w:r>
              <w:rPr>
                <w:rFonts w:hint="eastAsia" w:ascii="Times New Roman" w:eastAsia="宋体" w:cs="Times New Roman"/>
              </w:rPr>
              <w:t>0</w:t>
            </w:r>
            <w:r>
              <w:rPr>
                <w:rFonts w:ascii="Times New Roman" w:eastAsia="宋体" w:cs="Times New Roman"/>
              </w:rPr>
              <w:t>.8</w:t>
            </w:r>
          </w:p>
        </w:tc>
        <w:tc>
          <w:tcPr>
            <w:tcW w:w="1026" w:type="pct"/>
          </w:tcPr>
          <w:p w14:paraId="2C1757B6">
            <w:pPr>
              <w:pStyle w:val="57"/>
              <w:rPr>
                <w:rFonts w:ascii="Times New Roman" w:cs="Times New Roman"/>
              </w:rPr>
            </w:pPr>
          </w:p>
        </w:tc>
      </w:tr>
      <w:tr w14:paraId="2B771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80" w:type="pct"/>
            <w:shd w:val="clear" w:color="auto" w:fill="auto"/>
            <w:noWrap/>
            <w:vAlign w:val="center"/>
          </w:tcPr>
          <w:p w14:paraId="373851A0">
            <w:pPr>
              <w:pStyle w:val="57"/>
              <w:rPr>
                <w:rFonts w:ascii="Times New Roman" w:cs="Times New Roman"/>
              </w:rPr>
            </w:pPr>
            <w:r>
              <w:rPr>
                <w:rFonts w:ascii="Times New Roman" w:cs="Times New Roman"/>
              </w:rPr>
              <w:t>（二）</w:t>
            </w:r>
          </w:p>
        </w:tc>
        <w:tc>
          <w:tcPr>
            <w:tcW w:w="2215" w:type="pct"/>
            <w:shd w:val="clear" w:color="auto" w:fill="auto"/>
            <w:noWrap/>
            <w:vAlign w:val="center"/>
          </w:tcPr>
          <w:p w14:paraId="28C53345">
            <w:pPr>
              <w:pStyle w:val="57"/>
              <w:rPr>
                <w:rFonts w:ascii="Times New Roman" w:cs="Times New Roman"/>
              </w:rPr>
            </w:pPr>
            <w:r>
              <w:rPr>
                <w:rFonts w:ascii="Times New Roman" w:cs="Times New Roman"/>
              </w:rPr>
              <w:t>数字孪生基础平台建设工程</w:t>
            </w:r>
          </w:p>
        </w:tc>
        <w:tc>
          <w:tcPr>
            <w:tcW w:w="1179" w:type="pct"/>
            <w:shd w:val="clear" w:color="auto" w:fill="auto"/>
            <w:noWrap/>
            <w:vAlign w:val="center"/>
          </w:tcPr>
          <w:p w14:paraId="64B642B8">
            <w:pPr>
              <w:pStyle w:val="57"/>
              <w:jc w:val="right"/>
              <w:rPr>
                <w:rFonts w:ascii="Times New Roman" w:eastAsia="宋体" w:cs="Times New Roman"/>
              </w:rPr>
            </w:pPr>
            <w:r>
              <w:rPr>
                <w:rFonts w:hint="eastAsia" w:ascii="Times New Roman" w:eastAsia="宋体" w:cs="Times New Roman"/>
              </w:rPr>
              <w:t>0</w:t>
            </w:r>
            <w:r>
              <w:rPr>
                <w:rFonts w:ascii="Times New Roman" w:eastAsia="宋体" w:cs="Times New Roman"/>
              </w:rPr>
              <w:t>.8</w:t>
            </w:r>
          </w:p>
        </w:tc>
        <w:tc>
          <w:tcPr>
            <w:tcW w:w="1026" w:type="pct"/>
          </w:tcPr>
          <w:p w14:paraId="43160F0A">
            <w:pPr>
              <w:pStyle w:val="57"/>
              <w:rPr>
                <w:rFonts w:ascii="Times New Roman" w:cs="Times New Roman"/>
              </w:rPr>
            </w:pPr>
          </w:p>
        </w:tc>
      </w:tr>
      <w:tr w14:paraId="1B0B1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80" w:type="pct"/>
            <w:shd w:val="clear" w:color="auto" w:fill="auto"/>
            <w:noWrap/>
            <w:vAlign w:val="center"/>
          </w:tcPr>
          <w:p w14:paraId="4529817F">
            <w:pPr>
              <w:pStyle w:val="57"/>
              <w:rPr>
                <w:rFonts w:ascii="Times New Roman" w:cs="Times New Roman"/>
              </w:rPr>
            </w:pPr>
            <w:r>
              <w:rPr>
                <w:rFonts w:ascii="Times New Roman" w:cs="Times New Roman"/>
              </w:rPr>
              <w:t>（三）</w:t>
            </w:r>
          </w:p>
        </w:tc>
        <w:tc>
          <w:tcPr>
            <w:tcW w:w="2215" w:type="pct"/>
            <w:shd w:val="clear" w:color="auto" w:fill="auto"/>
            <w:noWrap/>
            <w:vAlign w:val="center"/>
          </w:tcPr>
          <w:p w14:paraId="34F46B57">
            <w:pPr>
              <w:pStyle w:val="57"/>
              <w:rPr>
                <w:rFonts w:ascii="Times New Roman" w:cs="Times New Roman"/>
              </w:rPr>
            </w:pPr>
            <w:r>
              <w:rPr>
                <w:rFonts w:ascii="Times New Roman" w:cs="Times New Roman"/>
              </w:rPr>
              <w:t>数字孪生水网应用工程</w:t>
            </w:r>
          </w:p>
        </w:tc>
        <w:tc>
          <w:tcPr>
            <w:tcW w:w="1179" w:type="pct"/>
            <w:shd w:val="clear" w:color="auto" w:fill="auto"/>
            <w:noWrap/>
            <w:vAlign w:val="center"/>
          </w:tcPr>
          <w:p w14:paraId="6B445F61">
            <w:pPr>
              <w:pStyle w:val="57"/>
              <w:jc w:val="right"/>
              <w:rPr>
                <w:rFonts w:ascii="Times New Roman" w:eastAsia="宋体" w:cs="Times New Roman"/>
              </w:rPr>
            </w:pPr>
            <w:r>
              <w:rPr>
                <w:rFonts w:hint="eastAsia" w:ascii="Times New Roman" w:eastAsia="宋体" w:cs="Times New Roman"/>
              </w:rPr>
              <w:t>7</w:t>
            </w:r>
          </w:p>
        </w:tc>
        <w:tc>
          <w:tcPr>
            <w:tcW w:w="1026" w:type="pct"/>
          </w:tcPr>
          <w:p w14:paraId="7EC7A59C">
            <w:pPr>
              <w:pStyle w:val="57"/>
              <w:rPr>
                <w:rFonts w:ascii="Times New Roman" w:cs="Times New Roman"/>
              </w:rPr>
            </w:pPr>
          </w:p>
        </w:tc>
      </w:tr>
    </w:tbl>
    <w:p w14:paraId="2D870D60">
      <w:pPr>
        <w:pStyle w:val="4"/>
      </w:pPr>
      <w:r>
        <w:t>资金筹措</w:t>
      </w:r>
    </w:p>
    <w:p w14:paraId="38A50D54">
      <w:pPr>
        <w:ind w:firstLine="480"/>
        <w:rPr>
          <w:rFonts w:cs="Times New Roman"/>
        </w:rPr>
      </w:pPr>
      <w:r>
        <w:rPr>
          <w:rFonts w:hint="eastAsia" w:cs="Times New Roman"/>
        </w:rPr>
        <w:t>为贯彻落实国务院、省扩大有效投资部署，根据水利部有关投融资政策的一系列指导意见要求，坚持两手发力，加大与发展改革、财政等部门沟通协调力度，争取进一步加大公共财政投入力度，积极争取更多地方政府专项债券支持，最大限度地增加地方政府专项债券用于水利建设的规模。基于《江苏省水利重点工程建设投资省以上财政补助政策》（苏财农〔2021〕106号）、《关于调整基本公共服务领域共同财政事权省级分担比例的通知》（苏财预〔2024〕5号）文件要求，对泰州市现代水网建设规划项目投资进行测算。</w:t>
      </w:r>
    </w:p>
    <w:p w14:paraId="77434C57">
      <w:pPr>
        <w:adjustRightInd/>
        <w:spacing w:line="540" w:lineRule="exact"/>
        <w:ind w:firstLine="480"/>
        <w:rPr>
          <w:rFonts w:cs="Times New Roman"/>
          <w:szCs w:val="32"/>
        </w:rPr>
      </w:pPr>
      <w:r>
        <w:rPr>
          <w:rFonts w:hint="eastAsia" w:cs="Times New Roman"/>
          <w:szCs w:val="32"/>
        </w:rPr>
        <w:t>泰州市现代水网建设由省市县共同承担，按照现有国家及省投资补助政策，经初步测算，泰州市现代水网建设实施期完成投资</w:t>
      </w:r>
      <w:r>
        <w:rPr>
          <w:rFonts w:cs="Times New Roman"/>
        </w:rPr>
        <w:t>302.96</w:t>
      </w:r>
      <w:r>
        <w:rPr>
          <w:rFonts w:hint="eastAsia" w:cs="Times New Roman"/>
          <w:szCs w:val="32"/>
        </w:rPr>
        <w:t>亿元，其中争取省级以上投资、市县投资、其它资金（含债券、银行贷款、企业资金等）分别为</w:t>
      </w:r>
      <w:r>
        <w:rPr>
          <w:rFonts w:cs="Times New Roman"/>
          <w:szCs w:val="32"/>
        </w:rPr>
        <w:t>122.09</w:t>
      </w:r>
      <w:r>
        <w:rPr>
          <w:rFonts w:hint="eastAsia" w:cs="Times New Roman"/>
          <w:szCs w:val="32"/>
        </w:rPr>
        <w:t>亿元、</w:t>
      </w:r>
      <w:r>
        <w:rPr>
          <w:rFonts w:cs="Times New Roman"/>
          <w:szCs w:val="32"/>
        </w:rPr>
        <w:t>150.57</w:t>
      </w:r>
      <w:r>
        <w:rPr>
          <w:rFonts w:hint="eastAsia" w:cs="Times New Roman"/>
          <w:szCs w:val="32"/>
        </w:rPr>
        <w:t>亿元、</w:t>
      </w:r>
      <w:r>
        <w:rPr>
          <w:rFonts w:cs="Times New Roman"/>
          <w:szCs w:val="32"/>
        </w:rPr>
        <w:t>30.3</w:t>
      </w:r>
      <w:r>
        <w:rPr>
          <w:rFonts w:hint="eastAsia" w:cs="Times New Roman"/>
          <w:szCs w:val="32"/>
        </w:rPr>
        <w:t>亿元，占比分别为</w:t>
      </w:r>
      <w:r>
        <w:rPr>
          <w:rFonts w:cs="Times New Roman"/>
          <w:szCs w:val="32"/>
        </w:rPr>
        <w:t>40.3%</w:t>
      </w:r>
      <w:r>
        <w:rPr>
          <w:rFonts w:hint="eastAsia" w:cs="Times New Roman"/>
          <w:szCs w:val="32"/>
        </w:rPr>
        <w:t>、</w:t>
      </w:r>
      <w:r>
        <w:rPr>
          <w:rFonts w:cs="Times New Roman"/>
          <w:szCs w:val="32"/>
        </w:rPr>
        <w:t>49.7%</w:t>
      </w:r>
      <w:r>
        <w:rPr>
          <w:rFonts w:hint="eastAsia" w:cs="Times New Roman"/>
          <w:szCs w:val="32"/>
        </w:rPr>
        <w:t>和</w:t>
      </w:r>
      <w:r>
        <w:rPr>
          <w:rFonts w:cs="Times New Roman"/>
          <w:szCs w:val="32"/>
        </w:rPr>
        <w:t>10%</w:t>
      </w:r>
      <w:r>
        <w:rPr>
          <w:rFonts w:hint="eastAsia" w:cs="Times New Roman"/>
          <w:szCs w:val="32"/>
        </w:rPr>
        <w:t>。</w:t>
      </w:r>
    </w:p>
    <w:p w14:paraId="0CB29669">
      <w:pPr>
        <w:pStyle w:val="3"/>
        <w:spacing w:before="163"/>
        <w:rPr>
          <w:rFonts w:eastAsia="仿宋"/>
        </w:rPr>
      </w:pPr>
      <w:bookmarkStart w:id="310" w:name="_Toc164667946"/>
      <w:bookmarkStart w:id="311" w:name="_Toc181109887"/>
      <w:r>
        <w:rPr>
          <w:rFonts w:hint="eastAsia"/>
        </w:rPr>
        <w:t>实施效果</w:t>
      </w:r>
      <w:bookmarkEnd w:id="310"/>
      <w:bookmarkEnd w:id="311"/>
    </w:p>
    <w:p w14:paraId="2F632040">
      <w:pPr>
        <w:adjustRightInd/>
        <w:snapToGrid/>
        <w:ind w:firstLine="480"/>
      </w:pPr>
      <w:r>
        <w:rPr>
          <w:rStyle w:val="35"/>
          <w:rFonts w:hint="eastAsia"/>
        </w:rPr>
        <w:t>保障人民生命财产安全。</w:t>
      </w:r>
      <w:r>
        <w:rPr>
          <w:rFonts w:hint="eastAsia"/>
        </w:rPr>
        <w:t>显著提高区域及城市防洪排涝标准，降低水旱灾害防御成本，降低洪涝灾害损失，保障人民群众生命财产安全，维持良好的生产生活秩序，提高人民群众幸福感安全感获得感。</w:t>
      </w:r>
    </w:p>
    <w:p w14:paraId="63DC901E">
      <w:pPr>
        <w:adjustRightInd/>
        <w:snapToGrid/>
        <w:ind w:firstLine="480"/>
      </w:pPr>
      <w:r>
        <w:rPr>
          <w:rStyle w:val="35"/>
          <w:rFonts w:hint="eastAsia"/>
        </w:rPr>
        <w:t>保障生活生产生态用水。</w:t>
      </w:r>
      <w:r>
        <w:rPr>
          <w:rFonts w:hint="eastAsia"/>
        </w:rPr>
        <w:t>有效增强水资源调控能力，提高生活、工业、农业、生态等用水保证率及水资源质量。</w:t>
      </w:r>
    </w:p>
    <w:p w14:paraId="1015FD80">
      <w:pPr>
        <w:adjustRightInd/>
        <w:snapToGrid/>
        <w:ind w:firstLine="480"/>
        <w:rPr>
          <w:rFonts w:cs="Times New Roman"/>
        </w:rPr>
      </w:pPr>
      <w:r>
        <w:rPr>
          <w:rStyle w:val="35"/>
          <w:rFonts w:hint="eastAsia"/>
        </w:rPr>
        <w:t>保障经济社会高质量发展。</w:t>
      </w:r>
      <w:r>
        <w:rPr>
          <w:rFonts w:hint="eastAsia"/>
          <w:iCs/>
        </w:rPr>
        <w:t>泰州水网坚持水环境、水生态、水资源、水安全、水文化系统治理，</w:t>
      </w:r>
      <w:r>
        <w:rPr>
          <w:rFonts w:hint="eastAsia"/>
        </w:rPr>
        <w:t>总体实现安全升级、幸福惠民、智慧赋能、统筹协调，全面保障社会经济高质量发展。</w:t>
      </w:r>
    </w:p>
    <w:p w14:paraId="0E822587">
      <w:pPr>
        <w:pStyle w:val="2"/>
      </w:pPr>
      <w:bookmarkStart w:id="312" w:name="_Toc181109888"/>
      <w:r>
        <w:rPr>
          <w:rFonts w:hint="eastAsia"/>
        </w:rPr>
        <w:t>保障措施</w:t>
      </w:r>
      <w:bookmarkEnd w:id="312"/>
    </w:p>
    <w:p w14:paraId="2D477193">
      <w:pPr>
        <w:pStyle w:val="3"/>
        <w:spacing w:before="163"/>
      </w:pPr>
      <w:bookmarkStart w:id="313" w:name="_Toc181109889"/>
      <w:r>
        <w:rPr>
          <w:rFonts w:hint="eastAsia"/>
        </w:rPr>
        <w:t>加强组织领导</w:t>
      </w:r>
      <w:bookmarkEnd w:id="313"/>
    </w:p>
    <w:p w14:paraId="2350BA2E">
      <w:pPr>
        <w:ind w:firstLine="480"/>
        <w:rPr>
          <w:rFonts w:cs="Times New Roman"/>
        </w:rPr>
      </w:pPr>
      <w:r>
        <w:rPr>
          <w:rFonts w:hint="eastAsia" w:cs="Times New Roman"/>
        </w:rPr>
        <w:t>深入贯彻落实习近平总书记关于加快构建国家水网的重要指示精神，坚持和加强党的全面领导，增强“四个意识”、坚定“四个自信”、做到“两个维护”，协调各方领导核心，确保泰州现代水网建设正确方向。</w:t>
      </w:r>
    </w:p>
    <w:p w14:paraId="3ECAE261">
      <w:pPr>
        <w:ind w:firstLine="480"/>
        <w:rPr>
          <w:rFonts w:cs="Times New Roman"/>
        </w:rPr>
      </w:pPr>
      <w:r>
        <w:rPr>
          <w:rFonts w:hint="eastAsia" w:cs="Times New Roman"/>
        </w:rPr>
        <w:t>按照党中央、国务院统一部署、省级负总责、市县抓落实的工作机制，积极与各层级各部门沟通协调，主动推进水网工程落地，创新水网工程建管机制，确保如期完成规划目标。各级政府要高度重视现代水网规划，建立完善发改、水利、财政、自然资源和规划、生态环境、农业农村、住房城乡建设、交通运输等多部门协作机制，明确职责分工，强化协调配合，及时解决水网建设中的重大问题，合力推进规划实施。</w:t>
      </w:r>
    </w:p>
    <w:p w14:paraId="1EAD7530">
      <w:pPr>
        <w:pStyle w:val="3"/>
        <w:spacing w:before="163"/>
      </w:pPr>
      <w:bookmarkStart w:id="314" w:name="_Toc181109890"/>
      <w:r>
        <w:rPr>
          <w:rFonts w:hint="eastAsia"/>
        </w:rPr>
        <w:t>坚持</w:t>
      </w:r>
      <w:r>
        <w:t>统筹协调</w:t>
      </w:r>
      <w:bookmarkEnd w:id="314"/>
    </w:p>
    <w:p w14:paraId="46907BA9">
      <w:pPr>
        <w:ind w:firstLine="480"/>
        <w:rPr>
          <w:rFonts w:cs="Times New Roman"/>
        </w:rPr>
      </w:pPr>
      <w:r>
        <w:rPr>
          <w:rFonts w:hint="eastAsia" w:cs="Times New Roman"/>
        </w:rPr>
        <w:t>各级水利部门要按照规划总体部署，强化规划各环节组织实施，将规划目标任务分解落实到各责任主体，明确时间节点，列明任务表、路线图和责任单，加强监督、严格考核，切实做好现代水网建设工作，全力推进各建设项目和建管措施落地。</w:t>
      </w:r>
    </w:p>
    <w:p w14:paraId="36FA5E1E">
      <w:pPr>
        <w:ind w:firstLine="480"/>
        <w:rPr>
          <w:rFonts w:cs="Times New Roman"/>
        </w:rPr>
      </w:pPr>
      <w:r>
        <w:rPr>
          <w:rFonts w:hint="eastAsia" w:cs="Times New Roman"/>
        </w:rPr>
        <w:t>加强泰州现代水网总体设计和组织保障，建立健全规划实施协调推进机制，强化部门协同和上下联动，通盘考虑、分区施策，深入研究重大事项，着力破解关键制约，严格落实责任主体，协调国土、农业、生态、航运等行业发展需求，科学有序推动泰州水网工程建设。加强水网与国土空间规划衔接协调，将国家水网建设项目统筹纳入国土空间规划“一张图”。</w:t>
      </w:r>
    </w:p>
    <w:p w14:paraId="4F558905">
      <w:pPr>
        <w:pStyle w:val="3"/>
        <w:spacing w:before="163"/>
      </w:pPr>
      <w:bookmarkStart w:id="315" w:name="_Toc181109891"/>
      <w:r>
        <w:t>强化要素保障</w:t>
      </w:r>
      <w:bookmarkEnd w:id="315"/>
    </w:p>
    <w:p w14:paraId="12F30A2F">
      <w:pPr>
        <w:ind w:firstLine="480"/>
        <w:rPr>
          <w:rFonts w:cs="Times New Roman"/>
        </w:rPr>
      </w:pPr>
      <w:r>
        <w:rPr>
          <w:rFonts w:hint="eastAsia" w:cs="Times New Roman"/>
        </w:rPr>
        <w:t>深化水网工程前期论证，科学合理确定工程建设规模、布局和方案，力争实现水网综合效益最大化。各级政府要对照泰州现代水网规划的重点任务，超前谋划、提前介入，加快前期工作进度，严格工作程序和流程。要将现代水网重大工程纳入国民经济和社会发展五年规划及相关专项规划滚动实施，尽快实施一批规划依据充分、前期工作基础较好、地方建设积极性高的泰州现代水网重大工程。各级政府要多渠道筹措建设资金，积极争取中央水利投资补助、落实省级水利投资，推动市县（区）政府加大水利投入力度，吸引社会资本更广泛参与水利建设，充分发挥政府投资撬动作用，争取各方投资对泰州现代水网工程建设的支持。</w:t>
      </w:r>
    </w:p>
    <w:p w14:paraId="0C0CB5B3">
      <w:pPr>
        <w:ind w:firstLine="480"/>
        <w:rPr>
          <w:rFonts w:cs="Times New Roman"/>
        </w:rPr>
      </w:pPr>
      <w:r>
        <w:rPr>
          <w:rFonts w:hint="eastAsia" w:cs="Times New Roman"/>
        </w:rPr>
        <w:t>各级水利部门要精心组织、科学研究，加强技术咨询服务，深化项目前期论证，加强对可能影响工程建设重大布局的环境影响、土地利用、社会稳定等评估工作，落实勘察设计安全生产责任，不断提高前期工作的精度和质量，确保项目早开工、早建设，充分发挥重点工程保安全、促民生、稳增长的作用。各有关部门要细化完善立项审批、资金投入、用地用海、生态环境等配套政策，积极支持国家、省级水网工程规划建设。强化现代水网建设项目与土地、资金、环境等要素统筹和精准对接，细化完善立项审批、资金投入、用地用海、生态环境等配套政策。</w:t>
      </w:r>
    </w:p>
    <w:p w14:paraId="1ADC18AE">
      <w:pPr>
        <w:pStyle w:val="3"/>
        <w:spacing w:before="163"/>
      </w:pPr>
      <w:bookmarkStart w:id="316" w:name="_Toc181109892"/>
      <w:r>
        <w:rPr>
          <w:rFonts w:hint="eastAsia"/>
        </w:rPr>
        <w:t>增强技术支撑</w:t>
      </w:r>
      <w:bookmarkEnd w:id="316"/>
    </w:p>
    <w:p w14:paraId="3473410D">
      <w:pPr>
        <w:ind w:firstLine="480"/>
        <w:rPr>
          <w:rFonts w:cs="Times New Roman"/>
        </w:rPr>
      </w:pPr>
      <w:r>
        <w:rPr>
          <w:rFonts w:hint="eastAsia" w:cs="Times New Roman"/>
        </w:rPr>
        <w:t>各级水利部门要加大人才引进、培养力度，要加强水利专业人才培养与引进，也要加强兼有水利及金融、管理、法规等综合型人才的培养与引进，营造吸引人才、重用人才、培养人才的良好环境，建立科学合理的人才流动机制。坚持德才兼备、以德为先的用人标准，建立激励竞争机制，抓好以领军人才和创新人才为重点的人才队伍建设。</w:t>
      </w:r>
    </w:p>
    <w:p w14:paraId="4ABAF7AE">
      <w:pPr>
        <w:ind w:firstLine="480"/>
      </w:pPr>
      <w:r>
        <w:rPr>
          <w:rFonts w:hint="eastAsia"/>
        </w:rPr>
        <w:t>各级水利部门要切实增强水利科技的引领和驱动作用，加快构建布局合理、精干高效的水利科技创新体系。加快创新平台建设，鼓励支持开展多种形式的科技示范基地、试验站等建设；吸纳借鉴省内外先进技术，加强对多网协同、洪水风险图、水资源优化调度、水生态修复技术、数字孪生水利、应急保障能力提升等重点课题的研究力度，积极申报省水利科技项目；加快成果转化应用，推动更多应用类科技成果推广转化。加强现代水网建设相关领域科技人才及团队培养，加快科技成果的推广与应用，为泰州现代水网建设提供技术支撑。</w:t>
      </w:r>
    </w:p>
    <w:p w14:paraId="1E0DCEEF">
      <w:pPr>
        <w:pStyle w:val="3"/>
        <w:spacing w:before="163"/>
      </w:pPr>
      <w:bookmarkStart w:id="317" w:name="_Toc181109893"/>
      <w:r>
        <w:rPr>
          <w:rFonts w:hint="eastAsia"/>
        </w:rPr>
        <w:t>落实督查指导</w:t>
      </w:r>
      <w:bookmarkEnd w:id="317"/>
    </w:p>
    <w:p w14:paraId="0B80B701">
      <w:pPr>
        <w:ind w:firstLine="480"/>
      </w:pPr>
      <w:r>
        <w:rPr>
          <w:rFonts w:hint="eastAsia"/>
        </w:rPr>
        <w:t>健全督查指导机制，加强规划实施过程中的协调与督查，使治理开发与建设管理能够按照规划进行，实现对河湖管理、水资源管理、水利工程建设与运行管理、水土保持、水利资金使用、行政许可等全方位的督查指导，确保目标任务层层落实，各项工作有序推进，严禁任何违背规划进行建设的行为。</w:t>
      </w:r>
    </w:p>
    <w:p w14:paraId="7959D734">
      <w:pPr>
        <w:ind w:firstLine="480"/>
        <w:rPr>
          <w:rFonts w:cs="Times New Roman"/>
        </w:rPr>
      </w:pPr>
      <w:r>
        <w:rPr>
          <w:rFonts w:hint="eastAsia" w:cs="Times New Roman"/>
        </w:rPr>
        <w:t>加强考核评估，各级党委、政府要把现代水网建设纳入目标考核内容，依法组织开展最严格水资源管理制度、水利建设质量工作、水土保持目标责任等考核，考核结果作为干部综合考核评价的重要依据。</w:t>
      </w:r>
    </w:p>
    <w:p w14:paraId="7D77B58A">
      <w:pPr>
        <w:ind w:firstLine="480"/>
        <w:rPr>
          <w:rFonts w:cs="Times New Roman"/>
        </w:rPr>
      </w:pPr>
      <w:r>
        <w:rPr>
          <w:rFonts w:cs="Times New Roman"/>
        </w:rPr>
        <w:br w:type="page"/>
      </w:r>
    </w:p>
    <w:p w14:paraId="3EB2732F">
      <w:pPr>
        <w:pStyle w:val="64"/>
      </w:pPr>
      <w:r>
        <w:rPr>
          <w:rFonts w:hint="eastAsia"/>
        </w:rPr>
        <w:t>附表1 泰州市县级以上河道名录</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7"/>
        <w:gridCol w:w="2201"/>
        <w:gridCol w:w="2981"/>
        <w:gridCol w:w="1802"/>
        <w:gridCol w:w="1371"/>
      </w:tblGrid>
      <w:tr w14:paraId="56E00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trPr>
        <w:tc>
          <w:tcPr>
            <w:tcW w:w="400" w:type="pct"/>
            <w:shd w:val="clear" w:color="auto" w:fill="auto"/>
            <w:vAlign w:val="center"/>
          </w:tcPr>
          <w:p w14:paraId="547B7589">
            <w:pPr>
              <w:pStyle w:val="57"/>
              <w:jc w:val="center"/>
              <w:rPr>
                <w:b/>
              </w:rPr>
            </w:pPr>
            <w:r>
              <w:rPr>
                <w:b/>
              </w:rPr>
              <w:t>序号</w:t>
            </w:r>
          </w:p>
        </w:tc>
        <w:tc>
          <w:tcPr>
            <w:tcW w:w="1212" w:type="pct"/>
            <w:shd w:val="clear" w:color="auto" w:fill="auto"/>
            <w:vAlign w:val="center"/>
          </w:tcPr>
          <w:p w14:paraId="0136D0FE">
            <w:pPr>
              <w:pStyle w:val="57"/>
              <w:jc w:val="center"/>
              <w:rPr>
                <w:b/>
              </w:rPr>
            </w:pPr>
            <w:r>
              <w:rPr>
                <w:b/>
              </w:rPr>
              <w:t>河道名称</w:t>
            </w:r>
          </w:p>
        </w:tc>
        <w:tc>
          <w:tcPr>
            <w:tcW w:w="1641" w:type="pct"/>
            <w:vAlign w:val="center"/>
          </w:tcPr>
          <w:p w14:paraId="3B862FE5">
            <w:pPr>
              <w:pStyle w:val="57"/>
              <w:jc w:val="center"/>
              <w:rPr>
                <w:b/>
              </w:rPr>
            </w:pPr>
            <w:r>
              <w:rPr>
                <w:b/>
              </w:rPr>
              <w:t>所在县区</w:t>
            </w:r>
          </w:p>
        </w:tc>
        <w:tc>
          <w:tcPr>
            <w:tcW w:w="992" w:type="pct"/>
            <w:vAlign w:val="center"/>
          </w:tcPr>
          <w:p w14:paraId="5D501B6A">
            <w:pPr>
              <w:pStyle w:val="57"/>
              <w:jc w:val="center"/>
              <w:rPr>
                <w:b/>
              </w:rPr>
            </w:pPr>
            <w:r>
              <w:rPr>
                <w:b/>
              </w:rPr>
              <w:t>境内长（km）</w:t>
            </w:r>
          </w:p>
        </w:tc>
        <w:tc>
          <w:tcPr>
            <w:tcW w:w="755" w:type="pct"/>
            <w:shd w:val="clear" w:color="auto" w:fill="auto"/>
            <w:vAlign w:val="center"/>
          </w:tcPr>
          <w:p w14:paraId="1EA0CAD4">
            <w:pPr>
              <w:pStyle w:val="57"/>
              <w:jc w:val="center"/>
              <w:rPr>
                <w:b/>
              </w:rPr>
            </w:pPr>
            <w:r>
              <w:rPr>
                <w:b/>
              </w:rPr>
              <w:t>备注</w:t>
            </w:r>
          </w:p>
        </w:tc>
      </w:tr>
      <w:tr w14:paraId="4799C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233D5C07">
            <w:pPr>
              <w:pStyle w:val="57"/>
              <w:jc w:val="center"/>
              <w:rPr>
                <w:sz w:val="22"/>
                <w:szCs w:val="22"/>
              </w:rPr>
            </w:pPr>
            <w:r>
              <w:rPr>
                <w:sz w:val="22"/>
                <w:szCs w:val="22"/>
              </w:rPr>
              <w:t>1</w:t>
            </w:r>
          </w:p>
        </w:tc>
        <w:tc>
          <w:tcPr>
            <w:tcW w:w="1212" w:type="pct"/>
            <w:shd w:val="clear" w:color="auto" w:fill="auto"/>
            <w:noWrap/>
            <w:vAlign w:val="center"/>
          </w:tcPr>
          <w:p w14:paraId="4FF136B7">
            <w:pPr>
              <w:pStyle w:val="57"/>
              <w:jc w:val="center"/>
              <w:rPr>
                <w:sz w:val="22"/>
                <w:szCs w:val="22"/>
              </w:rPr>
            </w:pPr>
            <w:r>
              <w:rPr>
                <w:sz w:val="22"/>
                <w:szCs w:val="22"/>
              </w:rPr>
              <w:t>长江</w:t>
            </w:r>
          </w:p>
        </w:tc>
        <w:tc>
          <w:tcPr>
            <w:tcW w:w="1641" w:type="pct"/>
            <w:vAlign w:val="center"/>
          </w:tcPr>
          <w:p w14:paraId="5D373969">
            <w:pPr>
              <w:pStyle w:val="57"/>
              <w:jc w:val="center"/>
              <w:rPr>
                <w:sz w:val="22"/>
                <w:szCs w:val="22"/>
              </w:rPr>
            </w:pPr>
            <w:r>
              <w:rPr>
                <w:sz w:val="22"/>
                <w:szCs w:val="22"/>
              </w:rPr>
              <w:t>高港、泰兴、靖江及外市</w:t>
            </w:r>
          </w:p>
        </w:tc>
        <w:tc>
          <w:tcPr>
            <w:tcW w:w="992" w:type="pct"/>
            <w:vAlign w:val="center"/>
          </w:tcPr>
          <w:p w14:paraId="274588E9">
            <w:pPr>
              <w:pStyle w:val="57"/>
              <w:jc w:val="center"/>
              <w:rPr>
                <w:sz w:val="22"/>
                <w:szCs w:val="22"/>
              </w:rPr>
            </w:pPr>
            <w:r>
              <w:rPr>
                <w:rFonts w:hint="eastAsia" w:cs="Times New Roman"/>
              </w:rPr>
              <w:t>岸线97.78km</w:t>
            </w:r>
          </w:p>
        </w:tc>
        <w:tc>
          <w:tcPr>
            <w:tcW w:w="755" w:type="pct"/>
            <w:shd w:val="clear" w:color="auto" w:fill="auto"/>
            <w:noWrap/>
            <w:vAlign w:val="center"/>
          </w:tcPr>
          <w:p w14:paraId="22CB6E5B">
            <w:pPr>
              <w:pStyle w:val="57"/>
              <w:jc w:val="center"/>
              <w:rPr>
                <w:sz w:val="22"/>
                <w:szCs w:val="22"/>
              </w:rPr>
            </w:pPr>
            <w:r>
              <w:rPr>
                <w:sz w:val="22"/>
                <w:szCs w:val="22"/>
              </w:rPr>
              <w:t>流域性</w:t>
            </w:r>
          </w:p>
        </w:tc>
      </w:tr>
      <w:tr w14:paraId="05FA9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5333BEC4">
            <w:pPr>
              <w:pStyle w:val="57"/>
              <w:jc w:val="center"/>
              <w:rPr>
                <w:sz w:val="22"/>
                <w:szCs w:val="22"/>
              </w:rPr>
            </w:pPr>
            <w:r>
              <w:rPr>
                <w:sz w:val="22"/>
                <w:szCs w:val="22"/>
              </w:rPr>
              <w:t>2</w:t>
            </w:r>
          </w:p>
        </w:tc>
        <w:tc>
          <w:tcPr>
            <w:tcW w:w="1212" w:type="pct"/>
            <w:shd w:val="clear" w:color="auto" w:fill="auto"/>
            <w:noWrap/>
            <w:vAlign w:val="center"/>
          </w:tcPr>
          <w:p w14:paraId="571A871E">
            <w:pPr>
              <w:pStyle w:val="57"/>
              <w:jc w:val="center"/>
              <w:rPr>
                <w:sz w:val="22"/>
                <w:szCs w:val="22"/>
              </w:rPr>
            </w:pPr>
            <w:r>
              <w:rPr>
                <w:sz w:val="22"/>
                <w:szCs w:val="22"/>
              </w:rPr>
              <w:t>泰州引江河</w:t>
            </w:r>
          </w:p>
        </w:tc>
        <w:tc>
          <w:tcPr>
            <w:tcW w:w="1641" w:type="pct"/>
            <w:vAlign w:val="center"/>
          </w:tcPr>
          <w:p w14:paraId="256EDE27">
            <w:pPr>
              <w:pStyle w:val="57"/>
              <w:jc w:val="center"/>
              <w:rPr>
                <w:sz w:val="22"/>
                <w:szCs w:val="22"/>
              </w:rPr>
            </w:pPr>
            <w:r>
              <w:rPr>
                <w:sz w:val="22"/>
                <w:szCs w:val="22"/>
              </w:rPr>
              <w:t>泰州</w:t>
            </w:r>
            <w:r>
              <w:rPr>
                <w:rFonts w:hint="eastAsia"/>
                <w:sz w:val="22"/>
                <w:szCs w:val="22"/>
              </w:rPr>
              <w:t>高港</w:t>
            </w:r>
            <w:r>
              <w:rPr>
                <w:sz w:val="22"/>
                <w:szCs w:val="22"/>
              </w:rPr>
              <w:t>、海陵及外市</w:t>
            </w:r>
          </w:p>
        </w:tc>
        <w:tc>
          <w:tcPr>
            <w:tcW w:w="992" w:type="pct"/>
            <w:vAlign w:val="center"/>
          </w:tcPr>
          <w:p w14:paraId="507AEB06">
            <w:pPr>
              <w:pStyle w:val="57"/>
              <w:jc w:val="center"/>
              <w:rPr>
                <w:sz w:val="22"/>
                <w:szCs w:val="22"/>
              </w:rPr>
            </w:pPr>
            <w:r>
              <w:rPr>
                <w:sz w:val="22"/>
                <w:szCs w:val="22"/>
              </w:rPr>
              <w:t>20.9</w:t>
            </w:r>
          </w:p>
        </w:tc>
        <w:tc>
          <w:tcPr>
            <w:tcW w:w="755" w:type="pct"/>
            <w:shd w:val="clear" w:color="auto" w:fill="auto"/>
            <w:noWrap/>
            <w:vAlign w:val="center"/>
          </w:tcPr>
          <w:p w14:paraId="55802FCC">
            <w:pPr>
              <w:pStyle w:val="57"/>
              <w:jc w:val="center"/>
              <w:rPr>
                <w:sz w:val="22"/>
                <w:szCs w:val="22"/>
              </w:rPr>
            </w:pPr>
            <w:r>
              <w:rPr>
                <w:sz w:val="22"/>
                <w:szCs w:val="22"/>
              </w:rPr>
              <w:t>流域性</w:t>
            </w:r>
          </w:p>
        </w:tc>
      </w:tr>
      <w:tr w14:paraId="63980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48BDB36D">
            <w:pPr>
              <w:pStyle w:val="57"/>
              <w:jc w:val="center"/>
              <w:rPr>
                <w:sz w:val="22"/>
                <w:szCs w:val="22"/>
              </w:rPr>
            </w:pPr>
            <w:r>
              <w:rPr>
                <w:sz w:val="22"/>
                <w:szCs w:val="22"/>
              </w:rPr>
              <w:t>3</w:t>
            </w:r>
          </w:p>
        </w:tc>
        <w:tc>
          <w:tcPr>
            <w:tcW w:w="1212" w:type="pct"/>
            <w:shd w:val="clear" w:color="auto" w:fill="auto"/>
            <w:noWrap/>
            <w:vAlign w:val="center"/>
          </w:tcPr>
          <w:p w14:paraId="24EDB278">
            <w:pPr>
              <w:pStyle w:val="57"/>
              <w:jc w:val="center"/>
              <w:rPr>
                <w:sz w:val="22"/>
                <w:szCs w:val="22"/>
              </w:rPr>
            </w:pPr>
            <w:r>
              <w:rPr>
                <w:sz w:val="22"/>
                <w:szCs w:val="22"/>
              </w:rPr>
              <w:t>泰东河</w:t>
            </w:r>
          </w:p>
        </w:tc>
        <w:tc>
          <w:tcPr>
            <w:tcW w:w="1641" w:type="pct"/>
            <w:vAlign w:val="center"/>
          </w:tcPr>
          <w:p w14:paraId="5D75227A">
            <w:pPr>
              <w:pStyle w:val="57"/>
              <w:jc w:val="center"/>
              <w:rPr>
                <w:sz w:val="22"/>
                <w:szCs w:val="22"/>
              </w:rPr>
            </w:pPr>
            <w:r>
              <w:rPr>
                <w:sz w:val="22"/>
                <w:szCs w:val="22"/>
              </w:rPr>
              <w:t>泰州</w:t>
            </w:r>
            <w:r>
              <w:rPr>
                <w:rFonts w:hint="eastAsia"/>
                <w:sz w:val="22"/>
                <w:szCs w:val="22"/>
              </w:rPr>
              <w:t>海陵</w:t>
            </w:r>
            <w:r>
              <w:rPr>
                <w:sz w:val="22"/>
                <w:szCs w:val="22"/>
              </w:rPr>
              <w:t>、姜堰、兴化及外市</w:t>
            </w:r>
          </w:p>
        </w:tc>
        <w:tc>
          <w:tcPr>
            <w:tcW w:w="992" w:type="pct"/>
            <w:vAlign w:val="center"/>
          </w:tcPr>
          <w:p w14:paraId="74526F4C">
            <w:pPr>
              <w:pStyle w:val="57"/>
              <w:jc w:val="center"/>
              <w:rPr>
                <w:sz w:val="22"/>
                <w:szCs w:val="22"/>
              </w:rPr>
            </w:pPr>
            <w:r>
              <w:rPr>
                <w:sz w:val="22"/>
                <w:szCs w:val="22"/>
              </w:rPr>
              <w:t>31.87</w:t>
            </w:r>
          </w:p>
        </w:tc>
        <w:tc>
          <w:tcPr>
            <w:tcW w:w="755" w:type="pct"/>
            <w:shd w:val="clear" w:color="auto" w:fill="auto"/>
            <w:noWrap/>
            <w:vAlign w:val="center"/>
          </w:tcPr>
          <w:p w14:paraId="278D149C">
            <w:pPr>
              <w:pStyle w:val="57"/>
              <w:jc w:val="center"/>
              <w:rPr>
                <w:sz w:val="22"/>
                <w:szCs w:val="22"/>
              </w:rPr>
            </w:pPr>
            <w:r>
              <w:rPr>
                <w:sz w:val="22"/>
                <w:szCs w:val="22"/>
              </w:rPr>
              <w:t>流域性</w:t>
            </w:r>
          </w:p>
        </w:tc>
      </w:tr>
      <w:tr w14:paraId="38AF3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6A4F61E2">
            <w:pPr>
              <w:pStyle w:val="57"/>
              <w:jc w:val="center"/>
              <w:rPr>
                <w:sz w:val="22"/>
                <w:szCs w:val="22"/>
              </w:rPr>
            </w:pPr>
            <w:r>
              <w:rPr>
                <w:sz w:val="22"/>
                <w:szCs w:val="22"/>
              </w:rPr>
              <w:t>4</w:t>
            </w:r>
          </w:p>
        </w:tc>
        <w:tc>
          <w:tcPr>
            <w:tcW w:w="1212" w:type="pct"/>
            <w:shd w:val="clear" w:color="auto" w:fill="auto"/>
            <w:noWrap/>
            <w:vAlign w:val="center"/>
          </w:tcPr>
          <w:p w14:paraId="409A12ED">
            <w:pPr>
              <w:pStyle w:val="57"/>
              <w:jc w:val="center"/>
              <w:rPr>
                <w:sz w:val="22"/>
                <w:szCs w:val="22"/>
              </w:rPr>
            </w:pPr>
            <w:r>
              <w:rPr>
                <w:sz w:val="22"/>
                <w:szCs w:val="22"/>
              </w:rPr>
              <w:t>新通扬运河(泰西段)</w:t>
            </w:r>
          </w:p>
        </w:tc>
        <w:tc>
          <w:tcPr>
            <w:tcW w:w="1641" w:type="pct"/>
            <w:vAlign w:val="center"/>
          </w:tcPr>
          <w:p w14:paraId="0FB726AA">
            <w:pPr>
              <w:pStyle w:val="57"/>
              <w:jc w:val="center"/>
              <w:rPr>
                <w:sz w:val="22"/>
                <w:szCs w:val="22"/>
              </w:rPr>
            </w:pPr>
            <w:r>
              <w:rPr>
                <w:sz w:val="22"/>
                <w:szCs w:val="22"/>
              </w:rPr>
              <w:t>泰州</w:t>
            </w:r>
            <w:r>
              <w:rPr>
                <w:rFonts w:hint="eastAsia"/>
                <w:sz w:val="22"/>
                <w:szCs w:val="22"/>
              </w:rPr>
              <w:t>姜堰</w:t>
            </w:r>
            <w:r>
              <w:rPr>
                <w:sz w:val="22"/>
                <w:szCs w:val="22"/>
              </w:rPr>
              <w:t>及外市</w:t>
            </w:r>
          </w:p>
        </w:tc>
        <w:tc>
          <w:tcPr>
            <w:tcW w:w="992" w:type="pct"/>
            <w:vAlign w:val="center"/>
          </w:tcPr>
          <w:p w14:paraId="174C9481">
            <w:pPr>
              <w:pStyle w:val="57"/>
              <w:jc w:val="center"/>
              <w:rPr>
                <w:sz w:val="22"/>
                <w:szCs w:val="22"/>
              </w:rPr>
            </w:pPr>
            <w:r>
              <w:rPr>
                <w:sz w:val="22"/>
                <w:szCs w:val="22"/>
              </w:rPr>
              <w:t>11.9</w:t>
            </w:r>
          </w:p>
        </w:tc>
        <w:tc>
          <w:tcPr>
            <w:tcW w:w="755" w:type="pct"/>
            <w:shd w:val="clear" w:color="auto" w:fill="auto"/>
            <w:noWrap/>
            <w:vAlign w:val="center"/>
          </w:tcPr>
          <w:p w14:paraId="379FFA1E">
            <w:pPr>
              <w:pStyle w:val="57"/>
              <w:jc w:val="center"/>
              <w:rPr>
                <w:sz w:val="22"/>
                <w:szCs w:val="22"/>
              </w:rPr>
            </w:pPr>
            <w:r>
              <w:rPr>
                <w:sz w:val="22"/>
                <w:szCs w:val="22"/>
              </w:rPr>
              <w:t>流域性</w:t>
            </w:r>
          </w:p>
        </w:tc>
      </w:tr>
      <w:tr w14:paraId="345B2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56C8CC14">
            <w:pPr>
              <w:pStyle w:val="57"/>
              <w:jc w:val="center"/>
              <w:rPr>
                <w:sz w:val="22"/>
                <w:szCs w:val="22"/>
              </w:rPr>
            </w:pPr>
            <w:r>
              <w:rPr>
                <w:sz w:val="22"/>
                <w:szCs w:val="22"/>
              </w:rPr>
              <w:t>5</w:t>
            </w:r>
          </w:p>
        </w:tc>
        <w:tc>
          <w:tcPr>
            <w:tcW w:w="1212" w:type="pct"/>
            <w:shd w:val="clear" w:color="auto" w:fill="auto"/>
            <w:noWrap/>
            <w:vAlign w:val="center"/>
          </w:tcPr>
          <w:p w14:paraId="78AD627C">
            <w:pPr>
              <w:pStyle w:val="57"/>
              <w:jc w:val="center"/>
              <w:rPr>
                <w:sz w:val="22"/>
                <w:szCs w:val="22"/>
              </w:rPr>
            </w:pPr>
            <w:r>
              <w:rPr>
                <w:sz w:val="22"/>
                <w:szCs w:val="22"/>
              </w:rPr>
              <w:t>下官河</w:t>
            </w:r>
          </w:p>
        </w:tc>
        <w:tc>
          <w:tcPr>
            <w:tcW w:w="1641" w:type="pct"/>
            <w:vAlign w:val="center"/>
          </w:tcPr>
          <w:p w14:paraId="34A0FFC5">
            <w:pPr>
              <w:pStyle w:val="57"/>
              <w:jc w:val="center"/>
              <w:rPr>
                <w:sz w:val="22"/>
                <w:szCs w:val="22"/>
              </w:rPr>
            </w:pPr>
            <w:r>
              <w:rPr>
                <w:sz w:val="22"/>
                <w:szCs w:val="22"/>
              </w:rPr>
              <w:t>泰州兴化市</w:t>
            </w:r>
          </w:p>
        </w:tc>
        <w:tc>
          <w:tcPr>
            <w:tcW w:w="992" w:type="pct"/>
            <w:vAlign w:val="center"/>
          </w:tcPr>
          <w:p w14:paraId="6C9BEBB0">
            <w:pPr>
              <w:pStyle w:val="57"/>
              <w:jc w:val="center"/>
              <w:rPr>
                <w:sz w:val="22"/>
                <w:szCs w:val="22"/>
              </w:rPr>
            </w:pPr>
            <w:r>
              <w:rPr>
                <w:sz w:val="22"/>
                <w:szCs w:val="22"/>
              </w:rPr>
              <w:t>28.6</w:t>
            </w:r>
          </w:p>
        </w:tc>
        <w:tc>
          <w:tcPr>
            <w:tcW w:w="755" w:type="pct"/>
            <w:shd w:val="clear" w:color="auto" w:fill="auto"/>
            <w:noWrap/>
            <w:vAlign w:val="center"/>
          </w:tcPr>
          <w:p w14:paraId="6ADD7CCE">
            <w:pPr>
              <w:pStyle w:val="57"/>
              <w:jc w:val="center"/>
              <w:rPr>
                <w:sz w:val="22"/>
                <w:szCs w:val="22"/>
              </w:rPr>
            </w:pPr>
            <w:r>
              <w:rPr>
                <w:sz w:val="22"/>
                <w:szCs w:val="22"/>
              </w:rPr>
              <w:t>区域性骨干</w:t>
            </w:r>
          </w:p>
        </w:tc>
      </w:tr>
      <w:tr w14:paraId="675F9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2FC3EA72">
            <w:pPr>
              <w:pStyle w:val="57"/>
              <w:jc w:val="center"/>
              <w:rPr>
                <w:sz w:val="22"/>
                <w:szCs w:val="22"/>
              </w:rPr>
            </w:pPr>
            <w:r>
              <w:rPr>
                <w:sz w:val="22"/>
                <w:szCs w:val="22"/>
              </w:rPr>
              <w:t>6</w:t>
            </w:r>
          </w:p>
        </w:tc>
        <w:tc>
          <w:tcPr>
            <w:tcW w:w="1212" w:type="pct"/>
            <w:shd w:val="clear" w:color="auto" w:fill="auto"/>
            <w:noWrap/>
            <w:vAlign w:val="center"/>
          </w:tcPr>
          <w:p w14:paraId="332DB038">
            <w:pPr>
              <w:pStyle w:val="57"/>
              <w:jc w:val="center"/>
              <w:rPr>
                <w:sz w:val="22"/>
                <w:szCs w:val="22"/>
              </w:rPr>
            </w:pPr>
            <w:r>
              <w:rPr>
                <w:sz w:val="22"/>
                <w:szCs w:val="22"/>
              </w:rPr>
              <w:t>沙黄河</w:t>
            </w:r>
          </w:p>
        </w:tc>
        <w:tc>
          <w:tcPr>
            <w:tcW w:w="1641" w:type="pct"/>
            <w:vAlign w:val="center"/>
          </w:tcPr>
          <w:p w14:paraId="420ED020">
            <w:pPr>
              <w:pStyle w:val="57"/>
              <w:jc w:val="center"/>
              <w:rPr>
                <w:sz w:val="22"/>
                <w:szCs w:val="22"/>
              </w:rPr>
            </w:pPr>
            <w:r>
              <w:rPr>
                <w:sz w:val="22"/>
                <w:szCs w:val="22"/>
              </w:rPr>
              <w:t>泰州兴化市及外市</w:t>
            </w:r>
          </w:p>
        </w:tc>
        <w:tc>
          <w:tcPr>
            <w:tcW w:w="992" w:type="pct"/>
            <w:vAlign w:val="center"/>
          </w:tcPr>
          <w:p w14:paraId="4B8F4129">
            <w:pPr>
              <w:pStyle w:val="57"/>
              <w:jc w:val="center"/>
              <w:rPr>
                <w:sz w:val="22"/>
                <w:szCs w:val="22"/>
              </w:rPr>
            </w:pPr>
            <w:r>
              <w:rPr>
                <w:sz w:val="22"/>
                <w:szCs w:val="22"/>
              </w:rPr>
              <w:t>5.0</w:t>
            </w:r>
          </w:p>
        </w:tc>
        <w:tc>
          <w:tcPr>
            <w:tcW w:w="755" w:type="pct"/>
            <w:shd w:val="clear" w:color="auto" w:fill="auto"/>
            <w:noWrap/>
            <w:vAlign w:val="center"/>
          </w:tcPr>
          <w:p w14:paraId="4564CE78">
            <w:pPr>
              <w:pStyle w:val="57"/>
              <w:jc w:val="center"/>
              <w:rPr>
                <w:sz w:val="22"/>
                <w:szCs w:val="22"/>
              </w:rPr>
            </w:pPr>
            <w:r>
              <w:rPr>
                <w:sz w:val="22"/>
                <w:szCs w:val="22"/>
              </w:rPr>
              <w:t>区域性骨干</w:t>
            </w:r>
          </w:p>
        </w:tc>
      </w:tr>
      <w:tr w14:paraId="66898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6311E85D">
            <w:pPr>
              <w:pStyle w:val="57"/>
              <w:jc w:val="center"/>
              <w:rPr>
                <w:sz w:val="22"/>
                <w:szCs w:val="22"/>
              </w:rPr>
            </w:pPr>
            <w:r>
              <w:rPr>
                <w:sz w:val="22"/>
                <w:szCs w:val="22"/>
              </w:rPr>
              <w:t>7</w:t>
            </w:r>
          </w:p>
        </w:tc>
        <w:tc>
          <w:tcPr>
            <w:tcW w:w="1212" w:type="pct"/>
            <w:shd w:val="clear" w:color="auto" w:fill="auto"/>
            <w:noWrap/>
            <w:vAlign w:val="center"/>
          </w:tcPr>
          <w:p w14:paraId="3FA15052">
            <w:pPr>
              <w:pStyle w:val="57"/>
              <w:jc w:val="center"/>
              <w:rPr>
                <w:sz w:val="22"/>
                <w:szCs w:val="22"/>
              </w:rPr>
            </w:pPr>
            <w:r>
              <w:rPr>
                <w:sz w:val="22"/>
                <w:szCs w:val="22"/>
              </w:rPr>
              <w:t>上官河</w:t>
            </w:r>
          </w:p>
        </w:tc>
        <w:tc>
          <w:tcPr>
            <w:tcW w:w="1641" w:type="pct"/>
            <w:vAlign w:val="center"/>
          </w:tcPr>
          <w:p w14:paraId="6DB769CA">
            <w:pPr>
              <w:pStyle w:val="57"/>
              <w:jc w:val="center"/>
              <w:rPr>
                <w:sz w:val="22"/>
                <w:szCs w:val="22"/>
              </w:rPr>
            </w:pPr>
            <w:r>
              <w:rPr>
                <w:sz w:val="22"/>
                <w:szCs w:val="22"/>
              </w:rPr>
              <w:t>泰州兴化市</w:t>
            </w:r>
          </w:p>
        </w:tc>
        <w:tc>
          <w:tcPr>
            <w:tcW w:w="992" w:type="pct"/>
            <w:vAlign w:val="center"/>
          </w:tcPr>
          <w:p w14:paraId="3E3F0408">
            <w:pPr>
              <w:pStyle w:val="57"/>
              <w:jc w:val="center"/>
              <w:rPr>
                <w:sz w:val="22"/>
                <w:szCs w:val="22"/>
              </w:rPr>
            </w:pPr>
            <w:r>
              <w:rPr>
                <w:sz w:val="22"/>
                <w:szCs w:val="22"/>
              </w:rPr>
              <w:t>28.6</w:t>
            </w:r>
          </w:p>
        </w:tc>
        <w:tc>
          <w:tcPr>
            <w:tcW w:w="755" w:type="pct"/>
            <w:shd w:val="clear" w:color="auto" w:fill="auto"/>
            <w:noWrap/>
            <w:vAlign w:val="center"/>
          </w:tcPr>
          <w:p w14:paraId="2BFE2BE2">
            <w:pPr>
              <w:pStyle w:val="57"/>
              <w:jc w:val="center"/>
              <w:rPr>
                <w:sz w:val="22"/>
                <w:szCs w:val="22"/>
              </w:rPr>
            </w:pPr>
            <w:r>
              <w:rPr>
                <w:sz w:val="22"/>
                <w:szCs w:val="22"/>
              </w:rPr>
              <w:t>区域性骨干</w:t>
            </w:r>
          </w:p>
        </w:tc>
      </w:tr>
      <w:tr w14:paraId="41802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6B9A9219">
            <w:pPr>
              <w:pStyle w:val="57"/>
              <w:jc w:val="center"/>
              <w:rPr>
                <w:sz w:val="22"/>
                <w:szCs w:val="22"/>
              </w:rPr>
            </w:pPr>
            <w:r>
              <w:rPr>
                <w:sz w:val="22"/>
                <w:szCs w:val="22"/>
              </w:rPr>
              <w:t>8</w:t>
            </w:r>
          </w:p>
        </w:tc>
        <w:tc>
          <w:tcPr>
            <w:tcW w:w="1212" w:type="pct"/>
            <w:shd w:val="clear" w:color="auto" w:fill="auto"/>
            <w:noWrap/>
            <w:vAlign w:val="center"/>
          </w:tcPr>
          <w:p w14:paraId="48DF44CE">
            <w:pPr>
              <w:pStyle w:val="57"/>
              <w:jc w:val="center"/>
              <w:rPr>
                <w:sz w:val="22"/>
                <w:szCs w:val="22"/>
              </w:rPr>
            </w:pPr>
            <w:r>
              <w:rPr>
                <w:sz w:val="22"/>
                <w:szCs w:val="22"/>
              </w:rPr>
              <w:t>西塘港</w:t>
            </w:r>
          </w:p>
        </w:tc>
        <w:tc>
          <w:tcPr>
            <w:tcW w:w="1641" w:type="pct"/>
            <w:vAlign w:val="center"/>
          </w:tcPr>
          <w:p w14:paraId="7D801732">
            <w:pPr>
              <w:pStyle w:val="57"/>
              <w:jc w:val="center"/>
              <w:rPr>
                <w:sz w:val="22"/>
                <w:szCs w:val="22"/>
              </w:rPr>
            </w:pPr>
            <w:r>
              <w:rPr>
                <w:sz w:val="22"/>
                <w:szCs w:val="22"/>
              </w:rPr>
              <w:t>泰州兴化市</w:t>
            </w:r>
          </w:p>
        </w:tc>
        <w:tc>
          <w:tcPr>
            <w:tcW w:w="992" w:type="pct"/>
            <w:vAlign w:val="center"/>
          </w:tcPr>
          <w:p w14:paraId="6D462339">
            <w:pPr>
              <w:pStyle w:val="57"/>
              <w:jc w:val="center"/>
              <w:rPr>
                <w:sz w:val="22"/>
                <w:szCs w:val="22"/>
              </w:rPr>
            </w:pPr>
            <w:r>
              <w:rPr>
                <w:sz w:val="22"/>
                <w:szCs w:val="22"/>
              </w:rPr>
              <w:t>55.1</w:t>
            </w:r>
          </w:p>
        </w:tc>
        <w:tc>
          <w:tcPr>
            <w:tcW w:w="755" w:type="pct"/>
            <w:shd w:val="clear" w:color="auto" w:fill="auto"/>
            <w:noWrap/>
            <w:vAlign w:val="center"/>
          </w:tcPr>
          <w:p w14:paraId="6823B74B">
            <w:pPr>
              <w:pStyle w:val="57"/>
              <w:jc w:val="center"/>
              <w:rPr>
                <w:sz w:val="22"/>
                <w:szCs w:val="22"/>
              </w:rPr>
            </w:pPr>
            <w:r>
              <w:rPr>
                <w:sz w:val="22"/>
                <w:szCs w:val="22"/>
              </w:rPr>
              <w:t>区域性骨干</w:t>
            </w:r>
          </w:p>
        </w:tc>
      </w:tr>
      <w:tr w14:paraId="1999F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543DD382">
            <w:pPr>
              <w:pStyle w:val="57"/>
              <w:jc w:val="center"/>
              <w:rPr>
                <w:sz w:val="22"/>
                <w:szCs w:val="22"/>
              </w:rPr>
            </w:pPr>
            <w:r>
              <w:rPr>
                <w:sz w:val="22"/>
                <w:szCs w:val="22"/>
              </w:rPr>
              <w:t>9</w:t>
            </w:r>
          </w:p>
        </w:tc>
        <w:tc>
          <w:tcPr>
            <w:tcW w:w="1212" w:type="pct"/>
            <w:shd w:val="clear" w:color="auto" w:fill="auto"/>
            <w:noWrap/>
            <w:vAlign w:val="center"/>
          </w:tcPr>
          <w:p w14:paraId="3DCDDD45">
            <w:pPr>
              <w:pStyle w:val="57"/>
              <w:jc w:val="center"/>
              <w:rPr>
                <w:sz w:val="22"/>
                <w:szCs w:val="22"/>
              </w:rPr>
            </w:pPr>
            <w:r>
              <w:rPr>
                <w:sz w:val="22"/>
                <w:szCs w:val="22"/>
              </w:rPr>
              <w:t>盐靖河</w:t>
            </w:r>
          </w:p>
        </w:tc>
        <w:tc>
          <w:tcPr>
            <w:tcW w:w="1641" w:type="pct"/>
            <w:vAlign w:val="center"/>
          </w:tcPr>
          <w:p w14:paraId="6A968651">
            <w:pPr>
              <w:pStyle w:val="57"/>
              <w:jc w:val="center"/>
              <w:rPr>
                <w:sz w:val="22"/>
                <w:szCs w:val="22"/>
              </w:rPr>
            </w:pPr>
            <w:r>
              <w:rPr>
                <w:sz w:val="22"/>
                <w:szCs w:val="22"/>
              </w:rPr>
              <w:t>泰州兴化市、泰州姜堰</w:t>
            </w:r>
          </w:p>
        </w:tc>
        <w:tc>
          <w:tcPr>
            <w:tcW w:w="992" w:type="pct"/>
            <w:vAlign w:val="center"/>
          </w:tcPr>
          <w:p w14:paraId="2E628704">
            <w:pPr>
              <w:pStyle w:val="57"/>
              <w:jc w:val="center"/>
              <w:rPr>
                <w:sz w:val="22"/>
                <w:szCs w:val="22"/>
              </w:rPr>
            </w:pPr>
            <w:r>
              <w:rPr>
                <w:sz w:val="22"/>
                <w:szCs w:val="22"/>
              </w:rPr>
              <w:t>58.2</w:t>
            </w:r>
          </w:p>
        </w:tc>
        <w:tc>
          <w:tcPr>
            <w:tcW w:w="755" w:type="pct"/>
            <w:shd w:val="clear" w:color="auto" w:fill="auto"/>
            <w:noWrap/>
            <w:vAlign w:val="center"/>
          </w:tcPr>
          <w:p w14:paraId="5A8B7238">
            <w:pPr>
              <w:pStyle w:val="57"/>
              <w:jc w:val="center"/>
              <w:rPr>
                <w:sz w:val="22"/>
                <w:szCs w:val="22"/>
              </w:rPr>
            </w:pPr>
            <w:r>
              <w:rPr>
                <w:sz w:val="22"/>
                <w:szCs w:val="22"/>
              </w:rPr>
              <w:t>区域性骨干</w:t>
            </w:r>
          </w:p>
        </w:tc>
      </w:tr>
      <w:tr w14:paraId="42282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44BB517D">
            <w:pPr>
              <w:pStyle w:val="57"/>
              <w:jc w:val="center"/>
              <w:rPr>
                <w:sz w:val="22"/>
                <w:szCs w:val="22"/>
              </w:rPr>
            </w:pPr>
            <w:r>
              <w:rPr>
                <w:sz w:val="22"/>
                <w:szCs w:val="22"/>
              </w:rPr>
              <w:t>10</w:t>
            </w:r>
          </w:p>
        </w:tc>
        <w:tc>
          <w:tcPr>
            <w:tcW w:w="1212" w:type="pct"/>
            <w:shd w:val="clear" w:color="auto" w:fill="auto"/>
            <w:noWrap/>
            <w:vAlign w:val="center"/>
          </w:tcPr>
          <w:p w14:paraId="58546646">
            <w:pPr>
              <w:pStyle w:val="57"/>
              <w:jc w:val="center"/>
              <w:rPr>
                <w:sz w:val="22"/>
                <w:szCs w:val="22"/>
              </w:rPr>
            </w:pPr>
            <w:r>
              <w:rPr>
                <w:sz w:val="22"/>
                <w:szCs w:val="22"/>
              </w:rPr>
              <w:t>冈沟河</w:t>
            </w:r>
          </w:p>
        </w:tc>
        <w:tc>
          <w:tcPr>
            <w:tcW w:w="1641" w:type="pct"/>
            <w:vAlign w:val="center"/>
          </w:tcPr>
          <w:p w14:paraId="600365DB">
            <w:pPr>
              <w:pStyle w:val="57"/>
              <w:jc w:val="center"/>
              <w:rPr>
                <w:sz w:val="22"/>
                <w:szCs w:val="22"/>
              </w:rPr>
            </w:pPr>
            <w:r>
              <w:rPr>
                <w:sz w:val="22"/>
                <w:szCs w:val="22"/>
              </w:rPr>
              <w:t>泰州兴化市及外市</w:t>
            </w:r>
          </w:p>
        </w:tc>
        <w:tc>
          <w:tcPr>
            <w:tcW w:w="992" w:type="pct"/>
            <w:vAlign w:val="center"/>
          </w:tcPr>
          <w:p w14:paraId="19AA2147">
            <w:pPr>
              <w:pStyle w:val="57"/>
              <w:jc w:val="center"/>
              <w:rPr>
                <w:sz w:val="22"/>
                <w:szCs w:val="22"/>
              </w:rPr>
            </w:pPr>
            <w:r>
              <w:rPr>
                <w:sz w:val="22"/>
                <w:szCs w:val="22"/>
              </w:rPr>
              <w:t>0.1</w:t>
            </w:r>
          </w:p>
        </w:tc>
        <w:tc>
          <w:tcPr>
            <w:tcW w:w="755" w:type="pct"/>
            <w:shd w:val="clear" w:color="auto" w:fill="auto"/>
            <w:noWrap/>
            <w:vAlign w:val="center"/>
          </w:tcPr>
          <w:p w14:paraId="68AB7D57">
            <w:pPr>
              <w:pStyle w:val="57"/>
              <w:jc w:val="center"/>
              <w:rPr>
                <w:sz w:val="22"/>
                <w:szCs w:val="22"/>
              </w:rPr>
            </w:pPr>
            <w:r>
              <w:rPr>
                <w:sz w:val="22"/>
                <w:szCs w:val="22"/>
              </w:rPr>
              <w:t>区域性骨干</w:t>
            </w:r>
          </w:p>
        </w:tc>
      </w:tr>
      <w:tr w14:paraId="3BAD8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3A5CB0A0">
            <w:pPr>
              <w:pStyle w:val="57"/>
              <w:jc w:val="center"/>
              <w:rPr>
                <w:sz w:val="22"/>
                <w:szCs w:val="22"/>
              </w:rPr>
            </w:pPr>
            <w:r>
              <w:rPr>
                <w:sz w:val="22"/>
                <w:szCs w:val="22"/>
              </w:rPr>
              <w:t>11</w:t>
            </w:r>
          </w:p>
        </w:tc>
        <w:tc>
          <w:tcPr>
            <w:tcW w:w="1212" w:type="pct"/>
            <w:shd w:val="clear" w:color="auto" w:fill="auto"/>
            <w:noWrap/>
            <w:vAlign w:val="center"/>
          </w:tcPr>
          <w:p w14:paraId="2BC389BF">
            <w:pPr>
              <w:pStyle w:val="57"/>
              <w:jc w:val="center"/>
              <w:rPr>
                <w:sz w:val="22"/>
                <w:szCs w:val="22"/>
              </w:rPr>
            </w:pPr>
            <w:r>
              <w:rPr>
                <w:sz w:val="22"/>
                <w:szCs w:val="22"/>
              </w:rPr>
              <w:t>雌港</w:t>
            </w:r>
          </w:p>
        </w:tc>
        <w:tc>
          <w:tcPr>
            <w:tcW w:w="1641" w:type="pct"/>
            <w:vAlign w:val="center"/>
          </w:tcPr>
          <w:p w14:paraId="4ADB0671">
            <w:pPr>
              <w:pStyle w:val="57"/>
              <w:jc w:val="center"/>
              <w:rPr>
                <w:sz w:val="22"/>
                <w:szCs w:val="22"/>
              </w:rPr>
            </w:pPr>
            <w:r>
              <w:rPr>
                <w:sz w:val="22"/>
                <w:szCs w:val="22"/>
              </w:rPr>
              <w:t>泰州兴化市及外市</w:t>
            </w:r>
          </w:p>
        </w:tc>
        <w:tc>
          <w:tcPr>
            <w:tcW w:w="992" w:type="pct"/>
            <w:vAlign w:val="center"/>
          </w:tcPr>
          <w:p w14:paraId="4FF05038">
            <w:pPr>
              <w:pStyle w:val="57"/>
              <w:jc w:val="center"/>
              <w:rPr>
                <w:sz w:val="22"/>
                <w:szCs w:val="22"/>
              </w:rPr>
            </w:pPr>
            <w:r>
              <w:rPr>
                <w:sz w:val="22"/>
                <w:szCs w:val="22"/>
              </w:rPr>
              <w:t>8.4</w:t>
            </w:r>
          </w:p>
        </w:tc>
        <w:tc>
          <w:tcPr>
            <w:tcW w:w="755" w:type="pct"/>
            <w:shd w:val="clear" w:color="auto" w:fill="auto"/>
            <w:noWrap/>
            <w:vAlign w:val="center"/>
          </w:tcPr>
          <w:p w14:paraId="6D4097FA">
            <w:pPr>
              <w:pStyle w:val="57"/>
              <w:jc w:val="center"/>
              <w:rPr>
                <w:sz w:val="22"/>
                <w:szCs w:val="22"/>
              </w:rPr>
            </w:pPr>
            <w:r>
              <w:rPr>
                <w:sz w:val="22"/>
                <w:szCs w:val="22"/>
              </w:rPr>
              <w:t>区域性骨干</w:t>
            </w:r>
          </w:p>
        </w:tc>
      </w:tr>
      <w:tr w14:paraId="2D4D1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12A58386">
            <w:pPr>
              <w:pStyle w:val="57"/>
              <w:jc w:val="center"/>
              <w:rPr>
                <w:sz w:val="22"/>
                <w:szCs w:val="22"/>
              </w:rPr>
            </w:pPr>
            <w:r>
              <w:rPr>
                <w:sz w:val="22"/>
                <w:szCs w:val="22"/>
              </w:rPr>
              <w:t>12</w:t>
            </w:r>
          </w:p>
        </w:tc>
        <w:tc>
          <w:tcPr>
            <w:tcW w:w="1212" w:type="pct"/>
            <w:shd w:val="clear" w:color="auto" w:fill="auto"/>
            <w:noWrap/>
            <w:vAlign w:val="center"/>
          </w:tcPr>
          <w:p w14:paraId="6B6A3F9B">
            <w:pPr>
              <w:pStyle w:val="57"/>
              <w:jc w:val="center"/>
              <w:rPr>
                <w:sz w:val="22"/>
                <w:szCs w:val="22"/>
              </w:rPr>
            </w:pPr>
            <w:r>
              <w:rPr>
                <w:sz w:val="22"/>
                <w:szCs w:val="22"/>
              </w:rPr>
              <w:t>雄港</w:t>
            </w:r>
          </w:p>
        </w:tc>
        <w:tc>
          <w:tcPr>
            <w:tcW w:w="1641" w:type="pct"/>
            <w:vAlign w:val="center"/>
          </w:tcPr>
          <w:p w14:paraId="03DE4FC7">
            <w:pPr>
              <w:pStyle w:val="57"/>
              <w:jc w:val="center"/>
              <w:rPr>
                <w:sz w:val="22"/>
                <w:szCs w:val="22"/>
              </w:rPr>
            </w:pPr>
            <w:r>
              <w:rPr>
                <w:sz w:val="22"/>
                <w:szCs w:val="22"/>
              </w:rPr>
              <w:t>泰州兴化市</w:t>
            </w:r>
          </w:p>
        </w:tc>
        <w:tc>
          <w:tcPr>
            <w:tcW w:w="992" w:type="pct"/>
            <w:vAlign w:val="center"/>
          </w:tcPr>
          <w:p w14:paraId="2C0A8FBB">
            <w:pPr>
              <w:pStyle w:val="57"/>
              <w:jc w:val="center"/>
              <w:rPr>
                <w:sz w:val="22"/>
                <w:szCs w:val="22"/>
              </w:rPr>
            </w:pPr>
            <w:r>
              <w:rPr>
                <w:sz w:val="22"/>
                <w:szCs w:val="22"/>
              </w:rPr>
              <w:t>15.4</w:t>
            </w:r>
          </w:p>
        </w:tc>
        <w:tc>
          <w:tcPr>
            <w:tcW w:w="755" w:type="pct"/>
            <w:shd w:val="clear" w:color="auto" w:fill="auto"/>
            <w:noWrap/>
            <w:vAlign w:val="center"/>
          </w:tcPr>
          <w:p w14:paraId="0E617893">
            <w:pPr>
              <w:pStyle w:val="57"/>
              <w:jc w:val="center"/>
              <w:rPr>
                <w:sz w:val="22"/>
                <w:szCs w:val="22"/>
              </w:rPr>
            </w:pPr>
            <w:r>
              <w:rPr>
                <w:sz w:val="22"/>
                <w:szCs w:val="22"/>
              </w:rPr>
              <w:t>区域性骨干</w:t>
            </w:r>
          </w:p>
        </w:tc>
      </w:tr>
      <w:tr w14:paraId="28ABE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2A9BFB53">
            <w:pPr>
              <w:pStyle w:val="57"/>
              <w:jc w:val="center"/>
              <w:rPr>
                <w:sz w:val="22"/>
                <w:szCs w:val="22"/>
              </w:rPr>
            </w:pPr>
            <w:r>
              <w:rPr>
                <w:sz w:val="22"/>
                <w:szCs w:val="22"/>
              </w:rPr>
              <w:t>13</w:t>
            </w:r>
          </w:p>
        </w:tc>
        <w:tc>
          <w:tcPr>
            <w:tcW w:w="1212" w:type="pct"/>
            <w:shd w:val="clear" w:color="auto" w:fill="auto"/>
            <w:noWrap/>
            <w:vAlign w:val="center"/>
          </w:tcPr>
          <w:p w14:paraId="32C42C11">
            <w:pPr>
              <w:pStyle w:val="57"/>
              <w:jc w:val="center"/>
              <w:rPr>
                <w:sz w:val="22"/>
                <w:szCs w:val="22"/>
              </w:rPr>
            </w:pPr>
            <w:r>
              <w:rPr>
                <w:sz w:val="22"/>
                <w:szCs w:val="22"/>
              </w:rPr>
              <w:t>车路河</w:t>
            </w:r>
          </w:p>
        </w:tc>
        <w:tc>
          <w:tcPr>
            <w:tcW w:w="1641" w:type="pct"/>
            <w:vAlign w:val="center"/>
          </w:tcPr>
          <w:p w14:paraId="581B53DD">
            <w:pPr>
              <w:pStyle w:val="57"/>
              <w:jc w:val="center"/>
              <w:rPr>
                <w:sz w:val="22"/>
                <w:szCs w:val="22"/>
              </w:rPr>
            </w:pPr>
            <w:r>
              <w:rPr>
                <w:sz w:val="22"/>
                <w:szCs w:val="22"/>
              </w:rPr>
              <w:t>泰州兴化市及外市</w:t>
            </w:r>
          </w:p>
        </w:tc>
        <w:tc>
          <w:tcPr>
            <w:tcW w:w="992" w:type="pct"/>
            <w:vAlign w:val="center"/>
          </w:tcPr>
          <w:p w14:paraId="66C4954F">
            <w:pPr>
              <w:pStyle w:val="57"/>
              <w:jc w:val="center"/>
              <w:rPr>
                <w:sz w:val="22"/>
                <w:szCs w:val="22"/>
              </w:rPr>
            </w:pPr>
            <w:r>
              <w:rPr>
                <w:sz w:val="22"/>
                <w:szCs w:val="22"/>
              </w:rPr>
              <w:t>39.1</w:t>
            </w:r>
          </w:p>
        </w:tc>
        <w:tc>
          <w:tcPr>
            <w:tcW w:w="755" w:type="pct"/>
            <w:shd w:val="clear" w:color="auto" w:fill="auto"/>
            <w:noWrap/>
            <w:vAlign w:val="center"/>
          </w:tcPr>
          <w:p w14:paraId="19E6A5F2">
            <w:pPr>
              <w:pStyle w:val="57"/>
              <w:jc w:val="center"/>
              <w:rPr>
                <w:sz w:val="22"/>
                <w:szCs w:val="22"/>
              </w:rPr>
            </w:pPr>
            <w:r>
              <w:rPr>
                <w:sz w:val="22"/>
                <w:szCs w:val="22"/>
              </w:rPr>
              <w:t>区域性骨干</w:t>
            </w:r>
          </w:p>
        </w:tc>
      </w:tr>
      <w:tr w14:paraId="0C77F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53F57380">
            <w:pPr>
              <w:pStyle w:val="57"/>
              <w:jc w:val="center"/>
              <w:rPr>
                <w:sz w:val="22"/>
                <w:szCs w:val="22"/>
              </w:rPr>
            </w:pPr>
            <w:r>
              <w:rPr>
                <w:sz w:val="22"/>
                <w:szCs w:val="22"/>
              </w:rPr>
              <w:t>14</w:t>
            </w:r>
          </w:p>
        </w:tc>
        <w:tc>
          <w:tcPr>
            <w:tcW w:w="1212" w:type="pct"/>
            <w:shd w:val="clear" w:color="auto" w:fill="auto"/>
            <w:noWrap/>
            <w:vAlign w:val="center"/>
          </w:tcPr>
          <w:p w14:paraId="5EC2D2C9">
            <w:pPr>
              <w:pStyle w:val="57"/>
              <w:jc w:val="center"/>
              <w:rPr>
                <w:sz w:val="22"/>
                <w:szCs w:val="22"/>
              </w:rPr>
            </w:pPr>
            <w:r>
              <w:rPr>
                <w:sz w:val="22"/>
                <w:szCs w:val="22"/>
              </w:rPr>
              <w:t>兴盐界河</w:t>
            </w:r>
          </w:p>
        </w:tc>
        <w:tc>
          <w:tcPr>
            <w:tcW w:w="1641" w:type="pct"/>
            <w:vAlign w:val="center"/>
          </w:tcPr>
          <w:p w14:paraId="1CD90E0D">
            <w:pPr>
              <w:pStyle w:val="57"/>
              <w:jc w:val="center"/>
              <w:rPr>
                <w:sz w:val="22"/>
                <w:szCs w:val="22"/>
              </w:rPr>
            </w:pPr>
            <w:r>
              <w:rPr>
                <w:sz w:val="22"/>
                <w:szCs w:val="22"/>
              </w:rPr>
              <w:t>泰州兴化市及外市</w:t>
            </w:r>
          </w:p>
        </w:tc>
        <w:tc>
          <w:tcPr>
            <w:tcW w:w="992" w:type="pct"/>
            <w:vAlign w:val="center"/>
          </w:tcPr>
          <w:p w14:paraId="21687281">
            <w:pPr>
              <w:pStyle w:val="57"/>
              <w:jc w:val="center"/>
              <w:rPr>
                <w:sz w:val="22"/>
                <w:szCs w:val="22"/>
              </w:rPr>
            </w:pPr>
            <w:r>
              <w:rPr>
                <w:sz w:val="22"/>
                <w:szCs w:val="22"/>
              </w:rPr>
              <w:t>20.7</w:t>
            </w:r>
          </w:p>
        </w:tc>
        <w:tc>
          <w:tcPr>
            <w:tcW w:w="755" w:type="pct"/>
            <w:shd w:val="clear" w:color="auto" w:fill="auto"/>
            <w:noWrap/>
            <w:vAlign w:val="center"/>
          </w:tcPr>
          <w:p w14:paraId="17707750">
            <w:pPr>
              <w:pStyle w:val="57"/>
              <w:jc w:val="center"/>
              <w:rPr>
                <w:sz w:val="22"/>
                <w:szCs w:val="22"/>
              </w:rPr>
            </w:pPr>
            <w:r>
              <w:rPr>
                <w:sz w:val="22"/>
                <w:szCs w:val="22"/>
              </w:rPr>
              <w:t>区域性骨干</w:t>
            </w:r>
          </w:p>
        </w:tc>
      </w:tr>
      <w:tr w14:paraId="12918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7996A638">
            <w:pPr>
              <w:pStyle w:val="57"/>
              <w:jc w:val="center"/>
              <w:rPr>
                <w:sz w:val="22"/>
                <w:szCs w:val="22"/>
              </w:rPr>
            </w:pPr>
            <w:r>
              <w:rPr>
                <w:sz w:val="22"/>
                <w:szCs w:val="22"/>
              </w:rPr>
              <w:t>15</w:t>
            </w:r>
          </w:p>
        </w:tc>
        <w:tc>
          <w:tcPr>
            <w:tcW w:w="1212" w:type="pct"/>
            <w:shd w:val="clear" w:color="auto" w:fill="auto"/>
            <w:noWrap/>
            <w:vAlign w:val="center"/>
          </w:tcPr>
          <w:p w14:paraId="4FE60BD4">
            <w:pPr>
              <w:pStyle w:val="57"/>
              <w:jc w:val="center"/>
              <w:rPr>
                <w:sz w:val="22"/>
                <w:szCs w:val="22"/>
              </w:rPr>
            </w:pPr>
            <w:r>
              <w:rPr>
                <w:sz w:val="22"/>
                <w:szCs w:val="22"/>
              </w:rPr>
              <w:t>北澄子河</w:t>
            </w:r>
          </w:p>
        </w:tc>
        <w:tc>
          <w:tcPr>
            <w:tcW w:w="1641" w:type="pct"/>
            <w:vAlign w:val="center"/>
          </w:tcPr>
          <w:p w14:paraId="66CD9A42">
            <w:pPr>
              <w:pStyle w:val="57"/>
              <w:jc w:val="center"/>
              <w:rPr>
                <w:sz w:val="22"/>
                <w:szCs w:val="22"/>
              </w:rPr>
            </w:pPr>
            <w:r>
              <w:rPr>
                <w:sz w:val="22"/>
                <w:szCs w:val="22"/>
              </w:rPr>
              <w:t>泰州兴化市及外市</w:t>
            </w:r>
          </w:p>
        </w:tc>
        <w:tc>
          <w:tcPr>
            <w:tcW w:w="992" w:type="pct"/>
            <w:vAlign w:val="center"/>
          </w:tcPr>
          <w:p w14:paraId="19677935">
            <w:pPr>
              <w:pStyle w:val="57"/>
              <w:jc w:val="center"/>
              <w:rPr>
                <w:sz w:val="22"/>
                <w:szCs w:val="22"/>
              </w:rPr>
            </w:pPr>
            <w:r>
              <w:rPr>
                <w:sz w:val="22"/>
                <w:szCs w:val="22"/>
              </w:rPr>
              <w:t>2.8</w:t>
            </w:r>
          </w:p>
        </w:tc>
        <w:tc>
          <w:tcPr>
            <w:tcW w:w="755" w:type="pct"/>
            <w:shd w:val="clear" w:color="auto" w:fill="auto"/>
            <w:noWrap/>
            <w:vAlign w:val="center"/>
          </w:tcPr>
          <w:p w14:paraId="27EE8CF3">
            <w:pPr>
              <w:pStyle w:val="57"/>
              <w:jc w:val="center"/>
              <w:rPr>
                <w:sz w:val="22"/>
                <w:szCs w:val="22"/>
              </w:rPr>
            </w:pPr>
            <w:r>
              <w:rPr>
                <w:sz w:val="22"/>
                <w:szCs w:val="22"/>
              </w:rPr>
              <w:t>区域性骨干</w:t>
            </w:r>
          </w:p>
        </w:tc>
      </w:tr>
      <w:tr w14:paraId="267C1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4F4385AE">
            <w:pPr>
              <w:pStyle w:val="57"/>
              <w:jc w:val="center"/>
              <w:rPr>
                <w:sz w:val="22"/>
                <w:szCs w:val="22"/>
              </w:rPr>
            </w:pPr>
            <w:r>
              <w:rPr>
                <w:sz w:val="22"/>
                <w:szCs w:val="22"/>
              </w:rPr>
              <w:t>16</w:t>
            </w:r>
          </w:p>
        </w:tc>
        <w:tc>
          <w:tcPr>
            <w:tcW w:w="1212" w:type="pct"/>
            <w:shd w:val="clear" w:color="auto" w:fill="auto"/>
            <w:noWrap/>
            <w:vAlign w:val="center"/>
          </w:tcPr>
          <w:p w14:paraId="4997BECF">
            <w:pPr>
              <w:pStyle w:val="57"/>
              <w:jc w:val="center"/>
              <w:rPr>
                <w:sz w:val="22"/>
                <w:szCs w:val="22"/>
              </w:rPr>
            </w:pPr>
            <w:r>
              <w:rPr>
                <w:sz w:val="22"/>
                <w:szCs w:val="22"/>
              </w:rPr>
              <w:t>新通扬运河泰东段</w:t>
            </w:r>
          </w:p>
        </w:tc>
        <w:tc>
          <w:tcPr>
            <w:tcW w:w="1641" w:type="pct"/>
            <w:vAlign w:val="center"/>
          </w:tcPr>
          <w:p w14:paraId="5D9AA858">
            <w:pPr>
              <w:pStyle w:val="57"/>
              <w:jc w:val="center"/>
              <w:rPr>
                <w:sz w:val="22"/>
                <w:szCs w:val="22"/>
              </w:rPr>
            </w:pPr>
            <w:r>
              <w:rPr>
                <w:sz w:val="22"/>
                <w:szCs w:val="22"/>
              </w:rPr>
              <w:t>泰州</w:t>
            </w:r>
            <w:r>
              <w:rPr>
                <w:rFonts w:hint="eastAsia"/>
                <w:sz w:val="22"/>
                <w:szCs w:val="22"/>
              </w:rPr>
              <w:t>海陵</w:t>
            </w:r>
            <w:r>
              <w:rPr>
                <w:sz w:val="22"/>
                <w:szCs w:val="22"/>
              </w:rPr>
              <w:t>、姜堰及外市</w:t>
            </w:r>
          </w:p>
        </w:tc>
        <w:tc>
          <w:tcPr>
            <w:tcW w:w="992" w:type="pct"/>
            <w:vAlign w:val="center"/>
          </w:tcPr>
          <w:p w14:paraId="1B14F40D">
            <w:pPr>
              <w:pStyle w:val="57"/>
              <w:jc w:val="center"/>
              <w:rPr>
                <w:sz w:val="22"/>
                <w:szCs w:val="22"/>
              </w:rPr>
            </w:pPr>
            <w:r>
              <w:rPr>
                <w:sz w:val="22"/>
                <w:szCs w:val="22"/>
              </w:rPr>
              <w:t>30.6</w:t>
            </w:r>
          </w:p>
        </w:tc>
        <w:tc>
          <w:tcPr>
            <w:tcW w:w="755" w:type="pct"/>
            <w:shd w:val="clear" w:color="auto" w:fill="auto"/>
            <w:noWrap/>
            <w:vAlign w:val="center"/>
          </w:tcPr>
          <w:p w14:paraId="39C6F7C6">
            <w:pPr>
              <w:pStyle w:val="57"/>
              <w:jc w:val="center"/>
              <w:rPr>
                <w:sz w:val="22"/>
                <w:szCs w:val="22"/>
              </w:rPr>
            </w:pPr>
            <w:r>
              <w:rPr>
                <w:sz w:val="22"/>
                <w:szCs w:val="22"/>
              </w:rPr>
              <w:t>区域性骨干</w:t>
            </w:r>
          </w:p>
        </w:tc>
      </w:tr>
      <w:tr w14:paraId="57A5C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6271144C">
            <w:pPr>
              <w:pStyle w:val="57"/>
              <w:jc w:val="center"/>
              <w:rPr>
                <w:sz w:val="22"/>
                <w:szCs w:val="22"/>
              </w:rPr>
            </w:pPr>
            <w:r>
              <w:rPr>
                <w:sz w:val="22"/>
                <w:szCs w:val="22"/>
              </w:rPr>
              <w:t>17</w:t>
            </w:r>
          </w:p>
        </w:tc>
        <w:tc>
          <w:tcPr>
            <w:tcW w:w="1212" w:type="pct"/>
            <w:shd w:val="clear" w:color="auto" w:fill="auto"/>
            <w:noWrap/>
            <w:vAlign w:val="center"/>
          </w:tcPr>
          <w:p w14:paraId="6517D3C1">
            <w:pPr>
              <w:pStyle w:val="57"/>
              <w:jc w:val="center"/>
              <w:rPr>
                <w:sz w:val="22"/>
                <w:szCs w:val="22"/>
              </w:rPr>
            </w:pPr>
            <w:r>
              <w:rPr>
                <w:sz w:val="22"/>
                <w:szCs w:val="22"/>
              </w:rPr>
              <w:t>卤汀河</w:t>
            </w:r>
          </w:p>
        </w:tc>
        <w:tc>
          <w:tcPr>
            <w:tcW w:w="1641" w:type="pct"/>
            <w:vAlign w:val="center"/>
          </w:tcPr>
          <w:p w14:paraId="225008FA">
            <w:pPr>
              <w:pStyle w:val="57"/>
              <w:jc w:val="center"/>
              <w:rPr>
                <w:sz w:val="22"/>
                <w:szCs w:val="22"/>
              </w:rPr>
            </w:pPr>
            <w:r>
              <w:rPr>
                <w:sz w:val="22"/>
                <w:szCs w:val="22"/>
              </w:rPr>
              <w:t>泰州兴化市及外市</w:t>
            </w:r>
          </w:p>
        </w:tc>
        <w:tc>
          <w:tcPr>
            <w:tcW w:w="992" w:type="pct"/>
            <w:vAlign w:val="center"/>
          </w:tcPr>
          <w:p w14:paraId="1CE331E7">
            <w:pPr>
              <w:pStyle w:val="57"/>
              <w:jc w:val="center"/>
              <w:rPr>
                <w:sz w:val="22"/>
                <w:szCs w:val="22"/>
              </w:rPr>
            </w:pPr>
            <w:r>
              <w:rPr>
                <w:sz w:val="22"/>
                <w:szCs w:val="22"/>
              </w:rPr>
              <w:t>42.5</w:t>
            </w:r>
          </w:p>
        </w:tc>
        <w:tc>
          <w:tcPr>
            <w:tcW w:w="755" w:type="pct"/>
            <w:shd w:val="clear" w:color="auto" w:fill="auto"/>
            <w:noWrap/>
            <w:vAlign w:val="center"/>
          </w:tcPr>
          <w:p w14:paraId="6DAC3996">
            <w:pPr>
              <w:pStyle w:val="57"/>
              <w:jc w:val="center"/>
              <w:rPr>
                <w:sz w:val="22"/>
                <w:szCs w:val="22"/>
              </w:rPr>
            </w:pPr>
            <w:r>
              <w:rPr>
                <w:sz w:val="22"/>
                <w:szCs w:val="22"/>
              </w:rPr>
              <w:t>区域性骨干</w:t>
            </w:r>
          </w:p>
        </w:tc>
      </w:tr>
      <w:tr w14:paraId="53FFB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45B143AD">
            <w:pPr>
              <w:pStyle w:val="57"/>
              <w:jc w:val="center"/>
              <w:rPr>
                <w:sz w:val="22"/>
                <w:szCs w:val="22"/>
              </w:rPr>
            </w:pPr>
            <w:r>
              <w:rPr>
                <w:sz w:val="22"/>
                <w:szCs w:val="22"/>
              </w:rPr>
              <w:t>18</w:t>
            </w:r>
          </w:p>
        </w:tc>
        <w:tc>
          <w:tcPr>
            <w:tcW w:w="1212" w:type="pct"/>
            <w:shd w:val="clear" w:color="auto" w:fill="auto"/>
            <w:noWrap/>
            <w:vAlign w:val="center"/>
          </w:tcPr>
          <w:p w14:paraId="39D7C851">
            <w:pPr>
              <w:pStyle w:val="57"/>
              <w:jc w:val="center"/>
              <w:rPr>
                <w:sz w:val="22"/>
                <w:szCs w:val="22"/>
              </w:rPr>
            </w:pPr>
            <w:r>
              <w:rPr>
                <w:sz w:val="22"/>
                <w:szCs w:val="22"/>
              </w:rPr>
              <w:t>茅山河</w:t>
            </w:r>
          </w:p>
        </w:tc>
        <w:tc>
          <w:tcPr>
            <w:tcW w:w="1641" w:type="pct"/>
            <w:vAlign w:val="center"/>
          </w:tcPr>
          <w:p w14:paraId="322542F3">
            <w:pPr>
              <w:pStyle w:val="57"/>
              <w:jc w:val="center"/>
              <w:rPr>
                <w:sz w:val="22"/>
                <w:szCs w:val="22"/>
              </w:rPr>
            </w:pPr>
            <w:r>
              <w:rPr>
                <w:sz w:val="22"/>
                <w:szCs w:val="22"/>
              </w:rPr>
              <w:t>泰州兴化市、泰州姜堰</w:t>
            </w:r>
          </w:p>
        </w:tc>
        <w:tc>
          <w:tcPr>
            <w:tcW w:w="992" w:type="pct"/>
            <w:vAlign w:val="center"/>
          </w:tcPr>
          <w:p w14:paraId="22D85549">
            <w:pPr>
              <w:pStyle w:val="57"/>
              <w:jc w:val="center"/>
              <w:rPr>
                <w:sz w:val="22"/>
                <w:szCs w:val="22"/>
              </w:rPr>
            </w:pPr>
            <w:r>
              <w:rPr>
                <w:sz w:val="22"/>
                <w:szCs w:val="22"/>
              </w:rPr>
              <w:t>15.0</w:t>
            </w:r>
          </w:p>
        </w:tc>
        <w:tc>
          <w:tcPr>
            <w:tcW w:w="755" w:type="pct"/>
            <w:shd w:val="clear" w:color="auto" w:fill="auto"/>
            <w:noWrap/>
            <w:vAlign w:val="center"/>
          </w:tcPr>
          <w:p w14:paraId="368AD159">
            <w:pPr>
              <w:pStyle w:val="57"/>
              <w:jc w:val="center"/>
              <w:rPr>
                <w:sz w:val="22"/>
                <w:szCs w:val="22"/>
              </w:rPr>
            </w:pPr>
            <w:r>
              <w:rPr>
                <w:sz w:val="22"/>
                <w:szCs w:val="22"/>
              </w:rPr>
              <w:t>区域性骨干</w:t>
            </w:r>
          </w:p>
        </w:tc>
      </w:tr>
      <w:tr w14:paraId="178AD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438F245F">
            <w:pPr>
              <w:pStyle w:val="57"/>
              <w:jc w:val="center"/>
              <w:rPr>
                <w:sz w:val="22"/>
                <w:szCs w:val="22"/>
              </w:rPr>
            </w:pPr>
            <w:r>
              <w:rPr>
                <w:sz w:val="22"/>
                <w:szCs w:val="22"/>
              </w:rPr>
              <w:t>19</w:t>
            </w:r>
          </w:p>
        </w:tc>
        <w:tc>
          <w:tcPr>
            <w:tcW w:w="1212" w:type="pct"/>
            <w:shd w:val="clear" w:color="auto" w:fill="auto"/>
            <w:noWrap/>
            <w:vAlign w:val="center"/>
          </w:tcPr>
          <w:p w14:paraId="3A843E74">
            <w:pPr>
              <w:pStyle w:val="57"/>
              <w:jc w:val="center"/>
              <w:rPr>
                <w:sz w:val="22"/>
                <w:szCs w:val="22"/>
              </w:rPr>
            </w:pPr>
            <w:r>
              <w:rPr>
                <w:sz w:val="22"/>
                <w:szCs w:val="22"/>
              </w:rPr>
              <w:t>姜溱河</w:t>
            </w:r>
          </w:p>
        </w:tc>
        <w:tc>
          <w:tcPr>
            <w:tcW w:w="1641" w:type="pct"/>
            <w:vAlign w:val="center"/>
          </w:tcPr>
          <w:p w14:paraId="498168AC">
            <w:pPr>
              <w:pStyle w:val="57"/>
              <w:jc w:val="center"/>
              <w:rPr>
                <w:sz w:val="22"/>
                <w:szCs w:val="22"/>
              </w:rPr>
            </w:pPr>
            <w:r>
              <w:rPr>
                <w:sz w:val="22"/>
                <w:szCs w:val="22"/>
              </w:rPr>
              <w:t>泰州姜堰及外市</w:t>
            </w:r>
          </w:p>
        </w:tc>
        <w:tc>
          <w:tcPr>
            <w:tcW w:w="992" w:type="pct"/>
            <w:vAlign w:val="center"/>
          </w:tcPr>
          <w:p w14:paraId="52765D1E">
            <w:pPr>
              <w:pStyle w:val="57"/>
              <w:jc w:val="center"/>
              <w:rPr>
                <w:sz w:val="22"/>
                <w:szCs w:val="22"/>
              </w:rPr>
            </w:pPr>
            <w:r>
              <w:rPr>
                <w:sz w:val="22"/>
                <w:szCs w:val="22"/>
              </w:rPr>
              <w:t>12.9</w:t>
            </w:r>
          </w:p>
        </w:tc>
        <w:tc>
          <w:tcPr>
            <w:tcW w:w="755" w:type="pct"/>
            <w:shd w:val="clear" w:color="auto" w:fill="auto"/>
            <w:noWrap/>
            <w:vAlign w:val="center"/>
          </w:tcPr>
          <w:p w14:paraId="3C17B0FB">
            <w:pPr>
              <w:pStyle w:val="57"/>
              <w:jc w:val="center"/>
              <w:rPr>
                <w:sz w:val="22"/>
                <w:szCs w:val="22"/>
              </w:rPr>
            </w:pPr>
            <w:r>
              <w:rPr>
                <w:sz w:val="22"/>
                <w:szCs w:val="22"/>
              </w:rPr>
              <w:t>区域性骨干</w:t>
            </w:r>
          </w:p>
        </w:tc>
      </w:tr>
      <w:tr w14:paraId="2B8D4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579814D0">
            <w:pPr>
              <w:pStyle w:val="57"/>
              <w:jc w:val="center"/>
              <w:rPr>
                <w:sz w:val="22"/>
                <w:szCs w:val="22"/>
              </w:rPr>
            </w:pPr>
            <w:r>
              <w:rPr>
                <w:sz w:val="22"/>
                <w:szCs w:val="22"/>
              </w:rPr>
              <w:t>20</w:t>
            </w:r>
          </w:p>
        </w:tc>
        <w:tc>
          <w:tcPr>
            <w:tcW w:w="1212" w:type="pct"/>
            <w:shd w:val="clear" w:color="auto" w:fill="auto"/>
            <w:noWrap/>
            <w:vAlign w:val="center"/>
          </w:tcPr>
          <w:p w14:paraId="535DA529">
            <w:pPr>
              <w:pStyle w:val="57"/>
              <w:jc w:val="center"/>
              <w:rPr>
                <w:sz w:val="22"/>
                <w:szCs w:val="22"/>
              </w:rPr>
            </w:pPr>
            <w:r>
              <w:rPr>
                <w:sz w:val="22"/>
                <w:szCs w:val="22"/>
              </w:rPr>
              <w:t>栟茶运河</w:t>
            </w:r>
          </w:p>
        </w:tc>
        <w:tc>
          <w:tcPr>
            <w:tcW w:w="1641" w:type="pct"/>
            <w:vAlign w:val="center"/>
          </w:tcPr>
          <w:p w14:paraId="4BB30A73">
            <w:pPr>
              <w:pStyle w:val="57"/>
              <w:jc w:val="center"/>
              <w:rPr>
                <w:sz w:val="22"/>
                <w:szCs w:val="22"/>
              </w:rPr>
            </w:pPr>
            <w:r>
              <w:rPr>
                <w:sz w:val="22"/>
                <w:szCs w:val="22"/>
              </w:rPr>
              <w:t>泰州姜堰及外市</w:t>
            </w:r>
          </w:p>
        </w:tc>
        <w:tc>
          <w:tcPr>
            <w:tcW w:w="992" w:type="pct"/>
            <w:vAlign w:val="center"/>
          </w:tcPr>
          <w:p w14:paraId="0F623C09">
            <w:pPr>
              <w:pStyle w:val="57"/>
              <w:jc w:val="center"/>
              <w:rPr>
                <w:sz w:val="22"/>
                <w:szCs w:val="22"/>
              </w:rPr>
            </w:pPr>
            <w:r>
              <w:rPr>
                <w:sz w:val="22"/>
                <w:szCs w:val="22"/>
              </w:rPr>
              <w:t>0.1</w:t>
            </w:r>
          </w:p>
        </w:tc>
        <w:tc>
          <w:tcPr>
            <w:tcW w:w="755" w:type="pct"/>
            <w:shd w:val="clear" w:color="auto" w:fill="auto"/>
            <w:noWrap/>
            <w:vAlign w:val="center"/>
          </w:tcPr>
          <w:p w14:paraId="52D3480D">
            <w:pPr>
              <w:pStyle w:val="57"/>
              <w:jc w:val="center"/>
              <w:rPr>
                <w:sz w:val="22"/>
                <w:szCs w:val="22"/>
              </w:rPr>
            </w:pPr>
            <w:r>
              <w:rPr>
                <w:sz w:val="22"/>
                <w:szCs w:val="22"/>
              </w:rPr>
              <w:t>区域性骨干</w:t>
            </w:r>
          </w:p>
        </w:tc>
      </w:tr>
      <w:tr w14:paraId="79970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3A9CAEB7">
            <w:pPr>
              <w:pStyle w:val="57"/>
              <w:jc w:val="center"/>
              <w:rPr>
                <w:sz w:val="22"/>
                <w:szCs w:val="22"/>
              </w:rPr>
            </w:pPr>
            <w:r>
              <w:rPr>
                <w:sz w:val="22"/>
                <w:szCs w:val="22"/>
              </w:rPr>
              <w:t>21</w:t>
            </w:r>
          </w:p>
        </w:tc>
        <w:tc>
          <w:tcPr>
            <w:tcW w:w="1212" w:type="pct"/>
            <w:shd w:val="clear" w:color="auto" w:fill="auto"/>
            <w:noWrap/>
            <w:vAlign w:val="center"/>
          </w:tcPr>
          <w:p w14:paraId="54C1C038">
            <w:pPr>
              <w:pStyle w:val="57"/>
              <w:jc w:val="center"/>
              <w:rPr>
                <w:sz w:val="22"/>
                <w:szCs w:val="22"/>
              </w:rPr>
            </w:pPr>
            <w:r>
              <w:rPr>
                <w:sz w:val="22"/>
                <w:szCs w:val="22"/>
              </w:rPr>
              <w:t>如泰运河西段</w:t>
            </w:r>
          </w:p>
        </w:tc>
        <w:tc>
          <w:tcPr>
            <w:tcW w:w="1641" w:type="pct"/>
            <w:vAlign w:val="center"/>
          </w:tcPr>
          <w:p w14:paraId="20F9F54C">
            <w:pPr>
              <w:pStyle w:val="57"/>
              <w:jc w:val="center"/>
              <w:rPr>
                <w:sz w:val="22"/>
                <w:szCs w:val="22"/>
              </w:rPr>
            </w:pPr>
            <w:r>
              <w:rPr>
                <w:sz w:val="22"/>
                <w:szCs w:val="22"/>
              </w:rPr>
              <w:t>泰州泰兴市</w:t>
            </w:r>
          </w:p>
        </w:tc>
        <w:tc>
          <w:tcPr>
            <w:tcW w:w="992" w:type="pct"/>
            <w:vAlign w:val="center"/>
          </w:tcPr>
          <w:p w14:paraId="5FC33C91">
            <w:pPr>
              <w:pStyle w:val="57"/>
              <w:jc w:val="center"/>
              <w:rPr>
                <w:sz w:val="22"/>
                <w:szCs w:val="22"/>
              </w:rPr>
            </w:pPr>
            <w:r>
              <w:rPr>
                <w:sz w:val="22"/>
                <w:szCs w:val="22"/>
              </w:rPr>
              <w:t>45.1</w:t>
            </w:r>
          </w:p>
        </w:tc>
        <w:tc>
          <w:tcPr>
            <w:tcW w:w="755" w:type="pct"/>
            <w:shd w:val="clear" w:color="auto" w:fill="auto"/>
            <w:noWrap/>
            <w:vAlign w:val="center"/>
          </w:tcPr>
          <w:p w14:paraId="40EC29C5">
            <w:pPr>
              <w:pStyle w:val="57"/>
              <w:jc w:val="center"/>
              <w:rPr>
                <w:sz w:val="22"/>
                <w:szCs w:val="22"/>
              </w:rPr>
            </w:pPr>
            <w:r>
              <w:rPr>
                <w:sz w:val="22"/>
                <w:szCs w:val="22"/>
              </w:rPr>
              <w:t>区域性骨干</w:t>
            </w:r>
          </w:p>
        </w:tc>
      </w:tr>
      <w:tr w14:paraId="1B5B6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0249E6E7">
            <w:pPr>
              <w:pStyle w:val="57"/>
              <w:jc w:val="center"/>
              <w:rPr>
                <w:sz w:val="22"/>
                <w:szCs w:val="22"/>
              </w:rPr>
            </w:pPr>
            <w:r>
              <w:rPr>
                <w:sz w:val="22"/>
                <w:szCs w:val="22"/>
              </w:rPr>
              <w:t>22</w:t>
            </w:r>
          </w:p>
        </w:tc>
        <w:tc>
          <w:tcPr>
            <w:tcW w:w="1212" w:type="pct"/>
            <w:shd w:val="clear" w:color="auto" w:fill="auto"/>
            <w:noWrap/>
            <w:vAlign w:val="center"/>
          </w:tcPr>
          <w:p w14:paraId="58DEECCF">
            <w:pPr>
              <w:pStyle w:val="57"/>
              <w:jc w:val="center"/>
              <w:rPr>
                <w:sz w:val="22"/>
                <w:szCs w:val="22"/>
              </w:rPr>
            </w:pPr>
            <w:r>
              <w:rPr>
                <w:sz w:val="22"/>
                <w:szCs w:val="22"/>
              </w:rPr>
              <w:t>中干河-西姜黄河</w:t>
            </w:r>
          </w:p>
        </w:tc>
        <w:tc>
          <w:tcPr>
            <w:tcW w:w="1641" w:type="pct"/>
            <w:vAlign w:val="center"/>
          </w:tcPr>
          <w:p w14:paraId="51232CE3">
            <w:pPr>
              <w:pStyle w:val="57"/>
              <w:jc w:val="center"/>
              <w:rPr>
                <w:sz w:val="22"/>
                <w:szCs w:val="22"/>
              </w:rPr>
            </w:pPr>
            <w:r>
              <w:rPr>
                <w:sz w:val="22"/>
                <w:szCs w:val="22"/>
              </w:rPr>
              <w:t>泰州姜堰、泰州泰兴市</w:t>
            </w:r>
          </w:p>
        </w:tc>
        <w:tc>
          <w:tcPr>
            <w:tcW w:w="992" w:type="pct"/>
            <w:vAlign w:val="center"/>
          </w:tcPr>
          <w:p w14:paraId="4293B8AF">
            <w:pPr>
              <w:pStyle w:val="57"/>
              <w:jc w:val="center"/>
              <w:rPr>
                <w:sz w:val="22"/>
                <w:szCs w:val="22"/>
              </w:rPr>
            </w:pPr>
            <w:r>
              <w:rPr>
                <w:sz w:val="22"/>
                <w:szCs w:val="22"/>
              </w:rPr>
              <w:t>38.2</w:t>
            </w:r>
          </w:p>
        </w:tc>
        <w:tc>
          <w:tcPr>
            <w:tcW w:w="755" w:type="pct"/>
            <w:shd w:val="clear" w:color="auto" w:fill="auto"/>
            <w:noWrap/>
            <w:vAlign w:val="center"/>
          </w:tcPr>
          <w:p w14:paraId="36A27C65">
            <w:pPr>
              <w:pStyle w:val="57"/>
              <w:jc w:val="center"/>
              <w:rPr>
                <w:sz w:val="22"/>
                <w:szCs w:val="22"/>
              </w:rPr>
            </w:pPr>
            <w:r>
              <w:rPr>
                <w:sz w:val="22"/>
                <w:szCs w:val="22"/>
              </w:rPr>
              <w:t>区域性骨干</w:t>
            </w:r>
          </w:p>
        </w:tc>
      </w:tr>
      <w:tr w14:paraId="6C9C5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161800A7">
            <w:pPr>
              <w:pStyle w:val="57"/>
              <w:jc w:val="center"/>
              <w:rPr>
                <w:sz w:val="22"/>
                <w:szCs w:val="22"/>
              </w:rPr>
            </w:pPr>
            <w:r>
              <w:rPr>
                <w:sz w:val="22"/>
                <w:szCs w:val="22"/>
              </w:rPr>
              <w:t>23</w:t>
            </w:r>
          </w:p>
        </w:tc>
        <w:tc>
          <w:tcPr>
            <w:tcW w:w="1212" w:type="pct"/>
            <w:shd w:val="clear" w:color="auto" w:fill="auto"/>
            <w:noWrap/>
            <w:vAlign w:val="center"/>
          </w:tcPr>
          <w:p w14:paraId="2DF88032">
            <w:pPr>
              <w:pStyle w:val="57"/>
              <w:jc w:val="center"/>
              <w:rPr>
                <w:sz w:val="22"/>
                <w:szCs w:val="22"/>
              </w:rPr>
            </w:pPr>
            <w:r>
              <w:rPr>
                <w:sz w:val="22"/>
                <w:szCs w:val="22"/>
              </w:rPr>
              <w:t>季黄河</w:t>
            </w:r>
          </w:p>
        </w:tc>
        <w:tc>
          <w:tcPr>
            <w:tcW w:w="1641" w:type="pct"/>
            <w:vAlign w:val="center"/>
          </w:tcPr>
          <w:p w14:paraId="5403067E">
            <w:pPr>
              <w:pStyle w:val="57"/>
              <w:jc w:val="center"/>
              <w:rPr>
                <w:sz w:val="22"/>
                <w:szCs w:val="22"/>
              </w:rPr>
            </w:pPr>
            <w:r>
              <w:rPr>
                <w:sz w:val="22"/>
                <w:szCs w:val="22"/>
              </w:rPr>
              <w:t>泰州泰兴市、泰州靖江市</w:t>
            </w:r>
          </w:p>
        </w:tc>
        <w:tc>
          <w:tcPr>
            <w:tcW w:w="992" w:type="pct"/>
            <w:vAlign w:val="center"/>
          </w:tcPr>
          <w:p w14:paraId="3710027E">
            <w:pPr>
              <w:pStyle w:val="57"/>
              <w:jc w:val="center"/>
              <w:rPr>
                <w:sz w:val="22"/>
                <w:szCs w:val="22"/>
              </w:rPr>
            </w:pPr>
            <w:r>
              <w:rPr>
                <w:sz w:val="22"/>
                <w:szCs w:val="22"/>
              </w:rPr>
              <w:t>15.2</w:t>
            </w:r>
          </w:p>
        </w:tc>
        <w:tc>
          <w:tcPr>
            <w:tcW w:w="755" w:type="pct"/>
            <w:shd w:val="clear" w:color="auto" w:fill="auto"/>
            <w:noWrap/>
            <w:vAlign w:val="center"/>
          </w:tcPr>
          <w:p w14:paraId="247533A8">
            <w:pPr>
              <w:pStyle w:val="57"/>
              <w:jc w:val="center"/>
              <w:rPr>
                <w:sz w:val="22"/>
                <w:szCs w:val="22"/>
              </w:rPr>
            </w:pPr>
            <w:r>
              <w:rPr>
                <w:sz w:val="22"/>
                <w:szCs w:val="22"/>
              </w:rPr>
              <w:t>区域性骨干</w:t>
            </w:r>
          </w:p>
        </w:tc>
      </w:tr>
      <w:tr w14:paraId="25AEE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6D896598">
            <w:pPr>
              <w:pStyle w:val="57"/>
              <w:jc w:val="center"/>
              <w:rPr>
                <w:sz w:val="22"/>
                <w:szCs w:val="22"/>
              </w:rPr>
            </w:pPr>
            <w:r>
              <w:rPr>
                <w:sz w:val="22"/>
                <w:szCs w:val="22"/>
              </w:rPr>
              <w:t>24</w:t>
            </w:r>
          </w:p>
        </w:tc>
        <w:tc>
          <w:tcPr>
            <w:tcW w:w="1212" w:type="pct"/>
            <w:shd w:val="clear" w:color="auto" w:fill="auto"/>
            <w:noWrap/>
            <w:vAlign w:val="center"/>
          </w:tcPr>
          <w:p w14:paraId="4A3A8FBB">
            <w:pPr>
              <w:pStyle w:val="57"/>
              <w:jc w:val="center"/>
              <w:rPr>
                <w:sz w:val="22"/>
                <w:szCs w:val="22"/>
              </w:rPr>
            </w:pPr>
            <w:r>
              <w:rPr>
                <w:sz w:val="22"/>
                <w:szCs w:val="22"/>
              </w:rPr>
              <w:t>夏仕港</w:t>
            </w:r>
          </w:p>
        </w:tc>
        <w:tc>
          <w:tcPr>
            <w:tcW w:w="1641" w:type="pct"/>
            <w:vAlign w:val="center"/>
          </w:tcPr>
          <w:p w14:paraId="4C287A48">
            <w:pPr>
              <w:pStyle w:val="57"/>
              <w:jc w:val="center"/>
              <w:rPr>
                <w:sz w:val="22"/>
                <w:szCs w:val="22"/>
              </w:rPr>
            </w:pPr>
            <w:r>
              <w:rPr>
                <w:sz w:val="22"/>
                <w:szCs w:val="22"/>
              </w:rPr>
              <w:t>泰州靖江市</w:t>
            </w:r>
          </w:p>
        </w:tc>
        <w:tc>
          <w:tcPr>
            <w:tcW w:w="992" w:type="pct"/>
            <w:vAlign w:val="center"/>
          </w:tcPr>
          <w:p w14:paraId="6EBD9B5A">
            <w:pPr>
              <w:pStyle w:val="57"/>
              <w:jc w:val="center"/>
              <w:rPr>
                <w:sz w:val="22"/>
                <w:szCs w:val="22"/>
              </w:rPr>
            </w:pPr>
            <w:r>
              <w:rPr>
                <w:sz w:val="22"/>
                <w:szCs w:val="22"/>
              </w:rPr>
              <w:t>18.3</w:t>
            </w:r>
          </w:p>
        </w:tc>
        <w:tc>
          <w:tcPr>
            <w:tcW w:w="755" w:type="pct"/>
            <w:shd w:val="clear" w:color="auto" w:fill="auto"/>
            <w:noWrap/>
            <w:vAlign w:val="center"/>
          </w:tcPr>
          <w:p w14:paraId="34F1DB62">
            <w:pPr>
              <w:pStyle w:val="57"/>
              <w:jc w:val="center"/>
              <w:rPr>
                <w:sz w:val="22"/>
                <w:szCs w:val="22"/>
              </w:rPr>
            </w:pPr>
            <w:r>
              <w:rPr>
                <w:sz w:val="22"/>
                <w:szCs w:val="22"/>
              </w:rPr>
              <w:t>区域性骨干</w:t>
            </w:r>
          </w:p>
        </w:tc>
      </w:tr>
      <w:tr w14:paraId="145FB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51DD30F4">
            <w:pPr>
              <w:pStyle w:val="57"/>
              <w:jc w:val="center"/>
              <w:rPr>
                <w:sz w:val="22"/>
                <w:szCs w:val="22"/>
              </w:rPr>
            </w:pPr>
            <w:r>
              <w:rPr>
                <w:sz w:val="22"/>
                <w:szCs w:val="22"/>
              </w:rPr>
              <w:t>25</w:t>
            </w:r>
          </w:p>
        </w:tc>
        <w:tc>
          <w:tcPr>
            <w:tcW w:w="1212" w:type="pct"/>
            <w:shd w:val="clear" w:color="auto" w:fill="auto"/>
            <w:noWrap/>
            <w:vAlign w:val="center"/>
          </w:tcPr>
          <w:p w14:paraId="51ED610D">
            <w:pPr>
              <w:pStyle w:val="57"/>
              <w:jc w:val="center"/>
              <w:rPr>
                <w:sz w:val="22"/>
                <w:szCs w:val="22"/>
              </w:rPr>
            </w:pPr>
            <w:r>
              <w:rPr>
                <w:sz w:val="22"/>
                <w:szCs w:val="22"/>
              </w:rPr>
              <w:t>通扬运河西段</w:t>
            </w:r>
          </w:p>
        </w:tc>
        <w:tc>
          <w:tcPr>
            <w:tcW w:w="1641" w:type="pct"/>
            <w:vAlign w:val="center"/>
          </w:tcPr>
          <w:p w14:paraId="1AC7D89F">
            <w:pPr>
              <w:pStyle w:val="57"/>
              <w:jc w:val="center"/>
              <w:rPr>
                <w:sz w:val="22"/>
                <w:szCs w:val="22"/>
              </w:rPr>
            </w:pPr>
            <w:r>
              <w:rPr>
                <w:sz w:val="22"/>
                <w:szCs w:val="22"/>
              </w:rPr>
              <w:t>泰州</w:t>
            </w:r>
            <w:r>
              <w:rPr>
                <w:rFonts w:hint="eastAsia"/>
                <w:sz w:val="22"/>
                <w:szCs w:val="22"/>
              </w:rPr>
              <w:t>海陵</w:t>
            </w:r>
            <w:r>
              <w:rPr>
                <w:sz w:val="22"/>
                <w:szCs w:val="22"/>
              </w:rPr>
              <w:t>、姜堰及外市</w:t>
            </w:r>
          </w:p>
        </w:tc>
        <w:tc>
          <w:tcPr>
            <w:tcW w:w="992" w:type="pct"/>
            <w:vAlign w:val="center"/>
          </w:tcPr>
          <w:p w14:paraId="3C88377A">
            <w:pPr>
              <w:pStyle w:val="57"/>
              <w:jc w:val="center"/>
              <w:rPr>
                <w:sz w:val="22"/>
                <w:szCs w:val="22"/>
              </w:rPr>
            </w:pPr>
            <w:r>
              <w:rPr>
                <w:sz w:val="22"/>
                <w:szCs w:val="22"/>
              </w:rPr>
              <w:t>45.7</w:t>
            </w:r>
          </w:p>
        </w:tc>
        <w:tc>
          <w:tcPr>
            <w:tcW w:w="755" w:type="pct"/>
            <w:shd w:val="clear" w:color="auto" w:fill="auto"/>
            <w:noWrap/>
            <w:vAlign w:val="center"/>
          </w:tcPr>
          <w:p w14:paraId="4D155863">
            <w:pPr>
              <w:pStyle w:val="57"/>
              <w:jc w:val="center"/>
              <w:rPr>
                <w:sz w:val="22"/>
                <w:szCs w:val="22"/>
              </w:rPr>
            </w:pPr>
            <w:r>
              <w:rPr>
                <w:sz w:val="22"/>
                <w:szCs w:val="22"/>
              </w:rPr>
              <w:t>重要跨县</w:t>
            </w:r>
          </w:p>
        </w:tc>
      </w:tr>
      <w:tr w14:paraId="6C900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455740DC">
            <w:pPr>
              <w:pStyle w:val="57"/>
              <w:jc w:val="center"/>
              <w:rPr>
                <w:sz w:val="22"/>
                <w:szCs w:val="22"/>
              </w:rPr>
            </w:pPr>
            <w:r>
              <w:rPr>
                <w:sz w:val="22"/>
                <w:szCs w:val="22"/>
              </w:rPr>
              <w:t>26</w:t>
            </w:r>
          </w:p>
        </w:tc>
        <w:tc>
          <w:tcPr>
            <w:tcW w:w="1212" w:type="pct"/>
            <w:shd w:val="clear" w:color="auto" w:fill="auto"/>
            <w:noWrap/>
            <w:vAlign w:val="center"/>
          </w:tcPr>
          <w:p w14:paraId="4893538F">
            <w:pPr>
              <w:pStyle w:val="57"/>
              <w:jc w:val="center"/>
              <w:rPr>
                <w:sz w:val="22"/>
                <w:szCs w:val="22"/>
              </w:rPr>
            </w:pPr>
            <w:r>
              <w:rPr>
                <w:sz w:val="22"/>
                <w:szCs w:val="22"/>
              </w:rPr>
              <w:t>东姜黄河</w:t>
            </w:r>
          </w:p>
        </w:tc>
        <w:tc>
          <w:tcPr>
            <w:tcW w:w="1641" w:type="pct"/>
            <w:vAlign w:val="center"/>
          </w:tcPr>
          <w:p w14:paraId="2410CD24">
            <w:pPr>
              <w:pStyle w:val="57"/>
              <w:jc w:val="center"/>
              <w:rPr>
                <w:sz w:val="22"/>
                <w:szCs w:val="22"/>
              </w:rPr>
            </w:pPr>
            <w:r>
              <w:rPr>
                <w:sz w:val="22"/>
                <w:szCs w:val="22"/>
              </w:rPr>
              <w:t>泰州姜堰、泰兴市及外市</w:t>
            </w:r>
          </w:p>
        </w:tc>
        <w:tc>
          <w:tcPr>
            <w:tcW w:w="992" w:type="pct"/>
            <w:vAlign w:val="center"/>
          </w:tcPr>
          <w:p w14:paraId="0E5C59A3">
            <w:pPr>
              <w:pStyle w:val="57"/>
              <w:jc w:val="center"/>
              <w:rPr>
                <w:sz w:val="22"/>
                <w:szCs w:val="22"/>
              </w:rPr>
            </w:pPr>
            <w:r>
              <w:rPr>
                <w:sz w:val="22"/>
                <w:szCs w:val="22"/>
              </w:rPr>
              <w:t>22.6</w:t>
            </w:r>
          </w:p>
        </w:tc>
        <w:tc>
          <w:tcPr>
            <w:tcW w:w="755" w:type="pct"/>
            <w:shd w:val="clear" w:color="auto" w:fill="auto"/>
            <w:noWrap/>
            <w:vAlign w:val="center"/>
          </w:tcPr>
          <w:p w14:paraId="097BD5BD">
            <w:pPr>
              <w:pStyle w:val="57"/>
              <w:jc w:val="center"/>
              <w:rPr>
                <w:sz w:val="22"/>
                <w:szCs w:val="22"/>
              </w:rPr>
            </w:pPr>
            <w:r>
              <w:rPr>
                <w:sz w:val="22"/>
                <w:szCs w:val="22"/>
              </w:rPr>
              <w:t>重要跨县</w:t>
            </w:r>
          </w:p>
        </w:tc>
      </w:tr>
      <w:tr w14:paraId="573AF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48A1B5DE">
            <w:pPr>
              <w:pStyle w:val="57"/>
              <w:jc w:val="center"/>
              <w:rPr>
                <w:sz w:val="22"/>
                <w:szCs w:val="22"/>
              </w:rPr>
            </w:pPr>
            <w:r>
              <w:rPr>
                <w:sz w:val="22"/>
                <w:szCs w:val="22"/>
              </w:rPr>
              <w:t>27</w:t>
            </w:r>
          </w:p>
        </w:tc>
        <w:tc>
          <w:tcPr>
            <w:tcW w:w="1212" w:type="pct"/>
            <w:shd w:val="clear" w:color="auto" w:fill="auto"/>
            <w:noWrap/>
            <w:vAlign w:val="center"/>
          </w:tcPr>
          <w:p w14:paraId="7025D5E6">
            <w:pPr>
              <w:pStyle w:val="57"/>
              <w:jc w:val="center"/>
              <w:rPr>
                <w:sz w:val="22"/>
                <w:szCs w:val="22"/>
              </w:rPr>
            </w:pPr>
            <w:r>
              <w:rPr>
                <w:sz w:val="22"/>
                <w:szCs w:val="22"/>
              </w:rPr>
              <w:t>周山河</w:t>
            </w:r>
          </w:p>
        </w:tc>
        <w:tc>
          <w:tcPr>
            <w:tcW w:w="1641" w:type="pct"/>
            <w:vAlign w:val="center"/>
          </w:tcPr>
          <w:p w14:paraId="422E0A66">
            <w:pPr>
              <w:pStyle w:val="57"/>
              <w:jc w:val="center"/>
              <w:rPr>
                <w:sz w:val="22"/>
                <w:szCs w:val="22"/>
              </w:rPr>
            </w:pPr>
            <w:r>
              <w:rPr>
                <w:sz w:val="22"/>
                <w:szCs w:val="22"/>
              </w:rPr>
              <w:t>泰州姜堰、泰州市区</w:t>
            </w:r>
          </w:p>
        </w:tc>
        <w:tc>
          <w:tcPr>
            <w:tcW w:w="992" w:type="pct"/>
            <w:vAlign w:val="center"/>
          </w:tcPr>
          <w:p w14:paraId="0C7AC6E5">
            <w:pPr>
              <w:pStyle w:val="57"/>
              <w:jc w:val="center"/>
              <w:rPr>
                <w:sz w:val="22"/>
                <w:szCs w:val="22"/>
              </w:rPr>
            </w:pPr>
            <w:r>
              <w:rPr>
                <w:sz w:val="22"/>
                <w:szCs w:val="22"/>
              </w:rPr>
              <w:t>38.7</w:t>
            </w:r>
          </w:p>
        </w:tc>
        <w:tc>
          <w:tcPr>
            <w:tcW w:w="755" w:type="pct"/>
            <w:shd w:val="clear" w:color="auto" w:fill="auto"/>
            <w:noWrap/>
            <w:vAlign w:val="center"/>
          </w:tcPr>
          <w:p w14:paraId="601A8C13">
            <w:pPr>
              <w:pStyle w:val="57"/>
              <w:jc w:val="center"/>
              <w:rPr>
                <w:sz w:val="22"/>
                <w:szCs w:val="22"/>
              </w:rPr>
            </w:pPr>
            <w:r>
              <w:rPr>
                <w:sz w:val="22"/>
                <w:szCs w:val="22"/>
              </w:rPr>
              <w:t>重要跨县</w:t>
            </w:r>
          </w:p>
        </w:tc>
      </w:tr>
      <w:tr w14:paraId="12094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7CD63964">
            <w:pPr>
              <w:pStyle w:val="57"/>
              <w:jc w:val="center"/>
              <w:rPr>
                <w:sz w:val="22"/>
                <w:szCs w:val="22"/>
              </w:rPr>
            </w:pPr>
            <w:r>
              <w:rPr>
                <w:sz w:val="22"/>
                <w:szCs w:val="22"/>
              </w:rPr>
              <w:t>28</w:t>
            </w:r>
          </w:p>
        </w:tc>
        <w:tc>
          <w:tcPr>
            <w:tcW w:w="1212" w:type="pct"/>
            <w:shd w:val="clear" w:color="auto" w:fill="auto"/>
            <w:noWrap/>
            <w:vAlign w:val="center"/>
          </w:tcPr>
          <w:p w14:paraId="63A25FC3">
            <w:pPr>
              <w:pStyle w:val="57"/>
              <w:jc w:val="center"/>
              <w:rPr>
                <w:sz w:val="22"/>
                <w:szCs w:val="22"/>
              </w:rPr>
            </w:pPr>
            <w:r>
              <w:rPr>
                <w:sz w:val="22"/>
                <w:szCs w:val="22"/>
              </w:rPr>
              <w:t>生产河</w:t>
            </w:r>
          </w:p>
        </w:tc>
        <w:tc>
          <w:tcPr>
            <w:tcW w:w="1641" w:type="pct"/>
            <w:vAlign w:val="center"/>
          </w:tcPr>
          <w:p w14:paraId="673C8674">
            <w:pPr>
              <w:pStyle w:val="57"/>
              <w:jc w:val="center"/>
              <w:rPr>
                <w:sz w:val="22"/>
                <w:szCs w:val="22"/>
              </w:rPr>
            </w:pPr>
            <w:r>
              <w:rPr>
                <w:sz w:val="22"/>
                <w:szCs w:val="22"/>
              </w:rPr>
              <w:t>泰州市区、泰州姜堰</w:t>
            </w:r>
          </w:p>
        </w:tc>
        <w:tc>
          <w:tcPr>
            <w:tcW w:w="992" w:type="pct"/>
            <w:vAlign w:val="center"/>
          </w:tcPr>
          <w:p w14:paraId="1028C86C">
            <w:pPr>
              <w:pStyle w:val="57"/>
              <w:jc w:val="center"/>
              <w:rPr>
                <w:sz w:val="22"/>
                <w:szCs w:val="22"/>
              </w:rPr>
            </w:pPr>
            <w:r>
              <w:rPr>
                <w:sz w:val="22"/>
                <w:szCs w:val="22"/>
              </w:rPr>
              <w:t>43.0</w:t>
            </w:r>
          </w:p>
        </w:tc>
        <w:tc>
          <w:tcPr>
            <w:tcW w:w="755" w:type="pct"/>
            <w:shd w:val="clear" w:color="auto" w:fill="auto"/>
            <w:noWrap/>
            <w:vAlign w:val="center"/>
          </w:tcPr>
          <w:p w14:paraId="715FE579">
            <w:pPr>
              <w:pStyle w:val="57"/>
              <w:jc w:val="center"/>
              <w:rPr>
                <w:sz w:val="22"/>
                <w:szCs w:val="22"/>
              </w:rPr>
            </w:pPr>
            <w:r>
              <w:rPr>
                <w:sz w:val="22"/>
                <w:szCs w:val="22"/>
              </w:rPr>
              <w:t>重要跨县</w:t>
            </w:r>
          </w:p>
        </w:tc>
      </w:tr>
      <w:tr w14:paraId="64305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28471ACA">
            <w:pPr>
              <w:pStyle w:val="57"/>
              <w:jc w:val="center"/>
              <w:rPr>
                <w:sz w:val="22"/>
                <w:szCs w:val="22"/>
              </w:rPr>
            </w:pPr>
            <w:r>
              <w:rPr>
                <w:sz w:val="22"/>
                <w:szCs w:val="22"/>
              </w:rPr>
              <w:t>29</w:t>
            </w:r>
          </w:p>
        </w:tc>
        <w:tc>
          <w:tcPr>
            <w:tcW w:w="1212" w:type="pct"/>
            <w:shd w:val="clear" w:color="auto" w:fill="auto"/>
            <w:noWrap/>
            <w:vAlign w:val="center"/>
          </w:tcPr>
          <w:p w14:paraId="0294DCDB">
            <w:pPr>
              <w:pStyle w:val="57"/>
              <w:jc w:val="center"/>
              <w:rPr>
                <w:sz w:val="22"/>
                <w:szCs w:val="22"/>
              </w:rPr>
            </w:pPr>
            <w:r>
              <w:rPr>
                <w:sz w:val="22"/>
                <w:szCs w:val="22"/>
              </w:rPr>
              <w:t>宣堡港</w:t>
            </w:r>
          </w:p>
        </w:tc>
        <w:tc>
          <w:tcPr>
            <w:tcW w:w="1641" w:type="pct"/>
            <w:vAlign w:val="center"/>
          </w:tcPr>
          <w:p w14:paraId="2D0B7334">
            <w:pPr>
              <w:pStyle w:val="57"/>
              <w:jc w:val="center"/>
              <w:rPr>
                <w:sz w:val="22"/>
                <w:szCs w:val="22"/>
              </w:rPr>
            </w:pPr>
            <w:r>
              <w:rPr>
                <w:sz w:val="22"/>
                <w:szCs w:val="22"/>
              </w:rPr>
              <w:t>泰州市区、泰州泰兴市</w:t>
            </w:r>
          </w:p>
        </w:tc>
        <w:tc>
          <w:tcPr>
            <w:tcW w:w="992" w:type="pct"/>
            <w:vAlign w:val="center"/>
          </w:tcPr>
          <w:p w14:paraId="2B0DA675">
            <w:pPr>
              <w:pStyle w:val="57"/>
              <w:jc w:val="center"/>
              <w:rPr>
                <w:sz w:val="22"/>
                <w:szCs w:val="22"/>
              </w:rPr>
            </w:pPr>
            <w:r>
              <w:rPr>
                <w:sz w:val="22"/>
                <w:szCs w:val="22"/>
              </w:rPr>
              <w:t>27.1</w:t>
            </w:r>
          </w:p>
        </w:tc>
        <w:tc>
          <w:tcPr>
            <w:tcW w:w="755" w:type="pct"/>
            <w:shd w:val="clear" w:color="auto" w:fill="auto"/>
            <w:noWrap/>
            <w:vAlign w:val="center"/>
          </w:tcPr>
          <w:p w14:paraId="3FB1E79B">
            <w:pPr>
              <w:pStyle w:val="57"/>
              <w:jc w:val="center"/>
              <w:rPr>
                <w:sz w:val="22"/>
                <w:szCs w:val="22"/>
              </w:rPr>
            </w:pPr>
            <w:r>
              <w:rPr>
                <w:sz w:val="22"/>
                <w:szCs w:val="22"/>
              </w:rPr>
              <w:t>重要跨县</w:t>
            </w:r>
          </w:p>
        </w:tc>
      </w:tr>
      <w:tr w14:paraId="44111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5CAC2459">
            <w:pPr>
              <w:pStyle w:val="57"/>
              <w:jc w:val="center"/>
              <w:rPr>
                <w:sz w:val="22"/>
                <w:szCs w:val="22"/>
              </w:rPr>
            </w:pPr>
            <w:r>
              <w:rPr>
                <w:sz w:val="22"/>
                <w:szCs w:val="22"/>
              </w:rPr>
              <w:t>30</w:t>
            </w:r>
          </w:p>
        </w:tc>
        <w:tc>
          <w:tcPr>
            <w:tcW w:w="1212" w:type="pct"/>
            <w:shd w:val="clear" w:color="auto" w:fill="auto"/>
            <w:noWrap/>
            <w:vAlign w:val="center"/>
          </w:tcPr>
          <w:p w14:paraId="250F6ABC">
            <w:pPr>
              <w:pStyle w:val="57"/>
              <w:jc w:val="center"/>
              <w:rPr>
                <w:sz w:val="22"/>
                <w:szCs w:val="22"/>
              </w:rPr>
            </w:pPr>
            <w:r>
              <w:rPr>
                <w:sz w:val="22"/>
                <w:szCs w:val="22"/>
              </w:rPr>
              <w:t>西干河</w:t>
            </w:r>
          </w:p>
        </w:tc>
        <w:tc>
          <w:tcPr>
            <w:tcW w:w="1641" w:type="pct"/>
            <w:vAlign w:val="center"/>
          </w:tcPr>
          <w:p w14:paraId="0D781159">
            <w:pPr>
              <w:pStyle w:val="57"/>
              <w:jc w:val="center"/>
              <w:rPr>
                <w:sz w:val="22"/>
                <w:szCs w:val="22"/>
              </w:rPr>
            </w:pPr>
            <w:r>
              <w:rPr>
                <w:sz w:val="22"/>
                <w:szCs w:val="22"/>
              </w:rPr>
              <w:t>泰州高港区</w:t>
            </w:r>
          </w:p>
        </w:tc>
        <w:tc>
          <w:tcPr>
            <w:tcW w:w="992" w:type="pct"/>
            <w:vAlign w:val="center"/>
          </w:tcPr>
          <w:p w14:paraId="2CC77AB5">
            <w:pPr>
              <w:pStyle w:val="57"/>
              <w:jc w:val="center"/>
              <w:rPr>
                <w:sz w:val="22"/>
                <w:szCs w:val="22"/>
              </w:rPr>
            </w:pPr>
            <w:r>
              <w:rPr>
                <w:sz w:val="22"/>
                <w:szCs w:val="22"/>
              </w:rPr>
              <w:t>8.8</w:t>
            </w:r>
          </w:p>
        </w:tc>
        <w:tc>
          <w:tcPr>
            <w:tcW w:w="755" w:type="pct"/>
            <w:shd w:val="clear" w:color="auto" w:fill="auto"/>
            <w:noWrap/>
            <w:vAlign w:val="center"/>
          </w:tcPr>
          <w:p w14:paraId="13C7270C">
            <w:pPr>
              <w:pStyle w:val="57"/>
              <w:jc w:val="center"/>
              <w:rPr>
                <w:sz w:val="22"/>
                <w:szCs w:val="22"/>
              </w:rPr>
            </w:pPr>
            <w:r>
              <w:rPr>
                <w:sz w:val="22"/>
                <w:szCs w:val="22"/>
              </w:rPr>
              <w:t>重要跨县</w:t>
            </w:r>
          </w:p>
        </w:tc>
      </w:tr>
      <w:tr w14:paraId="2230D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62061A13">
            <w:pPr>
              <w:pStyle w:val="57"/>
              <w:jc w:val="center"/>
              <w:rPr>
                <w:sz w:val="22"/>
                <w:szCs w:val="22"/>
              </w:rPr>
            </w:pPr>
            <w:r>
              <w:rPr>
                <w:sz w:val="22"/>
                <w:szCs w:val="22"/>
              </w:rPr>
              <w:t>31</w:t>
            </w:r>
          </w:p>
        </w:tc>
        <w:tc>
          <w:tcPr>
            <w:tcW w:w="1212" w:type="pct"/>
            <w:shd w:val="clear" w:color="auto" w:fill="auto"/>
            <w:noWrap/>
            <w:vAlign w:val="center"/>
          </w:tcPr>
          <w:p w14:paraId="4582BCCF">
            <w:pPr>
              <w:pStyle w:val="57"/>
              <w:jc w:val="center"/>
              <w:rPr>
                <w:sz w:val="22"/>
                <w:szCs w:val="22"/>
              </w:rPr>
            </w:pPr>
            <w:r>
              <w:rPr>
                <w:sz w:val="22"/>
                <w:szCs w:val="22"/>
              </w:rPr>
              <w:t>靖泰界河</w:t>
            </w:r>
          </w:p>
        </w:tc>
        <w:tc>
          <w:tcPr>
            <w:tcW w:w="1641" w:type="pct"/>
            <w:vAlign w:val="center"/>
          </w:tcPr>
          <w:p w14:paraId="17AC798A">
            <w:pPr>
              <w:pStyle w:val="57"/>
              <w:jc w:val="center"/>
              <w:rPr>
                <w:sz w:val="22"/>
                <w:szCs w:val="22"/>
              </w:rPr>
            </w:pPr>
            <w:r>
              <w:rPr>
                <w:sz w:val="22"/>
                <w:szCs w:val="22"/>
              </w:rPr>
              <w:t>泰州泰兴、靖江市及外市</w:t>
            </w:r>
          </w:p>
        </w:tc>
        <w:tc>
          <w:tcPr>
            <w:tcW w:w="992" w:type="pct"/>
            <w:vAlign w:val="center"/>
          </w:tcPr>
          <w:p w14:paraId="624BCF4C">
            <w:pPr>
              <w:pStyle w:val="57"/>
              <w:jc w:val="center"/>
              <w:rPr>
                <w:sz w:val="22"/>
                <w:szCs w:val="22"/>
              </w:rPr>
            </w:pPr>
            <w:r>
              <w:rPr>
                <w:rFonts w:hint="eastAsia"/>
                <w:sz w:val="22"/>
                <w:szCs w:val="22"/>
              </w:rPr>
              <w:t>49.0</w:t>
            </w:r>
          </w:p>
        </w:tc>
        <w:tc>
          <w:tcPr>
            <w:tcW w:w="755" w:type="pct"/>
            <w:shd w:val="clear" w:color="auto" w:fill="auto"/>
            <w:noWrap/>
            <w:vAlign w:val="center"/>
          </w:tcPr>
          <w:p w14:paraId="6789CA0F">
            <w:pPr>
              <w:pStyle w:val="57"/>
              <w:jc w:val="center"/>
              <w:rPr>
                <w:sz w:val="22"/>
                <w:szCs w:val="22"/>
              </w:rPr>
            </w:pPr>
            <w:r>
              <w:rPr>
                <w:sz w:val="22"/>
                <w:szCs w:val="22"/>
              </w:rPr>
              <w:t>重要跨县</w:t>
            </w:r>
          </w:p>
        </w:tc>
      </w:tr>
      <w:tr w14:paraId="6B031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76458CE0">
            <w:pPr>
              <w:pStyle w:val="57"/>
              <w:jc w:val="center"/>
              <w:rPr>
                <w:sz w:val="22"/>
                <w:szCs w:val="22"/>
              </w:rPr>
            </w:pPr>
            <w:r>
              <w:rPr>
                <w:sz w:val="22"/>
                <w:szCs w:val="22"/>
              </w:rPr>
              <w:t>32</w:t>
            </w:r>
          </w:p>
        </w:tc>
        <w:tc>
          <w:tcPr>
            <w:tcW w:w="1212" w:type="pct"/>
            <w:shd w:val="clear" w:color="auto" w:fill="auto"/>
            <w:noWrap/>
            <w:vAlign w:val="center"/>
          </w:tcPr>
          <w:p w14:paraId="7324703D">
            <w:pPr>
              <w:pStyle w:val="57"/>
              <w:jc w:val="center"/>
              <w:rPr>
                <w:sz w:val="22"/>
                <w:szCs w:val="22"/>
              </w:rPr>
            </w:pPr>
            <w:r>
              <w:rPr>
                <w:sz w:val="22"/>
                <w:szCs w:val="22"/>
              </w:rPr>
              <w:t>大潼河</w:t>
            </w:r>
          </w:p>
        </w:tc>
        <w:tc>
          <w:tcPr>
            <w:tcW w:w="1641" w:type="pct"/>
            <w:vAlign w:val="center"/>
          </w:tcPr>
          <w:p w14:paraId="58D2545C">
            <w:pPr>
              <w:pStyle w:val="57"/>
              <w:jc w:val="center"/>
              <w:rPr>
                <w:sz w:val="22"/>
                <w:szCs w:val="22"/>
              </w:rPr>
            </w:pPr>
            <w:r>
              <w:rPr>
                <w:sz w:val="22"/>
                <w:szCs w:val="22"/>
              </w:rPr>
              <w:t>泰州兴化市及外市</w:t>
            </w:r>
          </w:p>
        </w:tc>
        <w:tc>
          <w:tcPr>
            <w:tcW w:w="992" w:type="pct"/>
            <w:vAlign w:val="center"/>
          </w:tcPr>
          <w:p w14:paraId="5A9E2C20">
            <w:pPr>
              <w:pStyle w:val="57"/>
              <w:jc w:val="center"/>
              <w:rPr>
                <w:sz w:val="22"/>
                <w:szCs w:val="22"/>
              </w:rPr>
            </w:pPr>
            <w:r>
              <w:rPr>
                <w:rFonts w:hint="eastAsia"/>
                <w:sz w:val="22"/>
                <w:szCs w:val="22"/>
              </w:rPr>
              <w:t>7.6</w:t>
            </w:r>
          </w:p>
        </w:tc>
        <w:tc>
          <w:tcPr>
            <w:tcW w:w="755" w:type="pct"/>
            <w:shd w:val="clear" w:color="auto" w:fill="auto"/>
            <w:noWrap/>
            <w:vAlign w:val="center"/>
          </w:tcPr>
          <w:p w14:paraId="19259E1E">
            <w:pPr>
              <w:pStyle w:val="57"/>
              <w:jc w:val="center"/>
              <w:rPr>
                <w:sz w:val="22"/>
                <w:szCs w:val="22"/>
              </w:rPr>
            </w:pPr>
            <w:r>
              <w:rPr>
                <w:sz w:val="22"/>
                <w:szCs w:val="22"/>
              </w:rPr>
              <w:t>重要跨县</w:t>
            </w:r>
          </w:p>
        </w:tc>
      </w:tr>
      <w:tr w14:paraId="4DC1E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238D10E5">
            <w:pPr>
              <w:pStyle w:val="57"/>
              <w:jc w:val="center"/>
              <w:rPr>
                <w:sz w:val="22"/>
                <w:szCs w:val="22"/>
              </w:rPr>
            </w:pPr>
            <w:r>
              <w:rPr>
                <w:sz w:val="22"/>
                <w:szCs w:val="22"/>
              </w:rPr>
              <w:t>33</w:t>
            </w:r>
          </w:p>
        </w:tc>
        <w:tc>
          <w:tcPr>
            <w:tcW w:w="1212" w:type="pct"/>
            <w:shd w:val="clear" w:color="auto" w:fill="auto"/>
            <w:noWrap/>
            <w:vAlign w:val="center"/>
          </w:tcPr>
          <w:p w14:paraId="49B8873E">
            <w:pPr>
              <w:pStyle w:val="57"/>
              <w:jc w:val="center"/>
              <w:rPr>
                <w:sz w:val="22"/>
                <w:szCs w:val="22"/>
              </w:rPr>
            </w:pPr>
            <w:r>
              <w:rPr>
                <w:sz w:val="22"/>
                <w:szCs w:val="22"/>
              </w:rPr>
              <w:t>梓辛河</w:t>
            </w:r>
          </w:p>
        </w:tc>
        <w:tc>
          <w:tcPr>
            <w:tcW w:w="1641" w:type="pct"/>
            <w:vAlign w:val="center"/>
          </w:tcPr>
          <w:p w14:paraId="07535EC9">
            <w:pPr>
              <w:pStyle w:val="57"/>
              <w:jc w:val="center"/>
              <w:rPr>
                <w:sz w:val="22"/>
                <w:szCs w:val="22"/>
              </w:rPr>
            </w:pPr>
            <w:r>
              <w:rPr>
                <w:sz w:val="22"/>
                <w:szCs w:val="22"/>
              </w:rPr>
              <w:t>泰州兴化市及外市</w:t>
            </w:r>
          </w:p>
        </w:tc>
        <w:tc>
          <w:tcPr>
            <w:tcW w:w="992" w:type="pct"/>
            <w:vAlign w:val="center"/>
          </w:tcPr>
          <w:p w14:paraId="03AA66FC">
            <w:pPr>
              <w:pStyle w:val="57"/>
              <w:jc w:val="center"/>
              <w:rPr>
                <w:sz w:val="22"/>
                <w:szCs w:val="22"/>
              </w:rPr>
            </w:pPr>
            <w:r>
              <w:rPr>
                <w:rFonts w:hint="eastAsia"/>
                <w:sz w:val="22"/>
                <w:szCs w:val="22"/>
              </w:rPr>
              <w:t>24.0</w:t>
            </w:r>
          </w:p>
        </w:tc>
        <w:tc>
          <w:tcPr>
            <w:tcW w:w="755" w:type="pct"/>
            <w:shd w:val="clear" w:color="auto" w:fill="auto"/>
            <w:noWrap/>
            <w:vAlign w:val="center"/>
          </w:tcPr>
          <w:p w14:paraId="288611D1">
            <w:pPr>
              <w:pStyle w:val="57"/>
              <w:jc w:val="center"/>
              <w:rPr>
                <w:sz w:val="22"/>
                <w:szCs w:val="22"/>
              </w:rPr>
            </w:pPr>
            <w:r>
              <w:rPr>
                <w:sz w:val="22"/>
                <w:szCs w:val="22"/>
              </w:rPr>
              <w:t>重要跨县</w:t>
            </w:r>
          </w:p>
        </w:tc>
      </w:tr>
      <w:tr w14:paraId="47DEE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64EDFD54">
            <w:pPr>
              <w:pStyle w:val="57"/>
              <w:jc w:val="center"/>
              <w:rPr>
                <w:sz w:val="22"/>
                <w:szCs w:val="22"/>
              </w:rPr>
            </w:pPr>
            <w:r>
              <w:rPr>
                <w:sz w:val="22"/>
                <w:szCs w:val="22"/>
              </w:rPr>
              <w:t>34</w:t>
            </w:r>
          </w:p>
        </w:tc>
        <w:tc>
          <w:tcPr>
            <w:tcW w:w="1212" w:type="pct"/>
            <w:shd w:val="clear" w:color="auto" w:fill="auto"/>
            <w:noWrap/>
            <w:vAlign w:val="center"/>
          </w:tcPr>
          <w:p w14:paraId="7410A63F">
            <w:pPr>
              <w:pStyle w:val="57"/>
              <w:jc w:val="center"/>
              <w:rPr>
                <w:sz w:val="22"/>
                <w:szCs w:val="22"/>
              </w:rPr>
            </w:pPr>
            <w:r>
              <w:rPr>
                <w:sz w:val="22"/>
                <w:szCs w:val="22"/>
              </w:rPr>
              <w:t>幸福河</w:t>
            </w:r>
          </w:p>
        </w:tc>
        <w:tc>
          <w:tcPr>
            <w:tcW w:w="1641" w:type="pct"/>
            <w:vAlign w:val="center"/>
          </w:tcPr>
          <w:p w14:paraId="67C6ECBF">
            <w:pPr>
              <w:pStyle w:val="57"/>
              <w:jc w:val="center"/>
              <w:rPr>
                <w:sz w:val="22"/>
                <w:szCs w:val="22"/>
              </w:rPr>
            </w:pPr>
            <w:r>
              <w:rPr>
                <w:sz w:val="22"/>
                <w:szCs w:val="22"/>
              </w:rPr>
              <w:t>泰州兴化市及外市</w:t>
            </w:r>
          </w:p>
        </w:tc>
        <w:tc>
          <w:tcPr>
            <w:tcW w:w="992" w:type="pct"/>
            <w:vAlign w:val="center"/>
          </w:tcPr>
          <w:p w14:paraId="0132F5DE">
            <w:pPr>
              <w:pStyle w:val="57"/>
              <w:jc w:val="center"/>
              <w:rPr>
                <w:sz w:val="22"/>
                <w:szCs w:val="22"/>
              </w:rPr>
            </w:pPr>
            <w:r>
              <w:rPr>
                <w:rFonts w:hint="eastAsia"/>
                <w:sz w:val="22"/>
                <w:szCs w:val="22"/>
              </w:rPr>
              <w:t>25.9</w:t>
            </w:r>
          </w:p>
        </w:tc>
        <w:tc>
          <w:tcPr>
            <w:tcW w:w="755" w:type="pct"/>
            <w:shd w:val="clear" w:color="auto" w:fill="auto"/>
            <w:noWrap/>
            <w:vAlign w:val="center"/>
          </w:tcPr>
          <w:p w14:paraId="43404300">
            <w:pPr>
              <w:pStyle w:val="57"/>
              <w:jc w:val="center"/>
              <w:rPr>
                <w:sz w:val="22"/>
                <w:szCs w:val="22"/>
              </w:rPr>
            </w:pPr>
            <w:r>
              <w:rPr>
                <w:sz w:val="22"/>
                <w:szCs w:val="22"/>
              </w:rPr>
              <w:t>重要跨县</w:t>
            </w:r>
          </w:p>
        </w:tc>
      </w:tr>
      <w:tr w14:paraId="025DD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2D390B29">
            <w:pPr>
              <w:pStyle w:val="57"/>
              <w:jc w:val="center"/>
              <w:rPr>
                <w:sz w:val="22"/>
                <w:szCs w:val="22"/>
              </w:rPr>
            </w:pPr>
            <w:r>
              <w:rPr>
                <w:sz w:val="22"/>
                <w:szCs w:val="22"/>
              </w:rPr>
              <w:t>35</w:t>
            </w:r>
          </w:p>
        </w:tc>
        <w:tc>
          <w:tcPr>
            <w:tcW w:w="1212" w:type="pct"/>
            <w:shd w:val="clear" w:color="auto" w:fill="auto"/>
            <w:noWrap/>
            <w:vAlign w:val="center"/>
          </w:tcPr>
          <w:p w14:paraId="74105163">
            <w:pPr>
              <w:pStyle w:val="57"/>
              <w:jc w:val="center"/>
              <w:rPr>
                <w:sz w:val="22"/>
                <w:szCs w:val="22"/>
              </w:rPr>
            </w:pPr>
            <w:r>
              <w:rPr>
                <w:sz w:val="22"/>
                <w:szCs w:val="22"/>
              </w:rPr>
              <w:t>渭水河</w:t>
            </w:r>
          </w:p>
        </w:tc>
        <w:tc>
          <w:tcPr>
            <w:tcW w:w="1641" w:type="pct"/>
            <w:vAlign w:val="center"/>
          </w:tcPr>
          <w:p w14:paraId="14636C8F">
            <w:pPr>
              <w:pStyle w:val="57"/>
              <w:jc w:val="center"/>
              <w:rPr>
                <w:sz w:val="22"/>
                <w:szCs w:val="22"/>
              </w:rPr>
            </w:pPr>
            <w:r>
              <w:rPr>
                <w:sz w:val="22"/>
                <w:szCs w:val="22"/>
              </w:rPr>
              <w:t>泰州姜堰及外市</w:t>
            </w:r>
          </w:p>
        </w:tc>
        <w:tc>
          <w:tcPr>
            <w:tcW w:w="992" w:type="pct"/>
            <w:vAlign w:val="center"/>
          </w:tcPr>
          <w:p w14:paraId="6473C5E1">
            <w:pPr>
              <w:pStyle w:val="57"/>
              <w:jc w:val="center"/>
              <w:rPr>
                <w:sz w:val="22"/>
                <w:szCs w:val="22"/>
              </w:rPr>
            </w:pPr>
            <w:r>
              <w:rPr>
                <w:rFonts w:hint="eastAsia"/>
                <w:sz w:val="22"/>
                <w:szCs w:val="22"/>
              </w:rPr>
              <w:t>54.4</w:t>
            </w:r>
          </w:p>
        </w:tc>
        <w:tc>
          <w:tcPr>
            <w:tcW w:w="755" w:type="pct"/>
            <w:shd w:val="clear" w:color="auto" w:fill="auto"/>
            <w:noWrap/>
            <w:vAlign w:val="center"/>
          </w:tcPr>
          <w:p w14:paraId="6C0C11F2">
            <w:pPr>
              <w:pStyle w:val="57"/>
              <w:jc w:val="center"/>
              <w:rPr>
                <w:sz w:val="22"/>
                <w:szCs w:val="22"/>
              </w:rPr>
            </w:pPr>
            <w:r>
              <w:rPr>
                <w:sz w:val="22"/>
                <w:szCs w:val="22"/>
              </w:rPr>
              <w:t>重要跨县</w:t>
            </w:r>
          </w:p>
        </w:tc>
      </w:tr>
      <w:tr w14:paraId="2E212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1AB13C85">
            <w:pPr>
              <w:pStyle w:val="57"/>
              <w:jc w:val="center"/>
              <w:rPr>
                <w:sz w:val="22"/>
                <w:szCs w:val="22"/>
              </w:rPr>
            </w:pPr>
            <w:r>
              <w:rPr>
                <w:sz w:val="22"/>
                <w:szCs w:val="22"/>
              </w:rPr>
              <w:t>36</w:t>
            </w:r>
          </w:p>
        </w:tc>
        <w:tc>
          <w:tcPr>
            <w:tcW w:w="1212" w:type="pct"/>
            <w:shd w:val="clear" w:color="auto" w:fill="auto"/>
            <w:noWrap/>
            <w:vAlign w:val="center"/>
          </w:tcPr>
          <w:p w14:paraId="7B3D795B">
            <w:pPr>
              <w:pStyle w:val="57"/>
              <w:jc w:val="center"/>
              <w:rPr>
                <w:sz w:val="22"/>
                <w:szCs w:val="22"/>
              </w:rPr>
            </w:pPr>
            <w:r>
              <w:rPr>
                <w:sz w:val="22"/>
                <w:szCs w:val="22"/>
              </w:rPr>
              <w:t>蚌蜒河</w:t>
            </w:r>
          </w:p>
        </w:tc>
        <w:tc>
          <w:tcPr>
            <w:tcW w:w="1641" w:type="pct"/>
            <w:vAlign w:val="center"/>
          </w:tcPr>
          <w:p w14:paraId="23718CAD">
            <w:pPr>
              <w:pStyle w:val="57"/>
              <w:jc w:val="center"/>
              <w:rPr>
                <w:sz w:val="22"/>
                <w:szCs w:val="22"/>
              </w:rPr>
            </w:pPr>
            <w:r>
              <w:rPr>
                <w:sz w:val="22"/>
                <w:szCs w:val="22"/>
              </w:rPr>
              <w:t>泰州兴化市及外市</w:t>
            </w:r>
          </w:p>
        </w:tc>
        <w:tc>
          <w:tcPr>
            <w:tcW w:w="992" w:type="pct"/>
            <w:vAlign w:val="center"/>
          </w:tcPr>
          <w:p w14:paraId="0A9B2309">
            <w:pPr>
              <w:pStyle w:val="57"/>
              <w:jc w:val="center"/>
              <w:rPr>
                <w:sz w:val="22"/>
                <w:szCs w:val="22"/>
              </w:rPr>
            </w:pPr>
            <w:r>
              <w:rPr>
                <w:rFonts w:hint="eastAsia"/>
                <w:sz w:val="22"/>
                <w:szCs w:val="22"/>
              </w:rPr>
              <w:t>38.0</w:t>
            </w:r>
          </w:p>
        </w:tc>
        <w:tc>
          <w:tcPr>
            <w:tcW w:w="755" w:type="pct"/>
            <w:shd w:val="clear" w:color="auto" w:fill="auto"/>
            <w:noWrap/>
            <w:vAlign w:val="center"/>
          </w:tcPr>
          <w:p w14:paraId="6F875379">
            <w:pPr>
              <w:pStyle w:val="57"/>
              <w:jc w:val="center"/>
              <w:rPr>
                <w:sz w:val="22"/>
                <w:szCs w:val="22"/>
              </w:rPr>
            </w:pPr>
            <w:r>
              <w:rPr>
                <w:sz w:val="22"/>
                <w:szCs w:val="22"/>
              </w:rPr>
              <w:t>重要跨县</w:t>
            </w:r>
          </w:p>
        </w:tc>
      </w:tr>
      <w:tr w14:paraId="57A76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70236F88">
            <w:pPr>
              <w:pStyle w:val="57"/>
              <w:jc w:val="center"/>
              <w:rPr>
                <w:sz w:val="22"/>
                <w:szCs w:val="22"/>
              </w:rPr>
            </w:pPr>
            <w:r>
              <w:rPr>
                <w:sz w:val="22"/>
                <w:szCs w:val="22"/>
              </w:rPr>
              <w:t>37</w:t>
            </w:r>
          </w:p>
        </w:tc>
        <w:tc>
          <w:tcPr>
            <w:tcW w:w="1212" w:type="pct"/>
            <w:shd w:val="clear" w:color="auto" w:fill="auto"/>
            <w:noWrap/>
            <w:vAlign w:val="center"/>
          </w:tcPr>
          <w:p w14:paraId="4D600B3B">
            <w:pPr>
              <w:pStyle w:val="57"/>
              <w:jc w:val="center"/>
              <w:rPr>
                <w:sz w:val="22"/>
                <w:szCs w:val="22"/>
              </w:rPr>
            </w:pPr>
            <w:r>
              <w:rPr>
                <w:sz w:val="22"/>
                <w:szCs w:val="22"/>
              </w:rPr>
              <w:t>横泾河</w:t>
            </w:r>
          </w:p>
        </w:tc>
        <w:tc>
          <w:tcPr>
            <w:tcW w:w="1641" w:type="pct"/>
            <w:vAlign w:val="center"/>
          </w:tcPr>
          <w:p w14:paraId="581F143C">
            <w:pPr>
              <w:pStyle w:val="57"/>
              <w:jc w:val="center"/>
              <w:rPr>
                <w:sz w:val="22"/>
                <w:szCs w:val="22"/>
              </w:rPr>
            </w:pPr>
            <w:r>
              <w:rPr>
                <w:sz w:val="22"/>
                <w:szCs w:val="22"/>
              </w:rPr>
              <w:t>泰州兴化市及外市</w:t>
            </w:r>
          </w:p>
        </w:tc>
        <w:tc>
          <w:tcPr>
            <w:tcW w:w="992" w:type="pct"/>
            <w:vAlign w:val="center"/>
          </w:tcPr>
          <w:p w14:paraId="60EA1439">
            <w:pPr>
              <w:pStyle w:val="57"/>
              <w:jc w:val="center"/>
              <w:rPr>
                <w:sz w:val="22"/>
                <w:szCs w:val="22"/>
              </w:rPr>
            </w:pPr>
            <w:r>
              <w:rPr>
                <w:sz w:val="22"/>
                <w:szCs w:val="22"/>
              </w:rPr>
              <w:t>18.6</w:t>
            </w:r>
          </w:p>
        </w:tc>
        <w:tc>
          <w:tcPr>
            <w:tcW w:w="755" w:type="pct"/>
            <w:shd w:val="clear" w:color="auto" w:fill="auto"/>
            <w:noWrap/>
            <w:vAlign w:val="center"/>
          </w:tcPr>
          <w:p w14:paraId="02CF0A24">
            <w:pPr>
              <w:pStyle w:val="57"/>
              <w:jc w:val="center"/>
              <w:rPr>
                <w:sz w:val="22"/>
                <w:szCs w:val="22"/>
              </w:rPr>
            </w:pPr>
            <w:r>
              <w:rPr>
                <w:sz w:val="22"/>
                <w:szCs w:val="22"/>
              </w:rPr>
              <w:t>重要跨县</w:t>
            </w:r>
          </w:p>
        </w:tc>
      </w:tr>
      <w:tr w14:paraId="572EB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310B8D46">
            <w:pPr>
              <w:pStyle w:val="57"/>
              <w:jc w:val="center"/>
              <w:rPr>
                <w:sz w:val="22"/>
                <w:szCs w:val="22"/>
              </w:rPr>
            </w:pPr>
            <w:r>
              <w:rPr>
                <w:sz w:val="22"/>
                <w:szCs w:val="22"/>
              </w:rPr>
              <w:t>38</w:t>
            </w:r>
          </w:p>
        </w:tc>
        <w:tc>
          <w:tcPr>
            <w:tcW w:w="1212" w:type="pct"/>
            <w:shd w:val="clear" w:color="auto" w:fill="auto"/>
            <w:noWrap/>
            <w:vAlign w:val="center"/>
          </w:tcPr>
          <w:p w14:paraId="0DD306B5">
            <w:pPr>
              <w:pStyle w:val="57"/>
              <w:jc w:val="center"/>
              <w:rPr>
                <w:sz w:val="22"/>
                <w:szCs w:val="22"/>
              </w:rPr>
            </w:pPr>
            <w:r>
              <w:rPr>
                <w:sz w:val="22"/>
                <w:szCs w:val="22"/>
              </w:rPr>
              <w:t>临兴河</w:t>
            </w:r>
          </w:p>
        </w:tc>
        <w:tc>
          <w:tcPr>
            <w:tcW w:w="1641" w:type="pct"/>
            <w:vAlign w:val="center"/>
          </w:tcPr>
          <w:p w14:paraId="1225952A">
            <w:pPr>
              <w:pStyle w:val="57"/>
              <w:jc w:val="center"/>
              <w:rPr>
                <w:sz w:val="22"/>
                <w:szCs w:val="22"/>
              </w:rPr>
            </w:pPr>
            <w:r>
              <w:rPr>
                <w:sz w:val="22"/>
                <w:szCs w:val="22"/>
              </w:rPr>
              <w:t>泰州兴化市及外市</w:t>
            </w:r>
          </w:p>
        </w:tc>
        <w:tc>
          <w:tcPr>
            <w:tcW w:w="992" w:type="pct"/>
            <w:vAlign w:val="center"/>
          </w:tcPr>
          <w:p w14:paraId="69FA2D4F">
            <w:pPr>
              <w:pStyle w:val="57"/>
              <w:jc w:val="center"/>
              <w:rPr>
                <w:sz w:val="22"/>
                <w:szCs w:val="22"/>
              </w:rPr>
            </w:pPr>
            <w:r>
              <w:rPr>
                <w:sz w:val="22"/>
                <w:szCs w:val="22"/>
              </w:rPr>
              <w:t>26.7</w:t>
            </w:r>
          </w:p>
        </w:tc>
        <w:tc>
          <w:tcPr>
            <w:tcW w:w="755" w:type="pct"/>
            <w:shd w:val="clear" w:color="auto" w:fill="auto"/>
            <w:noWrap/>
            <w:vAlign w:val="center"/>
          </w:tcPr>
          <w:p w14:paraId="72AB36B5">
            <w:pPr>
              <w:pStyle w:val="57"/>
              <w:jc w:val="center"/>
              <w:rPr>
                <w:sz w:val="22"/>
                <w:szCs w:val="22"/>
              </w:rPr>
            </w:pPr>
            <w:r>
              <w:rPr>
                <w:sz w:val="22"/>
                <w:szCs w:val="22"/>
              </w:rPr>
              <w:t>重要跨县</w:t>
            </w:r>
          </w:p>
        </w:tc>
      </w:tr>
      <w:tr w14:paraId="4C80D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7B6FC409">
            <w:pPr>
              <w:pStyle w:val="57"/>
              <w:jc w:val="center"/>
              <w:rPr>
                <w:sz w:val="22"/>
                <w:szCs w:val="22"/>
              </w:rPr>
            </w:pPr>
            <w:r>
              <w:rPr>
                <w:sz w:val="22"/>
                <w:szCs w:val="22"/>
              </w:rPr>
              <w:t>39</w:t>
            </w:r>
          </w:p>
        </w:tc>
        <w:tc>
          <w:tcPr>
            <w:tcW w:w="1212" w:type="pct"/>
            <w:shd w:val="clear" w:color="auto" w:fill="auto"/>
            <w:noWrap/>
            <w:vAlign w:val="center"/>
          </w:tcPr>
          <w:p w14:paraId="24D2A766">
            <w:pPr>
              <w:pStyle w:val="57"/>
              <w:jc w:val="center"/>
              <w:rPr>
                <w:sz w:val="22"/>
                <w:szCs w:val="22"/>
              </w:rPr>
            </w:pPr>
            <w:r>
              <w:rPr>
                <w:sz w:val="22"/>
                <w:szCs w:val="22"/>
              </w:rPr>
              <w:t>东平河</w:t>
            </w:r>
          </w:p>
        </w:tc>
        <w:tc>
          <w:tcPr>
            <w:tcW w:w="1641" w:type="pct"/>
            <w:vAlign w:val="center"/>
          </w:tcPr>
          <w:p w14:paraId="4E555D3F">
            <w:pPr>
              <w:pStyle w:val="57"/>
              <w:jc w:val="center"/>
              <w:rPr>
                <w:sz w:val="22"/>
                <w:szCs w:val="22"/>
              </w:rPr>
            </w:pPr>
            <w:r>
              <w:rPr>
                <w:sz w:val="22"/>
                <w:szCs w:val="22"/>
              </w:rPr>
              <w:t>泰州兴化市及外市</w:t>
            </w:r>
          </w:p>
        </w:tc>
        <w:tc>
          <w:tcPr>
            <w:tcW w:w="992" w:type="pct"/>
            <w:vAlign w:val="center"/>
          </w:tcPr>
          <w:p w14:paraId="2B072590">
            <w:pPr>
              <w:pStyle w:val="57"/>
              <w:jc w:val="center"/>
              <w:rPr>
                <w:sz w:val="22"/>
                <w:szCs w:val="22"/>
              </w:rPr>
            </w:pPr>
            <w:r>
              <w:rPr>
                <w:sz w:val="22"/>
                <w:szCs w:val="22"/>
              </w:rPr>
              <w:t>41.8</w:t>
            </w:r>
          </w:p>
        </w:tc>
        <w:tc>
          <w:tcPr>
            <w:tcW w:w="755" w:type="pct"/>
            <w:shd w:val="clear" w:color="auto" w:fill="auto"/>
            <w:noWrap/>
            <w:vAlign w:val="center"/>
          </w:tcPr>
          <w:p w14:paraId="7865289E">
            <w:pPr>
              <w:pStyle w:val="57"/>
              <w:jc w:val="center"/>
              <w:rPr>
                <w:sz w:val="22"/>
                <w:szCs w:val="22"/>
              </w:rPr>
            </w:pPr>
            <w:r>
              <w:rPr>
                <w:sz w:val="22"/>
                <w:szCs w:val="22"/>
              </w:rPr>
              <w:t>重要跨县</w:t>
            </w:r>
          </w:p>
        </w:tc>
      </w:tr>
      <w:tr w14:paraId="0EA47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2AECE456">
            <w:pPr>
              <w:pStyle w:val="57"/>
              <w:jc w:val="center"/>
              <w:rPr>
                <w:sz w:val="22"/>
                <w:szCs w:val="22"/>
              </w:rPr>
            </w:pPr>
            <w:r>
              <w:rPr>
                <w:sz w:val="22"/>
                <w:szCs w:val="22"/>
              </w:rPr>
              <w:t>40</w:t>
            </w:r>
          </w:p>
        </w:tc>
        <w:tc>
          <w:tcPr>
            <w:tcW w:w="1212" w:type="pct"/>
            <w:shd w:val="clear" w:color="auto" w:fill="auto"/>
            <w:noWrap/>
            <w:vAlign w:val="center"/>
          </w:tcPr>
          <w:p w14:paraId="4916D07F">
            <w:pPr>
              <w:pStyle w:val="57"/>
              <w:jc w:val="center"/>
              <w:rPr>
                <w:sz w:val="22"/>
                <w:szCs w:val="22"/>
              </w:rPr>
            </w:pPr>
            <w:r>
              <w:rPr>
                <w:sz w:val="22"/>
                <w:szCs w:val="22"/>
              </w:rPr>
              <w:t>斜丰港</w:t>
            </w:r>
          </w:p>
        </w:tc>
        <w:tc>
          <w:tcPr>
            <w:tcW w:w="1641" w:type="pct"/>
            <w:vAlign w:val="center"/>
          </w:tcPr>
          <w:p w14:paraId="6D11A49B">
            <w:pPr>
              <w:pStyle w:val="57"/>
              <w:jc w:val="center"/>
              <w:rPr>
                <w:sz w:val="22"/>
                <w:szCs w:val="22"/>
              </w:rPr>
            </w:pPr>
            <w:r>
              <w:rPr>
                <w:sz w:val="22"/>
                <w:szCs w:val="22"/>
              </w:rPr>
              <w:t>泰州兴化市及外市</w:t>
            </w:r>
          </w:p>
        </w:tc>
        <w:tc>
          <w:tcPr>
            <w:tcW w:w="992" w:type="pct"/>
            <w:vAlign w:val="center"/>
          </w:tcPr>
          <w:p w14:paraId="2E0BEED9">
            <w:pPr>
              <w:pStyle w:val="57"/>
              <w:jc w:val="center"/>
              <w:rPr>
                <w:sz w:val="22"/>
                <w:szCs w:val="22"/>
              </w:rPr>
            </w:pPr>
            <w:r>
              <w:rPr>
                <w:rFonts w:hint="eastAsia"/>
                <w:sz w:val="22"/>
                <w:szCs w:val="22"/>
              </w:rPr>
              <w:t>0.2</w:t>
            </w:r>
          </w:p>
        </w:tc>
        <w:tc>
          <w:tcPr>
            <w:tcW w:w="755" w:type="pct"/>
            <w:shd w:val="clear" w:color="auto" w:fill="auto"/>
            <w:noWrap/>
            <w:vAlign w:val="center"/>
          </w:tcPr>
          <w:p w14:paraId="27B5CD52">
            <w:pPr>
              <w:pStyle w:val="57"/>
              <w:jc w:val="center"/>
              <w:rPr>
                <w:sz w:val="22"/>
                <w:szCs w:val="22"/>
              </w:rPr>
            </w:pPr>
            <w:r>
              <w:rPr>
                <w:sz w:val="22"/>
                <w:szCs w:val="22"/>
              </w:rPr>
              <w:t>重要跨县</w:t>
            </w:r>
          </w:p>
        </w:tc>
      </w:tr>
      <w:tr w14:paraId="6560F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00A53CF2">
            <w:pPr>
              <w:pStyle w:val="57"/>
              <w:jc w:val="center"/>
              <w:rPr>
                <w:sz w:val="22"/>
                <w:szCs w:val="22"/>
              </w:rPr>
            </w:pPr>
            <w:r>
              <w:rPr>
                <w:sz w:val="22"/>
                <w:szCs w:val="22"/>
              </w:rPr>
              <w:t>41</w:t>
            </w:r>
          </w:p>
        </w:tc>
        <w:tc>
          <w:tcPr>
            <w:tcW w:w="1212" w:type="pct"/>
            <w:shd w:val="clear" w:color="auto" w:fill="auto"/>
            <w:noWrap/>
            <w:vAlign w:val="center"/>
          </w:tcPr>
          <w:p w14:paraId="687F5E02">
            <w:pPr>
              <w:pStyle w:val="57"/>
              <w:jc w:val="center"/>
              <w:rPr>
                <w:sz w:val="22"/>
                <w:szCs w:val="22"/>
              </w:rPr>
            </w:pPr>
            <w:r>
              <w:rPr>
                <w:sz w:val="22"/>
                <w:szCs w:val="22"/>
              </w:rPr>
              <w:t>龙耳河</w:t>
            </w:r>
          </w:p>
        </w:tc>
        <w:tc>
          <w:tcPr>
            <w:tcW w:w="1641" w:type="pct"/>
            <w:vAlign w:val="center"/>
          </w:tcPr>
          <w:p w14:paraId="1D5E69D9">
            <w:pPr>
              <w:pStyle w:val="57"/>
              <w:jc w:val="center"/>
              <w:rPr>
                <w:sz w:val="22"/>
                <w:szCs w:val="22"/>
              </w:rPr>
            </w:pPr>
            <w:r>
              <w:rPr>
                <w:sz w:val="22"/>
                <w:szCs w:val="22"/>
              </w:rPr>
              <w:t>泰州兴化市及外市</w:t>
            </w:r>
          </w:p>
        </w:tc>
        <w:tc>
          <w:tcPr>
            <w:tcW w:w="992" w:type="pct"/>
            <w:vAlign w:val="center"/>
          </w:tcPr>
          <w:p w14:paraId="2F106215">
            <w:pPr>
              <w:pStyle w:val="57"/>
              <w:jc w:val="center"/>
              <w:rPr>
                <w:sz w:val="22"/>
                <w:szCs w:val="22"/>
              </w:rPr>
            </w:pPr>
            <w:r>
              <w:rPr>
                <w:rFonts w:hint="eastAsia"/>
                <w:sz w:val="22"/>
                <w:szCs w:val="22"/>
              </w:rPr>
              <w:t>9.6</w:t>
            </w:r>
          </w:p>
        </w:tc>
        <w:tc>
          <w:tcPr>
            <w:tcW w:w="755" w:type="pct"/>
            <w:shd w:val="clear" w:color="auto" w:fill="auto"/>
            <w:noWrap/>
            <w:vAlign w:val="center"/>
          </w:tcPr>
          <w:p w14:paraId="3B2624D5">
            <w:pPr>
              <w:pStyle w:val="57"/>
              <w:jc w:val="center"/>
              <w:rPr>
                <w:sz w:val="22"/>
                <w:szCs w:val="22"/>
              </w:rPr>
            </w:pPr>
            <w:r>
              <w:rPr>
                <w:sz w:val="22"/>
                <w:szCs w:val="22"/>
              </w:rPr>
              <w:t>重要跨县</w:t>
            </w:r>
          </w:p>
        </w:tc>
      </w:tr>
      <w:tr w14:paraId="26906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09EDD708">
            <w:pPr>
              <w:pStyle w:val="57"/>
              <w:jc w:val="center"/>
              <w:rPr>
                <w:sz w:val="22"/>
                <w:szCs w:val="22"/>
              </w:rPr>
            </w:pPr>
            <w:r>
              <w:rPr>
                <w:sz w:val="22"/>
                <w:szCs w:val="22"/>
              </w:rPr>
              <w:t>42</w:t>
            </w:r>
          </w:p>
        </w:tc>
        <w:tc>
          <w:tcPr>
            <w:tcW w:w="1212" w:type="pct"/>
            <w:shd w:val="clear" w:color="auto" w:fill="auto"/>
            <w:noWrap/>
            <w:vAlign w:val="center"/>
          </w:tcPr>
          <w:p w14:paraId="5405DC33">
            <w:pPr>
              <w:pStyle w:val="57"/>
              <w:jc w:val="center"/>
              <w:rPr>
                <w:sz w:val="22"/>
                <w:szCs w:val="22"/>
              </w:rPr>
            </w:pPr>
            <w:r>
              <w:rPr>
                <w:sz w:val="22"/>
                <w:szCs w:val="22"/>
              </w:rPr>
              <w:t>俞西河</w:t>
            </w:r>
          </w:p>
        </w:tc>
        <w:tc>
          <w:tcPr>
            <w:tcW w:w="1641" w:type="pct"/>
            <w:vAlign w:val="center"/>
          </w:tcPr>
          <w:p w14:paraId="05C0E0B9">
            <w:pPr>
              <w:pStyle w:val="57"/>
              <w:jc w:val="center"/>
              <w:rPr>
                <w:sz w:val="22"/>
                <w:szCs w:val="22"/>
              </w:rPr>
            </w:pPr>
            <w:r>
              <w:rPr>
                <w:sz w:val="22"/>
                <w:szCs w:val="22"/>
              </w:rPr>
              <w:t>泰州姜堰、兴化市及外市</w:t>
            </w:r>
          </w:p>
        </w:tc>
        <w:tc>
          <w:tcPr>
            <w:tcW w:w="992" w:type="pct"/>
            <w:vAlign w:val="center"/>
          </w:tcPr>
          <w:p w14:paraId="62163025">
            <w:pPr>
              <w:pStyle w:val="57"/>
              <w:jc w:val="center"/>
              <w:rPr>
                <w:sz w:val="22"/>
                <w:szCs w:val="22"/>
              </w:rPr>
            </w:pPr>
            <w:r>
              <w:rPr>
                <w:rFonts w:hint="eastAsia"/>
                <w:sz w:val="22"/>
                <w:szCs w:val="22"/>
              </w:rPr>
              <w:t>10.6</w:t>
            </w:r>
          </w:p>
        </w:tc>
        <w:tc>
          <w:tcPr>
            <w:tcW w:w="755" w:type="pct"/>
            <w:shd w:val="clear" w:color="auto" w:fill="auto"/>
            <w:noWrap/>
            <w:vAlign w:val="center"/>
          </w:tcPr>
          <w:p w14:paraId="187C5F5C">
            <w:pPr>
              <w:pStyle w:val="57"/>
              <w:jc w:val="center"/>
              <w:rPr>
                <w:sz w:val="22"/>
                <w:szCs w:val="22"/>
              </w:rPr>
            </w:pPr>
            <w:r>
              <w:rPr>
                <w:sz w:val="22"/>
                <w:szCs w:val="22"/>
              </w:rPr>
              <w:t>重要跨县</w:t>
            </w:r>
          </w:p>
        </w:tc>
      </w:tr>
      <w:tr w14:paraId="4E45F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60D2BA0C">
            <w:pPr>
              <w:pStyle w:val="57"/>
              <w:jc w:val="center"/>
              <w:rPr>
                <w:sz w:val="22"/>
                <w:szCs w:val="22"/>
              </w:rPr>
            </w:pPr>
            <w:r>
              <w:rPr>
                <w:sz w:val="22"/>
                <w:szCs w:val="22"/>
              </w:rPr>
              <w:t>43</w:t>
            </w:r>
          </w:p>
        </w:tc>
        <w:tc>
          <w:tcPr>
            <w:tcW w:w="1212" w:type="pct"/>
            <w:shd w:val="clear" w:color="auto" w:fill="auto"/>
            <w:noWrap/>
            <w:vAlign w:val="center"/>
          </w:tcPr>
          <w:p w14:paraId="69B8C94A">
            <w:pPr>
              <w:pStyle w:val="57"/>
              <w:jc w:val="center"/>
              <w:rPr>
                <w:sz w:val="22"/>
                <w:szCs w:val="22"/>
              </w:rPr>
            </w:pPr>
            <w:r>
              <w:rPr>
                <w:sz w:val="22"/>
                <w:szCs w:val="22"/>
              </w:rPr>
              <w:t>串场河</w:t>
            </w:r>
          </w:p>
        </w:tc>
        <w:tc>
          <w:tcPr>
            <w:tcW w:w="1641" w:type="pct"/>
            <w:vAlign w:val="center"/>
          </w:tcPr>
          <w:p w14:paraId="53A3BCE3">
            <w:pPr>
              <w:pStyle w:val="57"/>
              <w:jc w:val="center"/>
              <w:rPr>
                <w:sz w:val="22"/>
                <w:szCs w:val="22"/>
              </w:rPr>
            </w:pPr>
            <w:r>
              <w:rPr>
                <w:sz w:val="22"/>
                <w:szCs w:val="22"/>
              </w:rPr>
              <w:t>泰州兴化市及外市</w:t>
            </w:r>
          </w:p>
        </w:tc>
        <w:tc>
          <w:tcPr>
            <w:tcW w:w="992" w:type="pct"/>
            <w:vAlign w:val="center"/>
          </w:tcPr>
          <w:p w14:paraId="77798604">
            <w:pPr>
              <w:pStyle w:val="57"/>
              <w:jc w:val="center"/>
              <w:rPr>
                <w:sz w:val="22"/>
                <w:szCs w:val="22"/>
              </w:rPr>
            </w:pPr>
            <w:r>
              <w:rPr>
                <w:rFonts w:hint="eastAsia"/>
                <w:sz w:val="22"/>
                <w:szCs w:val="22"/>
              </w:rPr>
              <w:t>20.8</w:t>
            </w:r>
          </w:p>
        </w:tc>
        <w:tc>
          <w:tcPr>
            <w:tcW w:w="755" w:type="pct"/>
            <w:shd w:val="clear" w:color="auto" w:fill="auto"/>
            <w:noWrap/>
            <w:vAlign w:val="center"/>
          </w:tcPr>
          <w:p w14:paraId="772105E9">
            <w:pPr>
              <w:pStyle w:val="57"/>
              <w:jc w:val="center"/>
              <w:rPr>
                <w:sz w:val="22"/>
                <w:szCs w:val="22"/>
              </w:rPr>
            </w:pPr>
            <w:r>
              <w:rPr>
                <w:sz w:val="22"/>
                <w:szCs w:val="22"/>
              </w:rPr>
              <w:t>重要跨县</w:t>
            </w:r>
          </w:p>
        </w:tc>
      </w:tr>
      <w:tr w14:paraId="264FE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308EAECE">
            <w:pPr>
              <w:pStyle w:val="57"/>
              <w:jc w:val="center"/>
              <w:rPr>
                <w:sz w:val="22"/>
                <w:szCs w:val="22"/>
              </w:rPr>
            </w:pPr>
            <w:r>
              <w:rPr>
                <w:sz w:val="22"/>
                <w:szCs w:val="22"/>
              </w:rPr>
              <w:t>44</w:t>
            </w:r>
          </w:p>
        </w:tc>
        <w:tc>
          <w:tcPr>
            <w:tcW w:w="1212" w:type="pct"/>
            <w:shd w:val="clear" w:color="auto" w:fill="auto"/>
            <w:noWrap/>
            <w:vAlign w:val="center"/>
          </w:tcPr>
          <w:p w14:paraId="1DCB088F">
            <w:pPr>
              <w:pStyle w:val="57"/>
              <w:jc w:val="center"/>
              <w:rPr>
                <w:sz w:val="22"/>
                <w:szCs w:val="22"/>
              </w:rPr>
            </w:pPr>
            <w:r>
              <w:rPr>
                <w:sz w:val="22"/>
                <w:szCs w:val="22"/>
              </w:rPr>
              <w:t>李中河</w:t>
            </w:r>
          </w:p>
        </w:tc>
        <w:tc>
          <w:tcPr>
            <w:tcW w:w="1641" w:type="pct"/>
            <w:vAlign w:val="center"/>
          </w:tcPr>
          <w:p w14:paraId="762F3808">
            <w:pPr>
              <w:pStyle w:val="57"/>
              <w:jc w:val="center"/>
              <w:rPr>
                <w:sz w:val="22"/>
                <w:szCs w:val="22"/>
              </w:rPr>
            </w:pPr>
            <w:r>
              <w:rPr>
                <w:sz w:val="22"/>
                <w:szCs w:val="22"/>
              </w:rPr>
              <w:t>泰州兴化市</w:t>
            </w:r>
          </w:p>
        </w:tc>
        <w:tc>
          <w:tcPr>
            <w:tcW w:w="992" w:type="pct"/>
            <w:vAlign w:val="center"/>
          </w:tcPr>
          <w:p w14:paraId="7DEA2A69">
            <w:pPr>
              <w:pStyle w:val="57"/>
              <w:jc w:val="center"/>
              <w:rPr>
                <w:sz w:val="22"/>
                <w:szCs w:val="22"/>
              </w:rPr>
            </w:pPr>
            <w:r>
              <w:rPr>
                <w:sz w:val="22"/>
                <w:szCs w:val="22"/>
              </w:rPr>
              <w:t>23.0</w:t>
            </w:r>
          </w:p>
        </w:tc>
        <w:tc>
          <w:tcPr>
            <w:tcW w:w="755" w:type="pct"/>
            <w:shd w:val="clear" w:color="auto" w:fill="auto"/>
            <w:noWrap/>
            <w:vAlign w:val="center"/>
          </w:tcPr>
          <w:p w14:paraId="55A8AE38">
            <w:pPr>
              <w:pStyle w:val="57"/>
              <w:jc w:val="center"/>
              <w:rPr>
                <w:sz w:val="22"/>
                <w:szCs w:val="22"/>
              </w:rPr>
            </w:pPr>
            <w:r>
              <w:rPr>
                <w:sz w:val="22"/>
                <w:szCs w:val="22"/>
              </w:rPr>
              <w:t>重要县域</w:t>
            </w:r>
          </w:p>
        </w:tc>
      </w:tr>
      <w:tr w14:paraId="5A0EF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532C68B2">
            <w:pPr>
              <w:pStyle w:val="57"/>
              <w:jc w:val="center"/>
              <w:rPr>
                <w:sz w:val="22"/>
                <w:szCs w:val="22"/>
              </w:rPr>
            </w:pPr>
            <w:r>
              <w:rPr>
                <w:sz w:val="22"/>
                <w:szCs w:val="22"/>
              </w:rPr>
              <w:t>45</w:t>
            </w:r>
          </w:p>
        </w:tc>
        <w:tc>
          <w:tcPr>
            <w:tcW w:w="1212" w:type="pct"/>
            <w:shd w:val="clear" w:color="auto" w:fill="auto"/>
            <w:noWrap/>
            <w:vAlign w:val="center"/>
          </w:tcPr>
          <w:p w14:paraId="12849A47">
            <w:pPr>
              <w:pStyle w:val="57"/>
              <w:jc w:val="center"/>
              <w:rPr>
                <w:sz w:val="22"/>
                <w:szCs w:val="22"/>
              </w:rPr>
            </w:pPr>
            <w:r>
              <w:rPr>
                <w:sz w:val="22"/>
                <w:szCs w:val="22"/>
              </w:rPr>
              <w:t>中引河</w:t>
            </w:r>
          </w:p>
        </w:tc>
        <w:tc>
          <w:tcPr>
            <w:tcW w:w="1641" w:type="pct"/>
            <w:vAlign w:val="center"/>
          </w:tcPr>
          <w:p w14:paraId="18D3BD65">
            <w:pPr>
              <w:pStyle w:val="57"/>
              <w:jc w:val="center"/>
              <w:rPr>
                <w:sz w:val="22"/>
                <w:szCs w:val="22"/>
              </w:rPr>
            </w:pPr>
            <w:r>
              <w:rPr>
                <w:sz w:val="22"/>
                <w:szCs w:val="22"/>
              </w:rPr>
              <w:t>泰州兴化市</w:t>
            </w:r>
          </w:p>
        </w:tc>
        <w:tc>
          <w:tcPr>
            <w:tcW w:w="992" w:type="pct"/>
            <w:vAlign w:val="center"/>
          </w:tcPr>
          <w:p w14:paraId="4A74A83B">
            <w:pPr>
              <w:pStyle w:val="57"/>
              <w:jc w:val="center"/>
              <w:rPr>
                <w:sz w:val="22"/>
                <w:szCs w:val="22"/>
              </w:rPr>
            </w:pPr>
            <w:r>
              <w:rPr>
                <w:sz w:val="22"/>
                <w:szCs w:val="22"/>
              </w:rPr>
              <w:t>3.7</w:t>
            </w:r>
          </w:p>
        </w:tc>
        <w:tc>
          <w:tcPr>
            <w:tcW w:w="755" w:type="pct"/>
            <w:shd w:val="clear" w:color="auto" w:fill="auto"/>
            <w:noWrap/>
            <w:vAlign w:val="center"/>
          </w:tcPr>
          <w:p w14:paraId="7AB16A3E">
            <w:pPr>
              <w:pStyle w:val="57"/>
              <w:jc w:val="center"/>
              <w:rPr>
                <w:sz w:val="22"/>
                <w:szCs w:val="22"/>
              </w:rPr>
            </w:pPr>
            <w:r>
              <w:rPr>
                <w:sz w:val="22"/>
                <w:szCs w:val="22"/>
              </w:rPr>
              <w:t>重要县域</w:t>
            </w:r>
          </w:p>
        </w:tc>
      </w:tr>
      <w:tr w14:paraId="5B595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33C385D5">
            <w:pPr>
              <w:pStyle w:val="57"/>
              <w:jc w:val="center"/>
              <w:rPr>
                <w:sz w:val="22"/>
                <w:szCs w:val="22"/>
              </w:rPr>
            </w:pPr>
            <w:r>
              <w:rPr>
                <w:sz w:val="22"/>
                <w:szCs w:val="22"/>
              </w:rPr>
              <w:t>46</w:t>
            </w:r>
          </w:p>
        </w:tc>
        <w:tc>
          <w:tcPr>
            <w:tcW w:w="1212" w:type="pct"/>
            <w:shd w:val="clear" w:color="auto" w:fill="auto"/>
            <w:noWrap/>
            <w:vAlign w:val="center"/>
          </w:tcPr>
          <w:p w14:paraId="7ECD0210">
            <w:pPr>
              <w:pStyle w:val="57"/>
              <w:jc w:val="center"/>
              <w:rPr>
                <w:sz w:val="22"/>
                <w:szCs w:val="22"/>
              </w:rPr>
            </w:pPr>
            <w:r>
              <w:rPr>
                <w:sz w:val="22"/>
                <w:szCs w:val="22"/>
              </w:rPr>
              <w:t>鲤鱼河</w:t>
            </w:r>
          </w:p>
        </w:tc>
        <w:tc>
          <w:tcPr>
            <w:tcW w:w="1641" w:type="pct"/>
            <w:vAlign w:val="center"/>
          </w:tcPr>
          <w:p w14:paraId="71438048">
            <w:pPr>
              <w:pStyle w:val="57"/>
              <w:jc w:val="center"/>
              <w:rPr>
                <w:sz w:val="22"/>
                <w:szCs w:val="22"/>
              </w:rPr>
            </w:pPr>
            <w:r>
              <w:rPr>
                <w:sz w:val="22"/>
                <w:szCs w:val="22"/>
              </w:rPr>
              <w:t>泰州兴化市</w:t>
            </w:r>
          </w:p>
        </w:tc>
        <w:tc>
          <w:tcPr>
            <w:tcW w:w="992" w:type="pct"/>
            <w:vAlign w:val="center"/>
          </w:tcPr>
          <w:p w14:paraId="364F9B0A">
            <w:pPr>
              <w:pStyle w:val="57"/>
              <w:jc w:val="center"/>
              <w:rPr>
                <w:sz w:val="22"/>
                <w:szCs w:val="22"/>
              </w:rPr>
            </w:pPr>
            <w:r>
              <w:rPr>
                <w:sz w:val="22"/>
                <w:szCs w:val="22"/>
              </w:rPr>
              <w:t>3.5</w:t>
            </w:r>
          </w:p>
        </w:tc>
        <w:tc>
          <w:tcPr>
            <w:tcW w:w="755" w:type="pct"/>
            <w:shd w:val="clear" w:color="auto" w:fill="auto"/>
            <w:noWrap/>
            <w:vAlign w:val="center"/>
          </w:tcPr>
          <w:p w14:paraId="7F8CA73E">
            <w:pPr>
              <w:pStyle w:val="57"/>
              <w:jc w:val="center"/>
              <w:rPr>
                <w:sz w:val="22"/>
                <w:szCs w:val="22"/>
              </w:rPr>
            </w:pPr>
            <w:r>
              <w:rPr>
                <w:sz w:val="22"/>
                <w:szCs w:val="22"/>
              </w:rPr>
              <w:t>重要县域</w:t>
            </w:r>
          </w:p>
        </w:tc>
      </w:tr>
      <w:tr w14:paraId="3464E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6A323D7F">
            <w:pPr>
              <w:pStyle w:val="57"/>
              <w:jc w:val="center"/>
              <w:rPr>
                <w:sz w:val="22"/>
                <w:szCs w:val="22"/>
              </w:rPr>
            </w:pPr>
            <w:r>
              <w:rPr>
                <w:sz w:val="22"/>
                <w:szCs w:val="22"/>
              </w:rPr>
              <w:t>47</w:t>
            </w:r>
          </w:p>
        </w:tc>
        <w:tc>
          <w:tcPr>
            <w:tcW w:w="1212" w:type="pct"/>
            <w:shd w:val="clear" w:color="auto" w:fill="auto"/>
            <w:noWrap/>
            <w:vAlign w:val="center"/>
          </w:tcPr>
          <w:p w14:paraId="63753A6E">
            <w:pPr>
              <w:pStyle w:val="57"/>
              <w:jc w:val="center"/>
              <w:rPr>
                <w:sz w:val="22"/>
                <w:szCs w:val="22"/>
              </w:rPr>
            </w:pPr>
            <w:r>
              <w:rPr>
                <w:sz w:val="22"/>
                <w:szCs w:val="22"/>
              </w:rPr>
              <w:t>白涂河</w:t>
            </w:r>
          </w:p>
        </w:tc>
        <w:tc>
          <w:tcPr>
            <w:tcW w:w="1641" w:type="pct"/>
            <w:vAlign w:val="center"/>
          </w:tcPr>
          <w:p w14:paraId="0923B1FD">
            <w:pPr>
              <w:pStyle w:val="57"/>
              <w:jc w:val="center"/>
              <w:rPr>
                <w:sz w:val="22"/>
                <w:szCs w:val="22"/>
              </w:rPr>
            </w:pPr>
            <w:r>
              <w:rPr>
                <w:sz w:val="22"/>
                <w:szCs w:val="22"/>
              </w:rPr>
              <w:t>泰州兴化市</w:t>
            </w:r>
          </w:p>
        </w:tc>
        <w:tc>
          <w:tcPr>
            <w:tcW w:w="992" w:type="pct"/>
            <w:vAlign w:val="center"/>
          </w:tcPr>
          <w:p w14:paraId="7FF7E38E">
            <w:pPr>
              <w:pStyle w:val="57"/>
              <w:jc w:val="center"/>
              <w:rPr>
                <w:sz w:val="22"/>
                <w:szCs w:val="22"/>
              </w:rPr>
            </w:pPr>
            <w:r>
              <w:rPr>
                <w:sz w:val="22"/>
                <w:szCs w:val="22"/>
              </w:rPr>
              <w:t>57.9</w:t>
            </w:r>
          </w:p>
        </w:tc>
        <w:tc>
          <w:tcPr>
            <w:tcW w:w="755" w:type="pct"/>
            <w:shd w:val="clear" w:color="auto" w:fill="auto"/>
            <w:noWrap/>
            <w:vAlign w:val="center"/>
          </w:tcPr>
          <w:p w14:paraId="2B496EE0">
            <w:pPr>
              <w:pStyle w:val="57"/>
              <w:jc w:val="center"/>
              <w:rPr>
                <w:sz w:val="22"/>
                <w:szCs w:val="22"/>
              </w:rPr>
            </w:pPr>
            <w:r>
              <w:rPr>
                <w:sz w:val="22"/>
                <w:szCs w:val="22"/>
              </w:rPr>
              <w:t>重要县域</w:t>
            </w:r>
          </w:p>
        </w:tc>
      </w:tr>
      <w:tr w14:paraId="3F019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3BFD82C4">
            <w:pPr>
              <w:pStyle w:val="57"/>
              <w:jc w:val="center"/>
              <w:rPr>
                <w:sz w:val="22"/>
                <w:szCs w:val="22"/>
              </w:rPr>
            </w:pPr>
            <w:r>
              <w:rPr>
                <w:sz w:val="22"/>
                <w:szCs w:val="22"/>
              </w:rPr>
              <w:t>48</w:t>
            </w:r>
          </w:p>
        </w:tc>
        <w:tc>
          <w:tcPr>
            <w:tcW w:w="1212" w:type="pct"/>
            <w:shd w:val="clear" w:color="auto" w:fill="auto"/>
            <w:noWrap/>
            <w:vAlign w:val="center"/>
          </w:tcPr>
          <w:p w14:paraId="02FBCE74">
            <w:pPr>
              <w:pStyle w:val="57"/>
              <w:jc w:val="center"/>
              <w:rPr>
                <w:sz w:val="22"/>
                <w:szCs w:val="22"/>
              </w:rPr>
            </w:pPr>
            <w:r>
              <w:rPr>
                <w:sz w:val="22"/>
                <w:szCs w:val="22"/>
              </w:rPr>
              <w:t>海河-海沟河</w:t>
            </w:r>
          </w:p>
        </w:tc>
        <w:tc>
          <w:tcPr>
            <w:tcW w:w="1641" w:type="pct"/>
            <w:vAlign w:val="center"/>
          </w:tcPr>
          <w:p w14:paraId="1A6F875E">
            <w:pPr>
              <w:pStyle w:val="57"/>
              <w:jc w:val="center"/>
              <w:rPr>
                <w:sz w:val="22"/>
                <w:szCs w:val="22"/>
              </w:rPr>
            </w:pPr>
            <w:r>
              <w:rPr>
                <w:sz w:val="22"/>
                <w:szCs w:val="22"/>
              </w:rPr>
              <w:t>泰州兴化市</w:t>
            </w:r>
          </w:p>
        </w:tc>
        <w:tc>
          <w:tcPr>
            <w:tcW w:w="992" w:type="pct"/>
            <w:vAlign w:val="center"/>
          </w:tcPr>
          <w:p w14:paraId="5EA76710">
            <w:pPr>
              <w:pStyle w:val="57"/>
              <w:jc w:val="center"/>
              <w:rPr>
                <w:sz w:val="22"/>
                <w:szCs w:val="22"/>
              </w:rPr>
            </w:pPr>
            <w:r>
              <w:rPr>
                <w:sz w:val="22"/>
                <w:szCs w:val="22"/>
              </w:rPr>
              <w:t>30.2</w:t>
            </w:r>
          </w:p>
        </w:tc>
        <w:tc>
          <w:tcPr>
            <w:tcW w:w="755" w:type="pct"/>
            <w:shd w:val="clear" w:color="auto" w:fill="auto"/>
            <w:noWrap/>
            <w:vAlign w:val="center"/>
          </w:tcPr>
          <w:p w14:paraId="0CAE37F8">
            <w:pPr>
              <w:pStyle w:val="57"/>
              <w:jc w:val="center"/>
              <w:rPr>
                <w:sz w:val="22"/>
                <w:szCs w:val="22"/>
              </w:rPr>
            </w:pPr>
            <w:r>
              <w:rPr>
                <w:sz w:val="22"/>
                <w:szCs w:val="22"/>
              </w:rPr>
              <w:t>重要县域</w:t>
            </w:r>
          </w:p>
        </w:tc>
      </w:tr>
      <w:tr w14:paraId="4C52C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04E3D55D">
            <w:pPr>
              <w:pStyle w:val="57"/>
              <w:jc w:val="center"/>
              <w:rPr>
                <w:sz w:val="22"/>
                <w:szCs w:val="22"/>
              </w:rPr>
            </w:pPr>
            <w:r>
              <w:rPr>
                <w:sz w:val="22"/>
                <w:szCs w:val="22"/>
              </w:rPr>
              <w:t>49</w:t>
            </w:r>
          </w:p>
        </w:tc>
        <w:tc>
          <w:tcPr>
            <w:tcW w:w="1212" w:type="pct"/>
            <w:shd w:val="clear" w:color="auto" w:fill="auto"/>
            <w:noWrap/>
            <w:vAlign w:val="center"/>
          </w:tcPr>
          <w:p w14:paraId="53BDC183">
            <w:pPr>
              <w:pStyle w:val="57"/>
              <w:jc w:val="center"/>
              <w:rPr>
                <w:sz w:val="22"/>
                <w:szCs w:val="22"/>
              </w:rPr>
            </w:pPr>
            <w:r>
              <w:rPr>
                <w:sz w:val="22"/>
                <w:szCs w:val="22"/>
              </w:rPr>
              <w:t>兴姜河</w:t>
            </w:r>
          </w:p>
        </w:tc>
        <w:tc>
          <w:tcPr>
            <w:tcW w:w="1641" w:type="pct"/>
            <w:vAlign w:val="center"/>
          </w:tcPr>
          <w:p w14:paraId="0AA13E08">
            <w:pPr>
              <w:pStyle w:val="57"/>
              <w:jc w:val="center"/>
              <w:rPr>
                <w:sz w:val="22"/>
                <w:szCs w:val="22"/>
              </w:rPr>
            </w:pPr>
            <w:r>
              <w:rPr>
                <w:sz w:val="22"/>
                <w:szCs w:val="22"/>
              </w:rPr>
              <w:t>泰州兴化市</w:t>
            </w:r>
          </w:p>
        </w:tc>
        <w:tc>
          <w:tcPr>
            <w:tcW w:w="992" w:type="pct"/>
            <w:vAlign w:val="center"/>
          </w:tcPr>
          <w:p w14:paraId="0718D2B1">
            <w:pPr>
              <w:pStyle w:val="57"/>
              <w:jc w:val="center"/>
              <w:rPr>
                <w:sz w:val="22"/>
                <w:szCs w:val="22"/>
              </w:rPr>
            </w:pPr>
            <w:r>
              <w:rPr>
                <w:sz w:val="22"/>
                <w:szCs w:val="22"/>
              </w:rPr>
              <w:t>15.0</w:t>
            </w:r>
          </w:p>
        </w:tc>
        <w:tc>
          <w:tcPr>
            <w:tcW w:w="755" w:type="pct"/>
            <w:shd w:val="clear" w:color="auto" w:fill="auto"/>
            <w:noWrap/>
            <w:vAlign w:val="center"/>
          </w:tcPr>
          <w:p w14:paraId="77ABE12F">
            <w:pPr>
              <w:pStyle w:val="57"/>
              <w:jc w:val="center"/>
              <w:rPr>
                <w:sz w:val="22"/>
                <w:szCs w:val="22"/>
              </w:rPr>
            </w:pPr>
            <w:r>
              <w:rPr>
                <w:sz w:val="22"/>
                <w:szCs w:val="22"/>
              </w:rPr>
              <w:t>重要县域</w:t>
            </w:r>
          </w:p>
        </w:tc>
      </w:tr>
      <w:tr w14:paraId="10D82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1EC32928">
            <w:pPr>
              <w:pStyle w:val="57"/>
              <w:jc w:val="center"/>
              <w:rPr>
                <w:sz w:val="22"/>
                <w:szCs w:val="22"/>
              </w:rPr>
            </w:pPr>
            <w:r>
              <w:rPr>
                <w:sz w:val="22"/>
                <w:szCs w:val="22"/>
              </w:rPr>
              <w:t>50</w:t>
            </w:r>
          </w:p>
        </w:tc>
        <w:tc>
          <w:tcPr>
            <w:tcW w:w="1212" w:type="pct"/>
            <w:shd w:val="clear" w:color="auto" w:fill="auto"/>
            <w:noWrap/>
            <w:vAlign w:val="center"/>
          </w:tcPr>
          <w:p w14:paraId="46A39EDC">
            <w:pPr>
              <w:pStyle w:val="57"/>
              <w:jc w:val="center"/>
              <w:rPr>
                <w:sz w:val="22"/>
                <w:szCs w:val="22"/>
              </w:rPr>
            </w:pPr>
            <w:r>
              <w:rPr>
                <w:sz w:val="22"/>
                <w:szCs w:val="22"/>
              </w:rPr>
              <w:t>南干河</w:t>
            </w:r>
          </w:p>
        </w:tc>
        <w:tc>
          <w:tcPr>
            <w:tcW w:w="1641" w:type="pct"/>
            <w:vAlign w:val="center"/>
          </w:tcPr>
          <w:p w14:paraId="1559500A">
            <w:pPr>
              <w:pStyle w:val="57"/>
              <w:jc w:val="center"/>
              <w:rPr>
                <w:sz w:val="22"/>
                <w:szCs w:val="22"/>
              </w:rPr>
            </w:pPr>
            <w:r>
              <w:rPr>
                <w:sz w:val="22"/>
                <w:szCs w:val="22"/>
              </w:rPr>
              <w:t>泰州姜堰区</w:t>
            </w:r>
          </w:p>
        </w:tc>
        <w:tc>
          <w:tcPr>
            <w:tcW w:w="992" w:type="pct"/>
            <w:vAlign w:val="center"/>
          </w:tcPr>
          <w:p w14:paraId="5A3A37A2">
            <w:pPr>
              <w:pStyle w:val="57"/>
              <w:jc w:val="center"/>
              <w:rPr>
                <w:sz w:val="22"/>
                <w:szCs w:val="22"/>
              </w:rPr>
            </w:pPr>
            <w:r>
              <w:rPr>
                <w:sz w:val="22"/>
                <w:szCs w:val="22"/>
              </w:rPr>
              <w:t>22.1</w:t>
            </w:r>
          </w:p>
        </w:tc>
        <w:tc>
          <w:tcPr>
            <w:tcW w:w="755" w:type="pct"/>
            <w:shd w:val="clear" w:color="auto" w:fill="auto"/>
            <w:noWrap/>
            <w:vAlign w:val="center"/>
          </w:tcPr>
          <w:p w14:paraId="27A0C80A">
            <w:pPr>
              <w:pStyle w:val="57"/>
              <w:jc w:val="center"/>
              <w:rPr>
                <w:sz w:val="22"/>
                <w:szCs w:val="22"/>
              </w:rPr>
            </w:pPr>
            <w:r>
              <w:rPr>
                <w:sz w:val="22"/>
                <w:szCs w:val="22"/>
              </w:rPr>
              <w:t>重要县域</w:t>
            </w:r>
          </w:p>
        </w:tc>
      </w:tr>
      <w:tr w14:paraId="06D8E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3007BA5F">
            <w:pPr>
              <w:pStyle w:val="57"/>
              <w:jc w:val="center"/>
              <w:rPr>
                <w:sz w:val="22"/>
                <w:szCs w:val="22"/>
              </w:rPr>
            </w:pPr>
            <w:r>
              <w:rPr>
                <w:sz w:val="22"/>
                <w:szCs w:val="22"/>
              </w:rPr>
              <w:t>51</w:t>
            </w:r>
          </w:p>
        </w:tc>
        <w:tc>
          <w:tcPr>
            <w:tcW w:w="1212" w:type="pct"/>
            <w:shd w:val="clear" w:color="auto" w:fill="auto"/>
            <w:noWrap/>
            <w:vAlign w:val="center"/>
          </w:tcPr>
          <w:p w14:paraId="7E4B33C3">
            <w:pPr>
              <w:pStyle w:val="57"/>
              <w:jc w:val="center"/>
              <w:rPr>
                <w:sz w:val="22"/>
                <w:szCs w:val="22"/>
              </w:rPr>
            </w:pPr>
            <w:r>
              <w:rPr>
                <w:sz w:val="22"/>
                <w:szCs w:val="22"/>
              </w:rPr>
              <w:t>古马干河</w:t>
            </w:r>
          </w:p>
        </w:tc>
        <w:tc>
          <w:tcPr>
            <w:tcW w:w="1641" w:type="pct"/>
            <w:vAlign w:val="center"/>
          </w:tcPr>
          <w:p w14:paraId="79ABD202">
            <w:pPr>
              <w:pStyle w:val="57"/>
              <w:jc w:val="center"/>
              <w:rPr>
                <w:sz w:val="22"/>
                <w:szCs w:val="22"/>
              </w:rPr>
            </w:pPr>
            <w:r>
              <w:rPr>
                <w:sz w:val="22"/>
                <w:szCs w:val="22"/>
              </w:rPr>
              <w:t>泰州泰兴市</w:t>
            </w:r>
          </w:p>
        </w:tc>
        <w:tc>
          <w:tcPr>
            <w:tcW w:w="992" w:type="pct"/>
            <w:vAlign w:val="center"/>
          </w:tcPr>
          <w:p w14:paraId="51663698">
            <w:pPr>
              <w:pStyle w:val="57"/>
              <w:jc w:val="center"/>
              <w:rPr>
                <w:sz w:val="22"/>
                <w:szCs w:val="22"/>
              </w:rPr>
            </w:pPr>
            <w:r>
              <w:rPr>
                <w:sz w:val="22"/>
                <w:szCs w:val="22"/>
              </w:rPr>
              <w:t>42.7</w:t>
            </w:r>
          </w:p>
        </w:tc>
        <w:tc>
          <w:tcPr>
            <w:tcW w:w="755" w:type="pct"/>
            <w:shd w:val="clear" w:color="auto" w:fill="auto"/>
            <w:noWrap/>
            <w:vAlign w:val="center"/>
          </w:tcPr>
          <w:p w14:paraId="4EB962AA">
            <w:pPr>
              <w:pStyle w:val="57"/>
              <w:jc w:val="center"/>
              <w:rPr>
                <w:sz w:val="22"/>
                <w:szCs w:val="22"/>
              </w:rPr>
            </w:pPr>
            <w:r>
              <w:rPr>
                <w:sz w:val="22"/>
                <w:szCs w:val="22"/>
              </w:rPr>
              <w:t>重要县域</w:t>
            </w:r>
          </w:p>
        </w:tc>
      </w:tr>
      <w:tr w14:paraId="605C9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667BF9C1">
            <w:pPr>
              <w:pStyle w:val="57"/>
              <w:jc w:val="center"/>
              <w:rPr>
                <w:sz w:val="22"/>
                <w:szCs w:val="22"/>
              </w:rPr>
            </w:pPr>
            <w:r>
              <w:rPr>
                <w:sz w:val="22"/>
                <w:szCs w:val="22"/>
              </w:rPr>
              <w:t>52</w:t>
            </w:r>
          </w:p>
        </w:tc>
        <w:tc>
          <w:tcPr>
            <w:tcW w:w="1212" w:type="pct"/>
            <w:shd w:val="clear" w:color="auto" w:fill="auto"/>
            <w:noWrap/>
            <w:vAlign w:val="center"/>
          </w:tcPr>
          <w:p w14:paraId="5E11780D">
            <w:pPr>
              <w:pStyle w:val="57"/>
              <w:jc w:val="center"/>
              <w:rPr>
                <w:sz w:val="22"/>
                <w:szCs w:val="22"/>
              </w:rPr>
            </w:pPr>
            <w:r>
              <w:rPr>
                <w:sz w:val="22"/>
                <w:szCs w:val="22"/>
              </w:rPr>
              <w:t>天星港</w:t>
            </w:r>
          </w:p>
        </w:tc>
        <w:tc>
          <w:tcPr>
            <w:tcW w:w="1641" w:type="pct"/>
            <w:vAlign w:val="center"/>
          </w:tcPr>
          <w:p w14:paraId="39EA1A70">
            <w:pPr>
              <w:pStyle w:val="57"/>
              <w:jc w:val="center"/>
              <w:rPr>
                <w:sz w:val="22"/>
                <w:szCs w:val="22"/>
              </w:rPr>
            </w:pPr>
            <w:r>
              <w:rPr>
                <w:sz w:val="22"/>
                <w:szCs w:val="22"/>
              </w:rPr>
              <w:t>泰州泰兴市</w:t>
            </w:r>
          </w:p>
        </w:tc>
        <w:tc>
          <w:tcPr>
            <w:tcW w:w="992" w:type="pct"/>
            <w:vAlign w:val="center"/>
          </w:tcPr>
          <w:p w14:paraId="747E225A">
            <w:pPr>
              <w:pStyle w:val="57"/>
              <w:jc w:val="center"/>
              <w:rPr>
                <w:sz w:val="22"/>
                <w:szCs w:val="22"/>
              </w:rPr>
            </w:pPr>
            <w:r>
              <w:rPr>
                <w:sz w:val="22"/>
                <w:szCs w:val="22"/>
              </w:rPr>
              <w:t>31.5</w:t>
            </w:r>
          </w:p>
        </w:tc>
        <w:tc>
          <w:tcPr>
            <w:tcW w:w="755" w:type="pct"/>
            <w:shd w:val="clear" w:color="auto" w:fill="auto"/>
            <w:noWrap/>
            <w:vAlign w:val="center"/>
          </w:tcPr>
          <w:p w14:paraId="395EB273">
            <w:pPr>
              <w:pStyle w:val="57"/>
              <w:jc w:val="center"/>
              <w:rPr>
                <w:sz w:val="22"/>
                <w:szCs w:val="22"/>
              </w:rPr>
            </w:pPr>
            <w:r>
              <w:rPr>
                <w:sz w:val="22"/>
                <w:szCs w:val="22"/>
              </w:rPr>
              <w:t>重要县域</w:t>
            </w:r>
          </w:p>
        </w:tc>
      </w:tr>
      <w:tr w14:paraId="728B6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78384D59">
            <w:pPr>
              <w:pStyle w:val="57"/>
              <w:jc w:val="center"/>
              <w:rPr>
                <w:sz w:val="22"/>
                <w:szCs w:val="22"/>
              </w:rPr>
            </w:pPr>
            <w:r>
              <w:rPr>
                <w:sz w:val="22"/>
                <w:szCs w:val="22"/>
              </w:rPr>
              <w:t>53</w:t>
            </w:r>
          </w:p>
        </w:tc>
        <w:tc>
          <w:tcPr>
            <w:tcW w:w="1212" w:type="pct"/>
            <w:shd w:val="clear" w:color="auto" w:fill="auto"/>
            <w:noWrap/>
            <w:vAlign w:val="center"/>
          </w:tcPr>
          <w:p w14:paraId="1D3F95BB">
            <w:pPr>
              <w:pStyle w:val="57"/>
              <w:jc w:val="center"/>
              <w:rPr>
                <w:sz w:val="22"/>
                <w:szCs w:val="22"/>
              </w:rPr>
            </w:pPr>
            <w:r>
              <w:rPr>
                <w:sz w:val="22"/>
                <w:szCs w:val="22"/>
              </w:rPr>
              <w:t>焦土港</w:t>
            </w:r>
          </w:p>
        </w:tc>
        <w:tc>
          <w:tcPr>
            <w:tcW w:w="1641" w:type="pct"/>
            <w:vAlign w:val="center"/>
          </w:tcPr>
          <w:p w14:paraId="4B99CAA0">
            <w:pPr>
              <w:pStyle w:val="57"/>
              <w:jc w:val="center"/>
              <w:rPr>
                <w:sz w:val="22"/>
                <w:szCs w:val="22"/>
              </w:rPr>
            </w:pPr>
            <w:r>
              <w:rPr>
                <w:sz w:val="22"/>
                <w:szCs w:val="22"/>
              </w:rPr>
              <w:t>泰州泰兴市</w:t>
            </w:r>
          </w:p>
        </w:tc>
        <w:tc>
          <w:tcPr>
            <w:tcW w:w="992" w:type="pct"/>
            <w:vAlign w:val="center"/>
          </w:tcPr>
          <w:p w14:paraId="6414E98B">
            <w:pPr>
              <w:pStyle w:val="57"/>
              <w:jc w:val="center"/>
              <w:rPr>
                <w:sz w:val="22"/>
                <w:szCs w:val="22"/>
              </w:rPr>
            </w:pPr>
            <w:r>
              <w:rPr>
                <w:sz w:val="22"/>
                <w:szCs w:val="22"/>
              </w:rPr>
              <w:t>36.4</w:t>
            </w:r>
          </w:p>
        </w:tc>
        <w:tc>
          <w:tcPr>
            <w:tcW w:w="755" w:type="pct"/>
            <w:shd w:val="clear" w:color="auto" w:fill="auto"/>
            <w:noWrap/>
            <w:vAlign w:val="center"/>
          </w:tcPr>
          <w:p w14:paraId="01866E94">
            <w:pPr>
              <w:pStyle w:val="57"/>
              <w:jc w:val="center"/>
              <w:rPr>
                <w:sz w:val="22"/>
                <w:szCs w:val="22"/>
              </w:rPr>
            </w:pPr>
            <w:r>
              <w:rPr>
                <w:sz w:val="22"/>
                <w:szCs w:val="22"/>
              </w:rPr>
              <w:t>重要县域</w:t>
            </w:r>
          </w:p>
        </w:tc>
      </w:tr>
      <w:tr w14:paraId="20102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54E505B4">
            <w:pPr>
              <w:pStyle w:val="57"/>
              <w:jc w:val="center"/>
              <w:rPr>
                <w:sz w:val="22"/>
                <w:szCs w:val="22"/>
              </w:rPr>
            </w:pPr>
            <w:r>
              <w:rPr>
                <w:sz w:val="22"/>
                <w:szCs w:val="22"/>
              </w:rPr>
              <w:t>54</w:t>
            </w:r>
          </w:p>
        </w:tc>
        <w:tc>
          <w:tcPr>
            <w:tcW w:w="1212" w:type="pct"/>
            <w:shd w:val="clear" w:color="auto" w:fill="auto"/>
            <w:noWrap/>
            <w:vAlign w:val="center"/>
          </w:tcPr>
          <w:p w14:paraId="75FB79A1">
            <w:pPr>
              <w:pStyle w:val="57"/>
              <w:jc w:val="center"/>
              <w:rPr>
                <w:sz w:val="22"/>
                <w:szCs w:val="22"/>
              </w:rPr>
            </w:pPr>
            <w:r>
              <w:rPr>
                <w:sz w:val="22"/>
                <w:szCs w:val="22"/>
              </w:rPr>
              <w:t>南官河(含送水河)</w:t>
            </w:r>
          </w:p>
        </w:tc>
        <w:tc>
          <w:tcPr>
            <w:tcW w:w="1641" w:type="pct"/>
            <w:vAlign w:val="center"/>
          </w:tcPr>
          <w:p w14:paraId="32FC6DB2">
            <w:pPr>
              <w:pStyle w:val="57"/>
              <w:jc w:val="center"/>
              <w:rPr>
                <w:sz w:val="22"/>
                <w:szCs w:val="22"/>
              </w:rPr>
            </w:pPr>
            <w:r>
              <w:rPr>
                <w:sz w:val="22"/>
                <w:szCs w:val="22"/>
              </w:rPr>
              <w:t>泰州海陵、高港</w:t>
            </w:r>
          </w:p>
        </w:tc>
        <w:tc>
          <w:tcPr>
            <w:tcW w:w="992" w:type="pct"/>
            <w:vAlign w:val="center"/>
          </w:tcPr>
          <w:p w14:paraId="14A80D0F">
            <w:pPr>
              <w:pStyle w:val="57"/>
              <w:jc w:val="center"/>
              <w:rPr>
                <w:sz w:val="22"/>
                <w:szCs w:val="22"/>
              </w:rPr>
            </w:pPr>
            <w:r>
              <w:rPr>
                <w:sz w:val="22"/>
                <w:szCs w:val="22"/>
              </w:rPr>
              <w:t>28.0</w:t>
            </w:r>
          </w:p>
        </w:tc>
        <w:tc>
          <w:tcPr>
            <w:tcW w:w="755" w:type="pct"/>
            <w:shd w:val="clear" w:color="auto" w:fill="auto"/>
            <w:noWrap/>
            <w:vAlign w:val="center"/>
          </w:tcPr>
          <w:p w14:paraId="0FE62EE3">
            <w:pPr>
              <w:pStyle w:val="57"/>
              <w:jc w:val="center"/>
              <w:rPr>
                <w:sz w:val="22"/>
                <w:szCs w:val="22"/>
              </w:rPr>
            </w:pPr>
            <w:r>
              <w:rPr>
                <w:sz w:val="22"/>
                <w:szCs w:val="22"/>
              </w:rPr>
              <w:t>重要县域</w:t>
            </w:r>
          </w:p>
        </w:tc>
      </w:tr>
      <w:tr w14:paraId="1F989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30ADD19E">
            <w:pPr>
              <w:pStyle w:val="57"/>
              <w:jc w:val="center"/>
              <w:rPr>
                <w:sz w:val="22"/>
                <w:szCs w:val="22"/>
              </w:rPr>
            </w:pPr>
            <w:r>
              <w:rPr>
                <w:sz w:val="22"/>
                <w:szCs w:val="22"/>
              </w:rPr>
              <w:t>55</w:t>
            </w:r>
          </w:p>
        </w:tc>
        <w:tc>
          <w:tcPr>
            <w:tcW w:w="1212" w:type="pct"/>
            <w:shd w:val="clear" w:color="auto" w:fill="auto"/>
            <w:noWrap/>
            <w:vAlign w:val="center"/>
          </w:tcPr>
          <w:p w14:paraId="5AC1EDDB">
            <w:pPr>
              <w:pStyle w:val="57"/>
              <w:jc w:val="center"/>
              <w:rPr>
                <w:sz w:val="22"/>
                <w:szCs w:val="22"/>
              </w:rPr>
            </w:pPr>
            <w:r>
              <w:rPr>
                <w:sz w:val="22"/>
                <w:szCs w:val="22"/>
              </w:rPr>
              <w:t>凤凰河-老东河</w:t>
            </w:r>
          </w:p>
        </w:tc>
        <w:tc>
          <w:tcPr>
            <w:tcW w:w="1641" w:type="pct"/>
            <w:vAlign w:val="center"/>
          </w:tcPr>
          <w:p w14:paraId="65486514">
            <w:pPr>
              <w:pStyle w:val="57"/>
              <w:jc w:val="center"/>
              <w:rPr>
                <w:sz w:val="22"/>
                <w:szCs w:val="22"/>
              </w:rPr>
            </w:pPr>
            <w:r>
              <w:rPr>
                <w:sz w:val="22"/>
                <w:szCs w:val="22"/>
              </w:rPr>
              <w:t>泰州</w:t>
            </w:r>
            <w:r>
              <w:rPr>
                <w:rFonts w:hint="eastAsia"/>
                <w:sz w:val="22"/>
                <w:szCs w:val="22"/>
              </w:rPr>
              <w:t>海陵区</w:t>
            </w:r>
          </w:p>
        </w:tc>
        <w:tc>
          <w:tcPr>
            <w:tcW w:w="992" w:type="pct"/>
            <w:vAlign w:val="center"/>
          </w:tcPr>
          <w:p w14:paraId="48DD7D38">
            <w:pPr>
              <w:pStyle w:val="57"/>
              <w:jc w:val="center"/>
              <w:rPr>
                <w:sz w:val="22"/>
                <w:szCs w:val="22"/>
              </w:rPr>
            </w:pPr>
            <w:r>
              <w:rPr>
                <w:sz w:val="22"/>
                <w:szCs w:val="22"/>
              </w:rPr>
              <w:t>10.0</w:t>
            </w:r>
          </w:p>
        </w:tc>
        <w:tc>
          <w:tcPr>
            <w:tcW w:w="755" w:type="pct"/>
            <w:shd w:val="clear" w:color="auto" w:fill="auto"/>
            <w:noWrap/>
            <w:vAlign w:val="center"/>
          </w:tcPr>
          <w:p w14:paraId="2AE54FCE">
            <w:pPr>
              <w:pStyle w:val="57"/>
              <w:jc w:val="center"/>
              <w:rPr>
                <w:sz w:val="22"/>
                <w:szCs w:val="22"/>
              </w:rPr>
            </w:pPr>
            <w:r>
              <w:rPr>
                <w:sz w:val="22"/>
                <w:szCs w:val="22"/>
              </w:rPr>
              <w:t>重要县域</w:t>
            </w:r>
          </w:p>
        </w:tc>
      </w:tr>
      <w:tr w14:paraId="65301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7BEF8171">
            <w:pPr>
              <w:pStyle w:val="57"/>
              <w:jc w:val="center"/>
              <w:rPr>
                <w:sz w:val="22"/>
                <w:szCs w:val="22"/>
              </w:rPr>
            </w:pPr>
            <w:r>
              <w:rPr>
                <w:sz w:val="22"/>
                <w:szCs w:val="22"/>
              </w:rPr>
              <w:t>56</w:t>
            </w:r>
          </w:p>
        </w:tc>
        <w:tc>
          <w:tcPr>
            <w:tcW w:w="1212" w:type="pct"/>
            <w:shd w:val="clear" w:color="auto" w:fill="auto"/>
            <w:noWrap/>
            <w:vAlign w:val="center"/>
          </w:tcPr>
          <w:p w14:paraId="4B17AD90">
            <w:pPr>
              <w:pStyle w:val="57"/>
              <w:jc w:val="center"/>
              <w:rPr>
                <w:sz w:val="22"/>
                <w:szCs w:val="22"/>
              </w:rPr>
            </w:pPr>
            <w:r>
              <w:rPr>
                <w:sz w:val="22"/>
                <w:szCs w:val="22"/>
              </w:rPr>
              <w:t>两泰官河</w:t>
            </w:r>
          </w:p>
        </w:tc>
        <w:tc>
          <w:tcPr>
            <w:tcW w:w="1641" w:type="pct"/>
            <w:vAlign w:val="center"/>
          </w:tcPr>
          <w:p w14:paraId="70042DD1">
            <w:pPr>
              <w:pStyle w:val="57"/>
              <w:jc w:val="center"/>
              <w:rPr>
                <w:sz w:val="22"/>
                <w:szCs w:val="22"/>
              </w:rPr>
            </w:pPr>
            <w:r>
              <w:rPr>
                <w:sz w:val="22"/>
                <w:szCs w:val="22"/>
              </w:rPr>
              <w:t>泰州泰兴市</w:t>
            </w:r>
          </w:p>
        </w:tc>
        <w:tc>
          <w:tcPr>
            <w:tcW w:w="992" w:type="pct"/>
            <w:vAlign w:val="center"/>
          </w:tcPr>
          <w:p w14:paraId="07505962">
            <w:pPr>
              <w:pStyle w:val="57"/>
              <w:jc w:val="center"/>
              <w:rPr>
                <w:sz w:val="22"/>
                <w:szCs w:val="22"/>
              </w:rPr>
            </w:pPr>
            <w:r>
              <w:rPr>
                <w:sz w:val="22"/>
                <w:szCs w:val="22"/>
              </w:rPr>
              <w:t>18.8</w:t>
            </w:r>
          </w:p>
        </w:tc>
        <w:tc>
          <w:tcPr>
            <w:tcW w:w="755" w:type="pct"/>
            <w:shd w:val="clear" w:color="auto" w:fill="auto"/>
            <w:noWrap/>
            <w:vAlign w:val="center"/>
          </w:tcPr>
          <w:p w14:paraId="50F0865E">
            <w:pPr>
              <w:pStyle w:val="57"/>
              <w:jc w:val="center"/>
              <w:rPr>
                <w:sz w:val="22"/>
                <w:szCs w:val="22"/>
              </w:rPr>
            </w:pPr>
            <w:r>
              <w:rPr>
                <w:sz w:val="22"/>
                <w:szCs w:val="22"/>
              </w:rPr>
              <w:t>重要县域</w:t>
            </w:r>
          </w:p>
        </w:tc>
      </w:tr>
      <w:tr w14:paraId="6A14B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202C6CC2">
            <w:pPr>
              <w:pStyle w:val="57"/>
              <w:jc w:val="center"/>
              <w:rPr>
                <w:sz w:val="22"/>
                <w:szCs w:val="22"/>
              </w:rPr>
            </w:pPr>
            <w:r>
              <w:rPr>
                <w:sz w:val="22"/>
                <w:szCs w:val="22"/>
              </w:rPr>
              <w:t>57</w:t>
            </w:r>
          </w:p>
        </w:tc>
        <w:tc>
          <w:tcPr>
            <w:tcW w:w="1212" w:type="pct"/>
            <w:shd w:val="clear" w:color="auto" w:fill="auto"/>
            <w:noWrap/>
            <w:vAlign w:val="center"/>
          </w:tcPr>
          <w:p w14:paraId="3301272C">
            <w:pPr>
              <w:pStyle w:val="57"/>
              <w:jc w:val="center"/>
              <w:rPr>
                <w:sz w:val="22"/>
                <w:szCs w:val="22"/>
              </w:rPr>
            </w:pPr>
            <w:r>
              <w:rPr>
                <w:sz w:val="22"/>
                <w:szCs w:val="22"/>
              </w:rPr>
              <w:t>羌溪河</w:t>
            </w:r>
          </w:p>
        </w:tc>
        <w:tc>
          <w:tcPr>
            <w:tcW w:w="1641" w:type="pct"/>
            <w:vAlign w:val="center"/>
          </w:tcPr>
          <w:p w14:paraId="29E6C931">
            <w:pPr>
              <w:pStyle w:val="57"/>
              <w:jc w:val="center"/>
              <w:rPr>
                <w:sz w:val="22"/>
                <w:szCs w:val="22"/>
              </w:rPr>
            </w:pPr>
            <w:r>
              <w:rPr>
                <w:sz w:val="22"/>
                <w:szCs w:val="22"/>
              </w:rPr>
              <w:t>泰州泰兴市</w:t>
            </w:r>
          </w:p>
        </w:tc>
        <w:tc>
          <w:tcPr>
            <w:tcW w:w="992" w:type="pct"/>
            <w:vAlign w:val="center"/>
          </w:tcPr>
          <w:p w14:paraId="64C535AA">
            <w:pPr>
              <w:pStyle w:val="57"/>
              <w:jc w:val="center"/>
              <w:rPr>
                <w:sz w:val="22"/>
                <w:szCs w:val="22"/>
              </w:rPr>
            </w:pPr>
            <w:r>
              <w:rPr>
                <w:sz w:val="22"/>
                <w:szCs w:val="22"/>
              </w:rPr>
              <w:t>13.2</w:t>
            </w:r>
          </w:p>
        </w:tc>
        <w:tc>
          <w:tcPr>
            <w:tcW w:w="755" w:type="pct"/>
            <w:shd w:val="clear" w:color="auto" w:fill="auto"/>
            <w:noWrap/>
            <w:vAlign w:val="center"/>
          </w:tcPr>
          <w:p w14:paraId="56CEE8A6">
            <w:pPr>
              <w:pStyle w:val="57"/>
              <w:jc w:val="center"/>
              <w:rPr>
                <w:sz w:val="22"/>
                <w:szCs w:val="22"/>
              </w:rPr>
            </w:pPr>
            <w:r>
              <w:rPr>
                <w:sz w:val="22"/>
                <w:szCs w:val="22"/>
              </w:rPr>
              <w:t>重要县域</w:t>
            </w:r>
          </w:p>
        </w:tc>
      </w:tr>
      <w:tr w14:paraId="24D38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40B3FCEB">
            <w:pPr>
              <w:pStyle w:val="57"/>
              <w:jc w:val="center"/>
              <w:rPr>
                <w:sz w:val="22"/>
                <w:szCs w:val="22"/>
              </w:rPr>
            </w:pPr>
            <w:r>
              <w:rPr>
                <w:sz w:val="22"/>
                <w:szCs w:val="22"/>
              </w:rPr>
              <w:t>58</w:t>
            </w:r>
          </w:p>
        </w:tc>
        <w:tc>
          <w:tcPr>
            <w:tcW w:w="1212" w:type="pct"/>
            <w:shd w:val="clear" w:color="auto" w:fill="auto"/>
            <w:noWrap/>
            <w:vAlign w:val="center"/>
          </w:tcPr>
          <w:p w14:paraId="6E59F9A5">
            <w:pPr>
              <w:pStyle w:val="57"/>
              <w:jc w:val="center"/>
              <w:rPr>
                <w:sz w:val="22"/>
                <w:szCs w:val="22"/>
              </w:rPr>
            </w:pPr>
            <w:r>
              <w:rPr>
                <w:sz w:val="22"/>
                <w:szCs w:val="22"/>
              </w:rPr>
              <w:t>增产港</w:t>
            </w:r>
          </w:p>
        </w:tc>
        <w:tc>
          <w:tcPr>
            <w:tcW w:w="1641" w:type="pct"/>
            <w:vAlign w:val="center"/>
          </w:tcPr>
          <w:p w14:paraId="0C2EAAEE">
            <w:pPr>
              <w:pStyle w:val="57"/>
              <w:jc w:val="center"/>
              <w:rPr>
                <w:sz w:val="22"/>
                <w:szCs w:val="22"/>
              </w:rPr>
            </w:pPr>
            <w:r>
              <w:rPr>
                <w:sz w:val="22"/>
                <w:szCs w:val="22"/>
              </w:rPr>
              <w:t>泰州泰兴市</w:t>
            </w:r>
          </w:p>
        </w:tc>
        <w:tc>
          <w:tcPr>
            <w:tcW w:w="992" w:type="pct"/>
            <w:vAlign w:val="center"/>
          </w:tcPr>
          <w:p w14:paraId="19FBCE09">
            <w:pPr>
              <w:pStyle w:val="57"/>
              <w:jc w:val="center"/>
              <w:rPr>
                <w:sz w:val="22"/>
                <w:szCs w:val="22"/>
              </w:rPr>
            </w:pPr>
            <w:r>
              <w:rPr>
                <w:sz w:val="22"/>
                <w:szCs w:val="22"/>
              </w:rPr>
              <w:t>22.7</w:t>
            </w:r>
          </w:p>
        </w:tc>
        <w:tc>
          <w:tcPr>
            <w:tcW w:w="755" w:type="pct"/>
            <w:shd w:val="clear" w:color="auto" w:fill="auto"/>
            <w:noWrap/>
            <w:vAlign w:val="center"/>
          </w:tcPr>
          <w:p w14:paraId="29919A28">
            <w:pPr>
              <w:pStyle w:val="57"/>
              <w:jc w:val="center"/>
              <w:rPr>
                <w:sz w:val="22"/>
                <w:szCs w:val="22"/>
              </w:rPr>
            </w:pPr>
            <w:r>
              <w:rPr>
                <w:sz w:val="22"/>
                <w:szCs w:val="22"/>
              </w:rPr>
              <w:t>重要县域</w:t>
            </w:r>
          </w:p>
        </w:tc>
      </w:tr>
      <w:tr w14:paraId="1593F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186FA8DA">
            <w:pPr>
              <w:pStyle w:val="57"/>
              <w:jc w:val="center"/>
              <w:rPr>
                <w:sz w:val="22"/>
                <w:szCs w:val="22"/>
              </w:rPr>
            </w:pPr>
            <w:r>
              <w:rPr>
                <w:sz w:val="22"/>
                <w:szCs w:val="22"/>
              </w:rPr>
              <w:t>59</w:t>
            </w:r>
          </w:p>
        </w:tc>
        <w:tc>
          <w:tcPr>
            <w:tcW w:w="1212" w:type="pct"/>
            <w:shd w:val="clear" w:color="auto" w:fill="auto"/>
            <w:noWrap/>
            <w:vAlign w:val="center"/>
          </w:tcPr>
          <w:p w14:paraId="11745FD5">
            <w:pPr>
              <w:pStyle w:val="57"/>
              <w:jc w:val="center"/>
              <w:rPr>
                <w:sz w:val="22"/>
                <w:szCs w:val="22"/>
              </w:rPr>
            </w:pPr>
            <w:r>
              <w:rPr>
                <w:sz w:val="22"/>
                <w:szCs w:val="22"/>
              </w:rPr>
              <w:t>横港</w:t>
            </w:r>
          </w:p>
        </w:tc>
        <w:tc>
          <w:tcPr>
            <w:tcW w:w="1641" w:type="pct"/>
            <w:vAlign w:val="center"/>
          </w:tcPr>
          <w:p w14:paraId="083774E6">
            <w:pPr>
              <w:pStyle w:val="57"/>
              <w:jc w:val="center"/>
              <w:rPr>
                <w:sz w:val="22"/>
                <w:szCs w:val="22"/>
              </w:rPr>
            </w:pPr>
            <w:r>
              <w:rPr>
                <w:sz w:val="22"/>
                <w:szCs w:val="22"/>
              </w:rPr>
              <w:t>泰州靖江市</w:t>
            </w:r>
          </w:p>
        </w:tc>
        <w:tc>
          <w:tcPr>
            <w:tcW w:w="992" w:type="pct"/>
            <w:vAlign w:val="center"/>
          </w:tcPr>
          <w:p w14:paraId="153FF11B">
            <w:pPr>
              <w:pStyle w:val="57"/>
              <w:jc w:val="center"/>
              <w:rPr>
                <w:sz w:val="22"/>
                <w:szCs w:val="22"/>
              </w:rPr>
            </w:pPr>
            <w:r>
              <w:rPr>
                <w:sz w:val="22"/>
                <w:szCs w:val="22"/>
              </w:rPr>
              <w:t>26.7</w:t>
            </w:r>
          </w:p>
        </w:tc>
        <w:tc>
          <w:tcPr>
            <w:tcW w:w="755" w:type="pct"/>
            <w:shd w:val="clear" w:color="auto" w:fill="auto"/>
            <w:noWrap/>
            <w:vAlign w:val="center"/>
          </w:tcPr>
          <w:p w14:paraId="5E2446DC">
            <w:pPr>
              <w:pStyle w:val="57"/>
              <w:jc w:val="center"/>
              <w:rPr>
                <w:sz w:val="22"/>
                <w:szCs w:val="22"/>
              </w:rPr>
            </w:pPr>
            <w:r>
              <w:rPr>
                <w:sz w:val="22"/>
                <w:szCs w:val="22"/>
              </w:rPr>
              <w:t>重要县域</w:t>
            </w:r>
          </w:p>
        </w:tc>
      </w:tr>
      <w:tr w14:paraId="74C33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2860D5C7">
            <w:pPr>
              <w:pStyle w:val="57"/>
              <w:jc w:val="center"/>
              <w:rPr>
                <w:sz w:val="22"/>
                <w:szCs w:val="22"/>
              </w:rPr>
            </w:pPr>
            <w:r>
              <w:rPr>
                <w:sz w:val="22"/>
                <w:szCs w:val="22"/>
              </w:rPr>
              <w:t>60</w:t>
            </w:r>
          </w:p>
        </w:tc>
        <w:tc>
          <w:tcPr>
            <w:tcW w:w="1212" w:type="pct"/>
            <w:shd w:val="clear" w:color="auto" w:fill="auto"/>
            <w:noWrap/>
            <w:vAlign w:val="center"/>
          </w:tcPr>
          <w:p w14:paraId="327FE3F2">
            <w:pPr>
              <w:pStyle w:val="57"/>
              <w:jc w:val="center"/>
              <w:rPr>
                <w:sz w:val="22"/>
                <w:szCs w:val="22"/>
              </w:rPr>
            </w:pPr>
            <w:r>
              <w:rPr>
                <w:sz w:val="22"/>
                <w:szCs w:val="22"/>
              </w:rPr>
              <w:t>夹港</w:t>
            </w:r>
          </w:p>
        </w:tc>
        <w:tc>
          <w:tcPr>
            <w:tcW w:w="1641" w:type="pct"/>
            <w:vAlign w:val="center"/>
          </w:tcPr>
          <w:p w14:paraId="1CB834CF">
            <w:pPr>
              <w:pStyle w:val="57"/>
              <w:jc w:val="center"/>
              <w:rPr>
                <w:sz w:val="22"/>
                <w:szCs w:val="22"/>
              </w:rPr>
            </w:pPr>
            <w:r>
              <w:rPr>
                <w:sz w:val="22"/>
                <w:szCs w:val="22"/>
              </w:rPr>
              <w:t>泰州靖江市</w:t>
            </w:r>
          </w:p>
        </w:tc>
        <w:tc>
          <w:tcPr>
            <w:tcW w:w="992" w:type="pct"/>
            <w:vAlign w:val="center"/>
          </w:tcPr>
          <w:p w14:paraId="140DDAF6">
            <w:pPr>
              <w:pStyle w:val="57"/>
              <w:jc w:val="center"/>
              <w:rPr>
                <w:sz w:val="22"/>
                <w:szCs w:val="22"/>
              </w:rPr>
            </w:pPr>
            <w:r>
              <w:rPr>
                <w:sz w:val="22"/>
                <w:szCs w:val="22"/>
              </w:rPr>
              <w:t>14.3</w:t>
            </w:r>
          </w:p>
        </w:tc>
        <w:tc>
          <w:tcPr>
            <w:tcW w:w="755" w:type="pct"/>
            <w:shd w:val="clear" w:color="auto" w:fill="auto"/>
            <w:noWrap/>
            <w:vAlign w:val="center"/>
          </w:tcPr>
          <w:p w14:paraId="6BA910CD">
            <w:pPr>
              <w:pStyle w:val="57"/>
              <w:jc w:val="center"/>
              <w:rPr>
                <w:sz w:val="22"/>
                <w:szCs w:val="22"/>
              </w:rPr>
            </w:pPr>
            <w:r>
              <w:rPr>
                <w:sz w:val="22"/>
                <w:szCs w:val="22"/>
              </w:rPr>
              <w:t>重要县域</w:t>
            </w:r>
          </w:p>
        </w:tc>
      </w:tr>
      <w:tr w14:paraId="32C82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7EFD0FEB">
            <w:pPr>
              <w:pStyle w:val="57"/>
              <w:jc w:val="center"/>
              <w:rPr>
                <w:sz w:val="22"/>
                <w:szCs w:val="22"/>
              </w:rPr>
            </w:pPr>
            <w:r>
              <w:rPr>
                <w:sz w:val="22"/>
                <w:szCs w:val="22"/>
              </w:rPr>
              <w:t>61</w:t>
            </w:r>
          </w:p>
        </w:tc>
        <w:tc>
          <w:tcPr>
            <w:tcW w:w="1212" w:type="pct"/>
            <w:shd w:val="clear" w:color="auto" w:fill="auto"/>
            <w:noWrap/>
            <w:vAlign w:val="center"/>
          </w:tcPr>
          <w:p w14:paraId="23E2859C">
            <w:pPr>
              <w:pStyle w:val="57"/>
              <w:jc w:val="center"/>
              <w:rPr>
                <w:sz w:val="22"/>
                <w:szCs w:val="22"/>
              </w:rPr>
            </w:pPr>
            <w:r>
              <w:rPr>
                <w:sz w:val="22"/>
                <w:szCs w:val="22"/>
              </w:rPr>
              <w:t>上六圩港</w:t>
            </w:r>
          </w:p>
        </w:tc>
        <w:tc>
          <w:tcPr>
            <w:tcW w:w="1641" w:type="pct"/>
            <w:vAlign w:val="center"/>
          </w:tcPr>
          <w:p w14:paraId="2527034E">
            <w:pPr>
              <w:pStyle w:val="57"/>
              <w:jc w:val="center"/>
              <w:rPr>
                <w:sz w:val="22"/>
                <w:szCs w:val="22"/>
              </w:rPr>
            </w:pPr>
            <w:r>
              <w:rPr>
                <w:sz w:val="22"/>
                <w:szCs w:val="22"/>
              </w:rPr>
              <w:t>泰州靖江市</w:t>
            </w:r>
          </w:p>
        </w:tc>
        <w:tc>
          <w:tcPr>
            <w:tcW w:w="992" w:type="pct"/>
            <w:vAlign w:val="center"/>
          </w:tcPr>
          <w:p w14:paraId="71727E2A">
            <w:pPr>
              <w:pStyle w:val="57"/>
              <w:jc w:val="center"/>
              <w:rPr>
                <w:sz w:val="22"/>
                <w:szCs w:val="22"/>
              </w:rPr>
            </w:pPr>
            <w:r>
              <w:rPr>
                <w:sz w:val="22"/>
                <w:szCs w:val="22"/>
              </w:rPr>
              <w:t>16.0</w:t>
            </w:r>
          </w:p>
        </w:tc>
        <w:tc>
          <w:tcPr>
            <w:tcW w:w="755" w:type="pct"/>
            <w:shd w:val="clear" w:color="auto" w:fill="auto"/>
            <w:noWrap/>
            <w:vAlign w:val="center"/>
          </w:tcPr>
          <w:p w14:paraId="042958FB">
            <w:pPr>
              <w:pStyle w:val="57"/>
              <w:jc w:val="center"/>
              <w:rPr>
                <w:sz w:val="22"/>
                <w:szCs w:val="22"/>
              </w:rPr>
            </w:pPr>
            <w:r>
              <w:rPr>
                <w:sz w:val="22"/>
                <w:szCs w:val="22"/>
              </w:rPr>
              <w:t>重要县域</w:t>
            </w:r>
          </w:p>
        </w:tc>
      </w:tr>
      <w:tr w14:paraId="2EACE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5F8A69C6">
            <w:pPr>
              <w:pStyle w:val="57"/>
              <w:jc w:val="center"/>
              <w:rPr>
                <w:sz w:val="22"/>
                <w:szCs w:val="22"/>
              </w:rPr>
            </w:pPr>
            <w:r>
              <w:rPr>
                <w:sz w:val="22"/>
                <w:szCs w:val="22"/>
              </w:rPr>
              <w:t>62</w:t>
            </w:r>
          </w:p>
        </w:tc>
        <w:tc>
          <w:tcPr>
            <w:tcW w:w="1212" w:type="pct"/>
            <w:shd w:val="clear" w:color="auto" w:fill="auto"/>
            <w:noWrap/>
            <w:vAlign w:val="center"/>
          </w:tcPr>
          <w:p w14:paraId="67D25058">
            <w:pPr>
              <w:pStyle w:val="57"/>
              <w:jc w:val="center"/>
              <w:rPr>
                <w:sz w:val="22"/>
                <w:szCs w:val="22"/>
              </w:rPr>
            </w:pPr>
            <w:r>
              <w:rPr>
                <w:sz w:val="22"/>
                <w:szCs w:val="22"/>
              </w:rPr>
              <w:t>下六圩港</w:t>
            </w:r>
          </w:p>
        </w:tc>
        <w:tc>
          <w:tcPr>
            <w:tcW w:w="1641" w:type="pct"/>
            <w:vAlign w:val="center"/>
          </w:tcPr>
          <w:p w14:paraId="081687C4">
            <w:pPr>
              <w:pStyle w:val="57"/>
              <w:jc w:val="center"/>
              <w:rPr>
                <w:sz w:val="22"/>
                <w:szCs w:val="22"/>
              </w:rPr>
            </w:pPr>
            <w:r>
              <w:rPr>
                <w:sz w:val="22"/>
                <w:szCs w:val="22"/>
              </w:rPr>
              <w:t>泰州靖江市</w:t>
            </w:r>
          </w:p>
        </w:tc>
        <w:tc>
          <w:tcPr>
            <w:tcW w:w="992" w:type="pct"/>
            <w:vAlign w:val="center"/>
          </w:tcPr>
          <w:p w14:paraId="0D2CE89A">
            <w:pPr>
              <w:pStyle w:val="57"/>
              <w:jc w:val="center"/>
              <w:rPr>
                <w:sz w:val="22"/>
                <w:szCs w:val="22"/>
              </w:rPr>
            </w:pPr>
            <w:r>
              <w:rPr>
                <w:sz w:val="22"/>
                <w:szCs w:val="22"/>
              </w:rPr>
              <w:t>16.7</w:t>
            </w:r>
          </w:p>
        </w:tc>
        <w:tc>
          <w:tcPr>
            <w:tcW w:w="755" w:type="pct"/>
            <w:shd w:val="clear" w:color="auto" w:fill="auto"/>
            <w:noWrap/>
            <w:vAlign w:val="center"/>
          </w:tcPr>
          <w:p w14:paraId="09C2741F">
            <w:pPr>
              <w:pStyle w:val="57"/>
              <w:jc w:val="center"/>
              <w:rPr>
                <w:sz w:val="22"/>
                <w:szCs w:val="22"/>
              </w:rPr>
            </w:pPr>
            <w:r>
              <w:rPr>
                <w:sz w:val="22"/>
                <w:szCs w:val="22"/>
              </w:rPr>
              <w:t>重要县域</w:t>
            </w:r>
          </w:p>
        </w:tc>
      </w:tr>
      <w:tr w14:paraId="2C58C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45B6899F">
            <w:pPr>
              <w:pStyle w:val="57"/>
              <w:jc w:val="center"/>
              <w:rPr>
                <w:sz w:val="22"/>
                <w:szCs w:val="22"/>
              </w:rPr>
            </w:pPr>
            <w:r>
              <w:rPr>
                <w:sz w:val="22"/>
                <w:szCs w:val="22"/>
              </w:rPr>
              <w:t>63</w:t>
            </w:r>
          </w:p>
        </w:tc>
        <w:tc>
          <w:tcPr>
            <w:tcW w:w="1212" w:type="pct"/>
            <w:shd w:val="clear" w:color="auto" w:fill="auto"/>
            <w:noWrap/>
            <w:vAlign w:val="center"/>
          </w:tcPr>
          <w:p w14:paraId="7BEC429C">
            <w:pPr>
              <w:pStyle w:val="57"/>
              <w:jc w:val="center"/>
              <w:rPr>
                <w:sz w:val="22"/>
                <w:szCs w:val="22"/>
              </w:rPr>
            </w:pPr>
            <w:r>
              <w:rPr>
                <w:sz w:val="22"/>
                <w:szCs w:val="22"/>
              </w:rPr>
              <w:t>罗家桥港</w:t>
            </w:r>
          </w:p>
        </w:tc>
        <w:tc>
          <w:tcPr>
            <w:tcW w:w="1641" w:type="pct"/>
            <w:vAlign w:val="center"/>
          </w:tcPr>
          <w:p w14:paraId="4D7E8618">
            <w:pPr>
              <w:pStyle w:val="57"/>
              <w:jc w:val="center"/>
              <w:rPr>
                <w:sz w:val="22"/>
                <w:szCs w:val="22"/>
              </w:rPr>
            </w:pPr>
            <w:r>
              <w:rPr>
                <w:sz w:val="22"/>
                <w:szCs w:val="22"/>
              </w:rPr>
              <w:t>泰州靖江市</w:t>
            </w:r>
          </w:p>
        </w:tc>
        <w:tc>
          <w:tcPr>
            <w:tcW w:w="992" w:type="pct"/>
            <w:vAlign w:val="center"/>
          </w:tcPr>
          <w:p w14:paraId="6E9BB6F7">
            <w:pPr>
              <w:pStyle w:val="57"/>
              <w:jc w:val="center"/>
              <w:rPr>
                <w:sz w:val="22"/>
                <w:szCs w:val="22"/>
              </w:rPr>
            </w:pPr>
            <w:r>
              <w:rPr>
                <w:sz w:val="22"/>
                <w:szCs w:val="22"/>
              </w:rPr>
              <w:t>17.6</w:t>
            </w:r>
          </w:p>
        </w:tc>
        <w:tc>
          <w:tcPr>
            <w:tcW w:w="755" w:type="pct"/>
            <w:shd w:val="clear" w:color="auto" w:fill="auto"/>
            <w:noWrap/>
            <w:vAlign w:val="center"/>
          </w:tcPr>
          <w:p w14:paraId="33928DC7">
            <w:pPr>
              <w:pStyle w:val="57"/>
              <w:jc w:val="center"/>
              <w:rPr>
                <w:sz w:val="22"/>
                <w:szCs w:val="22"/>
              </w:rPr>
            </w:pPr>
            <w:r>
              <w:rPr>
                <w:sz w:val="22"/>
                <w:szCs w:val="22"/>
              </w:rPr>
              <w:t>重要县域</w:t>
            </w:r>
          </w:p>
        </w:tc>
      </w:tr>
      <w:tr w14:paraId="2B518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01903271">
            <w:pPr>
              <w:pStyle w:val="57"/>
              <w:jc w:val="center"/>
              <w:rPr>
                <w:sz w:val="22"/>
                <w:szCs w:val="22"/>
              </w:rPr>
            </w:pPr>
            <w:r>
              <w:rPr>
                <w:sz w:val="22"/>
                <w:szCs w:val="22"/>
              </w:rPr>
              <w:t>64</w:t>
            </w:r>
          </w:p>
        </w:tc>
        <w:tc>
          <w:tcPr>
            <w:tcW w:w="1212" w:type="pct"/>
            <w:shd w:val="clear" w:color="auto" w:fill="auto"/>
            <w:noWrap/>
            <w:vAlign w:val="center"/>
          </w:tcPr>
          <w:p w14:paraId="5679D113">
            <w:pPr>
              <w:pStyle w:val="57"/>
              <w:jc w:val="center"/>
              <w:rPr>
                <w:sz w:val="22"/>
                <w:szCs w:val="22"/>
              </w:rPr>
            </w:pPr>
            <w:r>
              <w:rPr>
                <w:sz w:val="22"/>
                <w:szCs w:val="22"/>
              </w:rPr>
              <w:t>安宁港</w:t>
            </w:r>
          </w:p>
        </w:tc>
        <w:tc>
          <w:tcPr>
            <w:tcW w:w="1641" w:type="pct"/>
            <w:vAlign w:val="center"/>
          </w:tcPr>
          <w:p w14:paraId="3EEBF2C1">
            <w:pPr>
              <w:pStyle w:val="57"/>
              <w:jc w:val="center"/>
              <w:rPr>
                <w:sz w:val="22"/>
                <w:szCs w:val="22"/>
              </w:rPr>
            </w:pPr>
            <w:r>
              <w:rPr>
                <w:sz w:val="22"/>
                <w:szCs w:val="22"/>
              </w:rPr>
              <w:t>泰州靖江市</w:t>
            </w:r>
          </w:p>
        </w:tc>
        <w:tc>
          <w:tcPr>
            <w:tcW w:w="992" w:type="pct"/>
            <w:vAlign w:val="center"/>
          </w:tcPr>
          <w:p w14:paraId="00A42D85">
            <w:pPr>
              <w:pStyle w:val="57"/>
              <w:jc w:val="center"/>
              <w:rPr>
                <w:sz w:val="22"/>
                <w:szCs w:val="22"/>
              </w:rPr>
            </w:pPr>
            <w:r>
              <w:rPr>
                <w:sz w:val="22"/>
                <w:szCs w:val="22"/>
              </w:rPr>
              <w:t>10.0</w:t>
            </w:r>
          </w:p>
        </w:tc>
        <w:tc>
          <w:tcPr>
            <w:tcW w:w="755" w:type="pct"/>
            <w:shd w:val="clear" w:color="auto" w:fill="auto"/>
            <w:noWrap/>
            <w:vAlign w:val="center"/>
          </w:tcPr>
          <w:p w14:paraId="301E8496">
            <w:pPr>
              <w:pStyle w:val="57"/>
              <w:jc w:val="center"/>
              <w:rPr>
                <w:sz w:val="22"/>
                <w:szCs w:val="22"/>
              </w:rPr>
            </w:pPr>
            <w:r>
              <w:rPr>
                <w:sz w:val="22"/>
                <w:szCs w:val="22"/>
              </w:rPr>
              <w:t>重要县域</w:t>
            </w:r>
          </w:p>
        </w:tc>
      </w:tr>
      <w:tr w14:paraId="7E091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586FEAF0">
            <w:pPr>
              <w:pStyle w:val="57"/>
              <w:jc w:val="center"/>
              <w:rPr>
                <w:sz w:val="22"/>
                <w:szCs w:val="22"/>
              </w:rPr>
            </w:pPr>
            <w:r>
              <w:rPr>
                <w:sz w:val="22"/>
                <w:szCs w:val="22"/>
              </w:rPr>
              <w:t>65</w:t>
            </w:r>
          </w:p>
        </w:tc>
        <w:tc>
          <w:tcPr>
            <w:tcW w:w="1212" w:type="pct"/>
            <w:shd w:val="clear" w:color="auto" w:fill="auto"/>
            <w:noWrap/>
            <w:vAlign w:val="center"/>
          </w:tcPr>
          <w:p w14:paraId="0F48475C">
            <w:pPr>
              <w:pStyle w:val="57"/>
              <w:jc w:val="center"/>
              <w:rPr>
                <w:sz w:val="22"/>
                <w:szCs w:val="22"/>
              </w:rPr>
            </w:pPr>
            <w:r>
              <w:rPr>
                <w:sz w:val="22"/>
                <w:szCs w:val="22"/>
              </w:rPr>
              <w:t>十圩港</w:t>
            </w:r>
          </w:p>
        </w:tc>
        <w:tc>
          <w:tcPr>
            <w:tcW w:w="1641" w:type="pct"/>
            <w:vAlign w:val="center"/>
          </w:tcPr>
          <w:p w14:paraId="00433737">
            <w:pPr>
              <w:pStyle w:val="57"/>
              <w:jc w:val="center"/>
              <w:rPr>
                <w:sz w:val="22"/>
                <w:szCs w:val="22"/>
              </w:rPr>
            </w:pPr>
            <w:r>
              <w:rPr>
                <w:sz w:val="22"/>
                <w:szCs w:val="22"/>
              </w:rPr>
              <w:t>泰州靖江市</w:t>
            </w:r>
          </w:p>
        </w:tc>
        <w:tc>
          <w:tcPr>
            <w:tcW w:w="992" w:type="pct"/>
            <w:vAlign w:val="center"/>
          </w:tcPr>
          <w:p w14:paraId="2E1EC38D">
            <w:pPr>
              <w:pStyle w:val="57"/>
              <w:jc w:val="center"/>
              <w:rPr>
                <w:sz w:val="22"/>
                <w:szCs w:val="22"/>
              </w:rPr>
            </w:pPr>
            <w:r>
              <w:rPr>
                <w:sz w:val="22"/>
                <w:szCs w:val="22"/>
              </w:rPr>
              <w:t>22.1</w:t>
            </w:r>
          </w:p>
        </w:tc>
        <w:tc>
          <w:tcPr>
            <w:tcW w:w="755" w:type="pct"/>
            <w:shd w:val="clear" w:color="auto" w:fill="auto"/>
            <w:noWrap/>
            <w:vAlign w:val="center"/>
          </w:tcPr>
          <w:p w14:paraId="1572844B">
            <w:pPr>
              <w:pStyle w:val="57"/>
              <w:jc w:val="center"/>
              <w:rPr>
                <w:sz w:val="22"/>
                <w:szCs w:val="22"/>
              </w:rPr>
            </w:pPr>
            <w:r>
              <w:rPr>
                <w:sz w:val="22"/>
                <w:szCs w:val="22"/>
              </w:rPr>
              <w:t>重要县域</w:t>
            </w:r>
          </w:p>
        </w:tc>
      </w:tr>
      <w:tr w14:paraId="0D006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45DE29B9">
            <w:pPr>
              <w:pStyle w:val="57"/>
              <w:jc w:val="center"/>
              <w:rPr>
                <w:sz w:val="22"/>
                <w:szCs w:val="22"/>
              </w:rPr>
            </w:pPr>
            <w:r>
              <w:rPr>
                <w:sz w:val="22"/>
                <w:szCs w:val="22"/>
              </w:rPr>
              <w:t>66</w:t>
            </w:r>
          </w:p>
        </w:tc>
        <w:tc>
          <w:tcPr>
            <w:tcW w:w="1212" w:type="pct"/>
            <w:shd w:val="clear" w:color="auto" w:fill="auto"/>
            <w:noWrap/>
            <w:vAlign w:val="center"/>
          </w:tcPr>
          <w:p w14:paraId="62D07717">
            <w:pPr>
              <w:pStyle w:val="57"/>
              <w:jc w:val="center"/>
              <w:rPr>
                <w:sz w:val="22"/>
                <w:szCs w:val="22"/>
              </w:rPr>
            </w:pPr>
            <w:r>
              <w:rPr>
                <w:sz w:val="22"/>
                <w:szCs w:val="22"/>
              </w:rPr>
              <w:t>九岛环湖</w:t>
            </w:r>
          </w:p>
        </w:tc>
        <w:tc>
          <w:tcPr>
            <w:tcW w:w="1641" w:type="pct"/>
            <w:vAlign w:val="center"/>
          </w:tcPr>
          <w:p w14:paraId="49FC7880">
            <w:pPr>
              <w:pStyle w:val="57"/>
              <w:jc w:val="center"/>
              <w:rPr>
                <w:sz w:val="22"/>
                <w:szCs w:val="22"/>
              </w:rPr>
            </w:pPr>
            <w:r>
              <w:rPr>
                <w:sz w:val="22"/>
                <w:szCs w:val="22"/>
              </w:rPr>
              <w:t>泰州海陵区</w:t>
            </w:r>
          </w:p>
        </w:tc>
        <w:tc>
          <w:tcPr>
            <w:tcW w:w="992" w:type="pct"/>
            <w:vAlign w:val="center"/>
          </w:tcPr>
          <w:p w14:paraId="0E23E626">
            <w:pPr>
              <w:pStyle w:val="57"/>
              <w:jc w:val="center"/>
              <w:rPr>
                <w:sz w:val="22"/>
                <w:szCs w:val="22"/>
              </w:rPr>
            </w:pPr>
            <w:r>
              <w:rPr>
                <w:sz w:val="22"/>
                <w:szCs w:val="22"/>
              </w:rPr>
              <w:t>3.4</w:t>
            </w:r>
          </w:p>
        </w:tc>
        <w:tc>
          <w:tcPr>
            <w:tcW w:w="755" w:type="pct"/>
            <w:shd w:val="clear" w:color="auto" w:fill="auto"/>
            <w:noWrap/>
            <w:vAlign w:val="center"/>
          </w:tcPr>
          <w:p w14:paraId="2E00597D">
            <w:pPr>
              <w:pStyle w:val="57"/>
              <w:jc w:val="center"/>
              <w:rPr>
                <w:sz w:val="22"/>
                <w:szCs w:val="22"/>
              </w:rPr>
            </w:pPr>
            <w:r>
              <w:rPr>
                <w:sz w:val="22"/>
                <w:szCs w:val="22"/>
              </w:rPr>
              <w:t>县级河流</w:t>
            </w:r>
          </w:p>
        </w:tc>
      </w:tr>
      <w:tr w14:paraId="673AB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084E1536">
            <w:pPr>
              <w:pStyle w:val="57"/>
              <w:jc w:val="center"/>
              <w:rPr>
                <w:sz w:val="22"/>
                <w:szCs w:val="22"/>
              </w:rPr>
            </w:pPr>
            <w:r>
              <w:rPr>
                <w:sz w:val="22"/>
                <w:szCs w:val="22"/>
              </w:rPr>
              <w:t>67</w:t>
            </w:r>
          </w:p>
        </w:tc>
        <w:tc>
          <w:tcPr>
            <w:tcW w:w="1212" w:type="pct"/>
            <w:shd w:val="clear" w:color="auto" w:fill="auto"/>
            <w:noWrap/>
            <w:vAlign w:val="center"/>
          </w:tcPr>
          <w:p w14:paraId="37D61960">
            <w:pPr>
              <w:pStyle w:val="57"/>
              <w:jc w:val="center"/>
              <w:rPr>
                <w:sz w:val="22"/>
                <w:szCs w:val="22"/>
              </w:rPr>
            </w:pPr>
            <w:r>
              <w:rPr>
                <w:sz w:val="22"/>
                <w:szCs w:val="22"/>
              </w:rPr>
              <w:t>九龙大寨河</w:t>
            </w:r>
          </w:p>
        </w:tc>
        <w:tc>
          <w:tcPr>
            <w:tcW w:w="1641" w:type="pct"/>
            <w:vAlign w:val="center"/>
          </w:tcPr>
          <w:p w14:paraId="4628F872">
            <w:pPr>
              <w:pStyle w:val="57"/>
              <w:jc w:val="center"/>
            </w:pPr>
            <w:r>
              <w:t>泰州海陵区</w:t>
            </w:r>
          </w:p>
        </w:tc>
        <w:tc>
          <w:tcPr>
            <w:tcW w:w="992" w:type="pct"/>
            <w:vAlign w:val="center"/>
          </w:tcPr>
          <w:p w14:paraId="4730C358">
            <w:pPr>
              <w:pStyle w:val="57"/>
              <w:jc w:val="center"/>
              <w:rPr>
                <w:sz w:val="22"/>
                <w:szCs w:val="22"/>
              </w:rPr>
            </w:pPr>
            <w:r>
              <w:rPr>
                <w:sz w:val="22"/>
                <w:szCs w:val="22"/>
              </w:rPr>
              <w:t>5.2</w:t>
            </w:r>
          </w:p>
        </w:tc>
        <w:tc>
          <w:tcPr>
            <w:tcW w:w="755" w:type="pct"/>
            <w:shd w:val="clear" w:color="auto" w:fill="auto"/>
            <w:noWrap/>
            <w:vAlign w:val="center"/>
          </w:tcPr>
          <w:p w14:paraId="556D786B">
            <w:pPr>
              <w:pStyle w:val="57"/>
              <w:jc w:val="center"/>
              <w:rPr>
                <w:sz w:val="22"/>
                <w:szCs w:val="22"/>
              </w:rPr>
            </w:pPr>
            <w:r>
              <w:rPr>
                <w:sz w:val="22"/>
                <w:szCs w:val="22"/>
              </w:rPr>
              <w:t>县级河流</w:t>
            </w:r>
          </w:p>
        </w:tc>
      </w:tr>
      <w:tr w14:paraId="01467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40D5412B">
            <w:pPr>
              <w:pStyle w:val="57"/>
              <w:jc w:val="center"/>
              <w:rPr>
                <w:sz w:val="22"/>
                <w:szCs w:val="22"/>
              </w:rPr>
            </w:pPr>
            <w:r>
              <w:rPr>
                <w:sz w:val="22"/>
                <w:szCs w:val="22"/>
              </w:rPr>
              <w:t>68</w:t>
            </w:r>
          </w:p>
        </w:tc>
        <w:tc>
          <w:tcPr>
            <w:tcW w:w="1212" w:type="pct"/>
            <w:shd w:val="clear" w:color="auto" w:fill="auto"/>
            <w:noWrap/>
            <w:vAlign w:val="center"/>
          </w:tcPr>
          <w:p w14:paraId="3F734689">
            <w:pPr>
              <w:pStyle w:val="57"/>
              <w:jc w:val="center"/>
              <w:rPr>
                <w:sz w:val="22"/>
                <w:szCs w:val="22"/>
              </w:rPr>
            </w:pPr>
            <w:r>
              <w:rPr>
                <w:sz w:val="22"/>
                <w:szCs w:val="22"/>
              </w:rPr>
              <w:t>杨庄大河</w:t>
            </w:r>
          </w:p>
        </w:tc>
        <w:tc>
          <w:tcPr>
            <w:tcW w:w="1641" w:type="pct"/>
            <w:vAlign w:val="center"/>
          </w:tcPr>
          <w:p w14:paraId="707BFB04">
            <w:pPr>
              <w:pStyle w:val="57"/>
              <w:jc w:val="center"/>
            </w:pPr>
            <w:r>
              <w:t>泰州海陵区</w:t>
            </w:r>
          </w:p>
        </w:tc>
        <w:tc>
          <w:tcPr>
            <w:tcW w:w="992" w:type="pct"/>
            <w:vAlign w:val="center"/>
          </w:tcPr>
          <w:p w14:paraId="3AB07E60">
            <w:pPr>
              <w:pStyle w:val="57"/>
              <w:jc w:val="center"/>
              <w:rPr>
                <w:sz w:val="22"/>
                <w:szCs w:val="22"/>
              </w:rPr>
            </w:pPr>
            <w:r>
              <w:rPr>
                <w:sz w:val="22"/>
                <w:szCs w:val="22"/>
              </w:rPr>
              <w:t>3.5</w:t>
            </w:r>
          </w:p>
        </w:tc>
        <w:tc>
          <w:tcPr>
            <w:tcW w:w="755" w:type="pct"/>
            <w:shd w:val="clear" w:color="auto" w:fill="auto"/>
            <w:noWrap/>
            <w:vAlign w:val="center"/>
          </w:tcPr>
          <w:p w14:paraId="6D91CF3F">
            <w:pPr>
              <w:pStyle w:val="57"/>
              <w:jc w:val="center"/>
              <w:rPr>
                <w:sz w:val="22"/>
                <w:szCs w:val="22"/>
              </w:rPr>
            </w:pPr>
            <w:r>
              <w:rPr>
                <w:sz w:val="22"/>
                <w:szCs w:val="22"/>
              </w:rPr>
              <w:t>县级河流</w:t>
            </w:r>
          </w:p>
        </w:tc>
      </w:tr>
      <w:tr w14:paraId="43BE9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63871D59">
            <w:pPr>
              <w:pStyle w:val="57"/>
              <w:jc w:val="center"/>
              <w:rPr>
                <w:sz w:val="22"/>
                <w:szCs w:val="22"/>
              </w:rPr>
            </w:pPr>
            <w:r>
              <w:rPr>
                <w:sz w:val="22"/>
                <w:szCs w:val="22"/>
              </w:rPr>
              <w:t>69</w:t>
            </w:r>
          </w:p>
        </w:tc>
        <w:tc>
          <w:tcPr>
            <w:tcW w:w="1212" w:type="pct"/>
            <w:shd w:val="clear" w:color="auto" w:fill="auto"/>
            <w:noWrap/>
            <w:vAlign w:val="center"/>
          </w:tcPr>
          <w:p w14:paraId="460FCBFF">
            <w:pPr>
              <w:pStyle w:val="57"/>
              <w:jc w:val="center"/>
              <w:rPr>
                <w:sz w:val="22"/>
                <w:szCs w:val="22"/>
              </w:rPr>
            </w:pPr>
            <w:r>
              <w:rPr>
                <w:sz w:val="22"/>
                <w:szCs w:val="22"/>
              </w:rPr>
              <w:t>潼头河</w:t>
            </w:r>
          </w:p>
        </w:tc>
        <w:tc>
          <w:tcPr>
            <w:tcW w:w="1641" w:type="pct"/>
            <w:vAlign w:val="center"/>
          </w:tcPr>
          <w:p w14:paraId="218BBDE2">
            <w:pPr>
              <w:pStyle w:val="57"/>
              <w:jc w:val="center"/>
            </w:pPr>
            <w:r>
              <w:t>泰州海陵区</w:t>
            </w:r>
          </w:p>
        </w:tc>
        <w:tc>
          <w:tcPr>
            <w:tcW w:w="992" w:type="pct"/>
            <w:vAlign w:val="center"/>
          </w:tcPr>
          <w:p w14:paraId="2907C33A">
            <w:pPr>
              <w:pStyle w:val="57"/>
              <w:jc w:val="center"/>
              <w:rPr>
                <w:sz w:val="22"/>
                <w:szCs w:val="22"/>
              </w:rPr>
            </w:pPr>
            <w:r>
              <w:rPr>
                <w:sz w:val="22"/>
                <w:szCs w:val="22"/>
              </w:rPr>
              <w:t>2.8</w:t>
            </w:r>
          </w:p>
        </w:tc>
        <w:tc>
          <w:tcPr>
            <w:tcW w:w="755" w:type="pct"/>
            <w:shd w:val="clear" w:color="auto" w:fill="auto"/>
            <w:noWrap/>
            <w:vAlign w:val="center"/>
          </w:tcPr>
          <w:p w14:paraId="00EF8B6A">
            <w:pPr>
              <w:pStyle w:val="57"/>
              <w:jc w:val="center"/>
              <w:rPr>
                <w:sz w:val="22"/>
                <w:szCs w:val="22"/>
              </w:rPr>
            </w:pPr>
            <w:r>
              <w:rPr>
                <w:sz w:val="22"/>
                <w:szCs w:val="22"/>
              </w:rPr>
              <w:t>县级河流</w:t>
            </w:r>
          </w:p>
        </w:tc>
      </w:tr>
      <w:tr w14:paraId="05348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2A4024AF">
            <w:pPr>
              <w:pStyle w:val="57"/>
              <w:jc w:val="center"/>
              <w:rPr>
                <w:sz w:val="22"/>
                <w:szCs w:val="22"/>
              </w:rPr>
            </w:pPr>
            <w:r>
              <w:rPr>
                <w:sz w:val="22"/>
                <w:szCs w:val="22"/>
              </w:rPr>
              <w:t>70</w:t>
            </w:r>
          </w:p>
        </w:tc>
        <w:tc>
          <w:tcPr>
            <w:tcW w:w="1212" w:type="pct"/>
            <w:shd w:val="clear" w:color="auto" w:fill="auto"/>
            <w:noWrap/>
            <w:vAlign w:val="center"/>
          </w:tcPr>
          <w:p w14:paraId="7EF9A922">
            <w:pPr>
              <w:pStyle w:val="57"/>
              <w:jc w:val="center"/>
              <w:rPr>
                <w:sz w:val="22"/>
                <w:szCs w:val="22"/>
              </w:rPr>
            </w:pPr>
            <w:r>
              <w:rPr>
                <w:sz w:val="22"/>
                <w:szCs w:val="22"/>
              </w:rPr>
              <w:t>东大河</w:t>
            </w:r>
          </w:p>
        </w:tc>
        <w:tc>
          <w:tcPr>
            <w:tcW w:w="1641" w:type="pct"/>
            <w:vAlign w:val="center"/>
          </w:tcPr>
          <w:p w14:paraId="7ED198BE">
            <w:pPr>
              <w:pStyle w:val="57"/>
              <w:jc w:val="center"/>
            </w:pPr>
            <w:r>
              <w:t>泰州海陵区</w:t>
            </w:r>
          </w:p>
        </w:tc>
        <w:tc>
          <w:tcPr>
            <w:tcW w:w="992" w:type="pct"/>
            <w:vAlign w:val="center"/>
          </w:tcPr>
          <w:p w14:paraId="78CD1A2E">
            <w:pPr>
              <w:pStyle w:val="57"/>
              <w:jc w:val="center"/>
              <w:rPr>
                <w:sz w:val="22"/>
                <w:szCs w:val="22"/>
              </w:rPr>
            </w:pPr>
            <w:r>
              <w:rPr>
                <w:sz w:val="22"/>
                <w:szCs w:val="22"/>
              </w:rPr>
              <w:t>2.4</w:t>
            </w:r>
          </w:p>
        </w:tc>
        <w:tc>
          <w:tcPr>
            <w:tcW w:w="755" w:type="pct"/>
            <w:shd w:val="clear" w:color="auto" w:fill="auto"/>
            <w:noWrap/>
            <w:vAlign w:val="center"/>
          </w:tcPr>
          <w:p w14:paraId="7737057C">
            <w:pPr>
              <w:pStyle w:val="57"/>
              <w:jc w:val="center"/>
              <w:rPr>
                <w:sz w:val="22"/>
                <w:szCs w:val="22"/>
              </w:rPr>
            </w:pPr>
            <w:r>
              <w:rPr>
                <w:sz w:val="22"/>
                <w:szCs w:val="22"/>
              </w:rPr>
              <w:t>县级河流</w:t>
            </w:r>
          </w:p>
        </w:tc>
      </w:tr>
      <w:tr w14:paraId="032B3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0875FEF2">
            <w:pPr>
              <w:pStyle w:val="57"/>
              <w:jc w:val="center"/>
              <w:rPr>
                <w:sz w:val="22"/>
                <w:szCs w:val="22"/>
              </w:rPr>
            </w:pPr>
            <w:r>
              <w:rPr>
                <w:sz w:val="22"/>
                <w:szCs w:val="22"/>
              </w:rPr>
              <w:t>71</w:t>
            </w:r>
          </w:p>
        </w:tc>
        <w:tc>
          <w:tcPr>
            <w:tcW w:w="1212" w:type="pct"/>
            <w:shd w:val="clear" w:color="auto" w:fill="auto"/>
            <w:noWrap/>
            <w:vAlign w:val="center"/>
          </w:tcPr>
          <w:p w14:paraId="66D40F6B">
            <w:pPr>
              <w:pStyle w:val="57"/>
              <w:jc w:val="center"/>
              <w:rPr>
                <w:sz w:val="22"/>
                <w:szCs w:val="22"/>
              </w:rPr>
            </w:pPr>
            <w:r>
              <w:rPr>
                <w:sz w:val="22"/>
                <w:szCs w:val="22"/>
              </w:rPr>
              <w:t>西冯大河</w:t>
            </w:r>
          </w:p>
        </w:tc>
        <w:tc>
          <w:tcPr>
            <w:tcW w:w="1641" w:type="pct"/>
            <w:vAlign w:val="center"/>
          </w:tcPr>
          <w:p w14:paraId="731982E1">
            <w:pPr>
              <w:pStyle w:val="57"/>
              <w:jc w:val="center"/>
            </w:pPr>
            <w:r>
              <w:t>泰州海陵区</w:t>
            </w:r>
          </w:p>
        </w:tc>
        <w:tc>
          <w:tcPr>
            <w:tcW w:w="992" w:type="pct"/>
            <w:vAlign w:val="center"/>
          </w:tcPr>
          <w:p w14:paraId="37C70CFC">
            <w:pPr>
              <w:pStyle w:val="57"/>
              <w:jc w:val="center"/>
              <w:rPr>
                <w:sz w:val="22"/>
                <w:szCs w:val="22"/>
              </w:rPr>
            </w:pPr>
            <w:r>
              <w:rPr>
                <w:sz w:val="22"/>
                <w:szCs w:val="22"/>
              </w:rPr>
              <w:t>6.8</w:t>
            </w:r>
          </w:p>
        </w:tc>
        <w:tc>
          <w:tcPr>
            <w:tcW w:w="755" w:type="pct"/>
            <w:shd w:val="clear" w:color="auto" w:fill="auto"/>
            <w:noWrap/>
            <w:vAlign w:val="center"/>
          </w:tcPr>
          <w:p w14:paraId="53C1056F">
            <w:pPr>
              <w:pStyle w:val="57"/>
              <w:jc w:val="center"/>
              <w:rPr>
                <w:sz w:val="22"/>
                <w:szCs w:val="22"/>
              </w:rPr>
            </w:pPr>
            <w:r>
              <w:rPr>
                <w:sz w:val="22"/>
                <w:szCs w:val="22"/>
              </w:rPr>
              <w:t>县级河流</w:t>
            </w:r>
          </w:p>
        </w:tc>
      </w:tr>
      <w:tr w14:paraId="5B9C7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0FBEEE4A">
            <w:pPr>
              <w:pStyle w:val="57"/>
              <w:jc w:val="center"/>
              <w:rPr>
                <w:sz w:val="22"/>
                <w:szCs w:val="22"/>
              </w:rPr>
            </w:pPr>
            <w:r>
              <w:rPr>
                <w:sz w:val="22"/>
                <w:szCs w:val="22"/>
              </w:rPr>
              <w:t>72</w:t>
            </w:r>
          </w:p>
        </w:tc>
        <w:tc>
          <w:tcPr>
            <w:tcW w:w="1212" w:type="pct"/>
            <w:shd w:val="clear" w:color="auto" w:fill="auto"/>
            <w:noWrap/>
            <w:vAlign w:val="center"/>
          </w:tcPr>
          <w:p w14:paraId="4F05C6DC">
            <w:pPr>
              <w:pStyle w:val="57"/>
              <w:jc w:val="center"/>
              <w:rPr>
                <w:sz w:val="22"/>
                <w:szCs w:val="22"/>
              </w:rPr>
            </w:pPr>
            <w:r>
              <w:rPr>
                <w:sz w:val="22"/>
                <w:szCs w:val="22"/>
              </w:rPr>
              <w:t>界沟河-九龙</w:t>
            </w:r>
          </w:p>
        </w:tc>
        <w:tc>
          <w:tcPr>
            <w:tcW w:w="1641" w:type="pct"/>
            <w:vAlign w:val="center"/>
          </w:tcPr>
          <w:p w14:paraId="239518E6">
            <w:pPr>
              <w:pStyle w:val="57"/>
              <w:jc w:val="center"/>
            </w:pPr>
            <w:r>
              <w:t>泰州海陵区</w:t>
            </w:r>
          </w:p>
        </w:tc>
        <w:tc>
          <w:tcPr>
            <w:tcW w:w="992" w:type="pct"/>
            <w:vAlign w:val="center"/>
          </w:tcPr>
          <w:p w14:paraId="0DA13DAE">
            <w:pPr>
              <w:pStyle w:val="57"/>
              <w:jc w:val="center"/>
              <w:rPr>
                <w:sz w:val="22"/>
                <w:szCs w:val="22"/>
              </w:rPr>
            </w:pPr>
            <w:r>
              <w:rPr>
                <w:sz w:val="22"/>
                <w:szCs w:val="22"/>
              </w:rPr>
              <w:t>1.7</w:t>
            </w:r>
          </w:p>
        </w:tc>
        <w:tc>
          <w:tcPr>
            <w:tcW w:w="755" w:type="pct"/>
            <w:shd w:val="clear" w:color="auto" w:fill="auto"/>
            <w:noWrap/>
            <w:vAlign w:val="center"/>
          </w:tcPr>
          <w:p w14:paraId="6CD04141">
            <w:pPr>
              <w:pStyle w:val="57"/>
              <w:jc w:val="center"/>
              <w:rPr>
                <w:sz w:val="22"/>
                <w:szCs w:val="22"/>
              </w:rPr>
            </w:pPr>
            <w:r>
              <w:rPr>
                <w:sz w:val="22"/>
                <w:szCs w:val="22"/>
              </w:rPr>
              <w:t>县级河流</w:t>
            </w:r>
          </w:p>
        </w:tc>
      </w:tr>
      <w:tr w14:paraId="719FD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505D0AEA">
            <w:pPr>
              <w:pStyle w:val="57"/>
              <w:jc w:val="center"/>
              <w:rPr>
                <w:sz w:val="22"/>
                <w:szCs w:val="22"/>
              </w:rPr>
            </w:pPr>
            <w:r>
              <w:rPr>
                <w:sz w:val="22"/>
                <w:szCs w:val="22"/>
              </w:rPr>
              <w:t>73</w:t>
            </w:r>
          </w:p>
        </w:tc>
        <w:tc>
          <w:tcPr>
            <w:tcW w:w="1212" w:type="pct"/>
            <w:shd w:val="clear" w:color="auto" w:fill="auto"/>
            <w:noWrap/>
            <w:vAlign w:val="center"/>
          </w:tcPr>
          <w:p w14:paraId="4DDD68C5">
            <w:pPr>
              <w:pStyle w:val="57"/>
              <w:jc w:val="center"/>
              <w:rPr>
                <w:sz w:val="22"/>
                <w:szCs w:val="22"/>
              </w:rPr>
            </w:pPr>
            <w:r>
              <w:rPr>
                <w:sz w:val="22"/>
                <w:szCs w:val="22"/>
              </w:rPr>
              <w:t>界沟河-罡杨</w:t>
            </w:r>
          </w:p>
        </w:tc>
        <w:tc>
          <w:tcPr>
            <w:tcW w:w="1641" w:type="pct"/>
            <w:vAlign w:val="center"/>
          </w:tcPr>
          <w:p w14:paraId="5163247B">
            <w:pPr>
              <w:pStyle w:val="57"/>
              <w:jc w:val="center"/>
            </w:pPr>
            <w:r>
              <w:t>泰州海陵区</w:t>
            </w:r>
          </w:p>
        </w:tc>
        <w:tc>
          <w:tcPr>
            <w:tcW w:w="992" w:type="pct"/>
            <w:vAlign w:val="center"/>
          </w:tcPr>
          <w:p w14:paraId="254223FF">
            <w:pPr>
              <w:pStyle w:val="57"/>
              <w:jc w:val="center"/>
              <w:rPr>
                <w:sz w:val="22"/>
                <w:szCs w:val="22"/>
              </w:rPr>
            </w:pPr>
            <w:r>
              <w:rPr>
                <w:sz w:val="22"/>
                <w:szCs w:val="22"/>
              </w:rPr>
              <w:t>3.2</w:t>
            </w:r>
          </w:p>
        </w:tc>
        <w:tc>
          <w:tcPr>
            <w:tcW w:w="755" w:type="pct"/>
            <w:shd w:val="clear" w:color="auto" w:fill="auto"/>
            <w:noWrap/>
            <w:vAlign w:val="center"/>
          </w:tcPr>
          <w:p w14:paraId="75A0D635">
            <w:pPr>
              <w:pStyle w:val="57"/>
              <w:jc w:val="center"/>
              <w:rPr>
                <w:sz w:val="22"/>
                <w:szCs w:val="22"/>
              </w:rPr>
            </w:pPr>
            <w:r>
              <w:rPr>
                <w:sz w:val="22"/>
                <w:szCs w:val="22"/>
              </w:rPr>
              <w:t>县级河流</w:t>
            </w:r>
          </w:p>
        </w:tc>
      </w:tr>
      <w:tr w14:paraId="3140C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03D0DD05">
            <w:pPr>
              <w:pStyle w:val="57"/>
              <w:jc w:val="center"/>
              <w:rPr>
                <w:sz w:val="22"/>
                <w:szCs w:val="22"/>
              </w:rPr>
            </w:pPr>
            <w:r>
              <w:rPr>
                <w:sz w:val="22"/>
                <w:szCs w:val="22"/>
              </w:rPr>
              <w:t>74</w:t>
            </w:r>
          </w:p>
        </w:tc>
        <w:tc>
          <w:tcPr>
            <w:tcW w:w="1212" w:type="pct"/>
            <w:shd w:val="clear" w:color="auto" w:fill="auto"/>
            <w:noWrap/>
            <w:vAlign w:val="center"/>
          </w:tcPr>
          <w:p w14:paraId="1201803E">
            <w:pPr>
              <w:pStyle w:val="57"/>
              <w:jc w:val="center"/>
              <w:rPr>
                <w:sz w:val="22"/>
                <w:szCs w:val="22"/>
              </w:rPr>
            </w:pPr>
            <w:r>
              <w:rPr>
                <w:sz w:val="22"/>
                <w:szCs w:val="22"/>
              </w:rPr>
              <w:t>林家河-城西</w:t>
            </w:r>
          </w:p>
        </w:tc>
        <w:tc>
          <w:tcPr>
            <w:tcW w:w="1641" w:type="pct"/>
            <w:vAlign w:val="center"/>
          </w:tcPr>
          <w:p w14:paraId="47ADAD60">
            <w:pPr>
              <w:pStyle w:val="57"/>
              <w:jc w:val="center"/>
            </w:pPr>
            <w:r>
              <w:t>泰州海陵区</w:t>
            </w:r>
          </w:p>
        </w:tc>
        <w:tc>
          <w:tcPr>
            <w:tcW w:w="992" w:type="pct"/>
            <w:vAlign w:val="center"/>
          </w:tcPr>
          <w:p w14:paraId="1388F28E">
            <w:pPr>
              <w:pStyle w:val="57"/>
              <w:jc w:val="center"/>
              <w:rPr>
                <w:sz w:val="22"/>
                <w:szCs w:val="22"/>
              </w:rPr>
            </w:pPr>
            <w:r>
              <w:rPr>
                <w:sz w:val="22"/>
                <w:szCs w:val="22"/>
              </w:rPr>
              <w:t>1.5</w:t>
            </w:r>
          </w:p>
        </w:tc>
        <w:tc>
          <w:tcPr>
            <w:tcW w:w="755" w:type="pct"/>
            <w:shd w:val="clear" w:color="auto" w:fill="auto"/>
            <w:noWrap/>
            <w:vAlign w:val="center"/>
          </w:tcPr>
          <w:p w14:paraId="1374B816">
            <w:pPr>
              <w:pStyle w:val="57"/>
              <w:jc w:val="center"/>
              <w:rPr>
                <w:sz w:val="22"/>
                <w:szCs w:val="22"/>
              </w:rPr>
            </w:pPr>
            <w:r>
              <w:rPr>
                <w:sz w:val="22"/>
                <w:szCs w:val="22"/>
              </w:rPr>
              <w:t>县级河流</w:t>
            </w:r>
          </w:p>
        </w:tc>
      </w:tr>
      <w:tr w14:paraId="02841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46BF7F05">
            <w:pPr>
              <w:pStyle w:val="57"/>
              <w:jc w:val="center"/>
              <w:rPr>
                <w:sz w:val="22"/>
                <w:szCs w:val="22"/>
              </w:rPr>
            </w:pPr>
            <w:r>
              <w:rPr>
                <w:sz w:val="22"/>
                <w:szCs w:val="22"/>
              </w:rPr>
              <w:t>75</w:t>
            </w:r>
          </w:p>
        </w:tc>
        <w:tc>
          <w:tcPr>
            <w:tcW w:w="1212" w:type="pct"/>
            <w:shd w:val="clear" w:color="auto" w:fill="auto"/>
            <w:noWrap/>
            <w:vAlign w:val="center"/>
          </w:tcPr>
          <w:p w14:paraId="3DD54310">
            <w:pPr>
              <w:pStyle w:val="57"/>
              <w:jc w:val="center"/>
              <w:rPr>
                <w:sz w:val="22"/>
                <w:szCs w:val="22"/>
              </w:rPr>
            </w:pPr>
            <w:r>
              <w:rPr>
                <w:sz w:val="22"/>
                <w:szCs w:val="22"/>
              </w:rPr>
              <w:t>林家河-罡杨</w:t>
            </w:r>
          </w:p>
        </w:tc>
        <w:tc>
          <w:tcPr>
            <w:tcW w:w="1641" w:type="pct"/>
            <w:vAlign w:val="center"/>
          </w:tcPr>
          <w:p w14:paraId="4C1D530A">
            <w:pPr>
              <w:pStyle w:val="57"/>
              <w:jc w:val="center"/>
            </w:pPr>
            <w:r>
              <w:t>泰州海陵区</w:t>
            </w:r>
          </w:p>
        </w:tc>
        <w:tc>
          <w:tcPr>
            <w:tcW w:w="992" w:type="pct"/>
            <w:vAlign w:val="center"/>
          </w:tcPr>
          <w:p w14:paraId="6437C6B3">
            <w:pPr>
              <w:pStyle w:val="57"/>
              <w:jc w:val="center"/>
              <w:rPr>
                <w:sz w:val="22"/>
                <w:szCs w:val="22"/>
              </w:rPr>
            </w:pPr>
            <w:r>
              <w:rPr>
                <w:sz w:val="22"/>
                <w:szCs w:val="22"/>
              </w:rPr>
              <w:t>0.5</w:t>
            </w:r>
          </w:p>
        </w:tc>
        <w:tc>
          <w:tcPr>
            <w:tcW w:w="755" w:type="pct"/>
            <w:shd w:val="clear" w:color="auto" w:fill="auto"/>
            <w:noWrap/>
            <w:vAlign w:val="center"/>
          </w:tcPr>
          <w:p w14:paraId="032D21AE">
            <w:pPr>
              <w:pStyle w:val="57"/>
              <w:jc w:val="center"/>
              <w:rPr>
                <w:sz w:val="22"/>
                <w:szCs w:val="22"/>
              </w:rPr>
            </w:pPr>
            <w:r>
              <w:rPr>
                <w:sz w:val="22"/>
                <w:szCs w:val="22"/>
              </w:rPr>
              <w:t>县级河流</w:t>
            </w:r>
          </w:p>
        </w:tc>
      </w:tr>
      <w:tr w14:paraId="6945A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23D057F9">
            <w:pPr>
              <w:pStyle w:val="57"/>
              <w:jc w:val="center"/>
              <w:rPr>
                <w:sz w:val="22"/>
                <w:szCs w:val="22"/>
              </w:rPr>
            </w:pPr>
            <w:r>
              <w:rPr>
                <w:sz w:val="22"/>
                <w:szCs w:val="22"/>
              </w:rPr>
              <w:t>76</w:t>
            </w:r>
          </w:p>
        </w:tc>
        <w:tc>
          <w:tcPr>
            <w:tcW w:w="1212" w:type="pct"/>
            <w:shd w:val="clear" w:color="auto" w:fill="auto"/>
            <w:noWrap/>
            <w:vAlign w:val="center"/>
          </w:tcPr>
          <w:p w14:paraId="27F77F26">
            <w:pPr>
              <w:pStyle w:val="57"/>
              <w:jc w:val="center"/>
              <w:rPr>
                <w:sz w:val="22"/>
                <w:szCs w:val="22"/>
              </w:rPr>
            </w:pPr>
            <w:r>
              <w:rPr>
                <w:sz w:val="22"/>
                <w:szCs w:val="22"/>
              </w:rPr>
              <w:t>麒麟大河</w:t>
            </w:r>
          </w:p>
        </w:tc>
        <w:tc>
          <w:tcPr>
            <w:tcW w:w="1641" w:type="pct"/>
            <w:vAlign w:val="center"/>
          </w:tcPr>
          <w:p w14:paraId="1AED0CEA">
            <w:pPr>
              <w:pStyle w:val="57"/>
              <w:jc w:val="center"/>
            </w:pPr>
            <w:r>
              <w:t>泰州海陵区</w:t>
            </w:r>
          </w:p>
        </w:tc>
        <w:tc>
          <w:tcPr>
            <w:tcW w:w="992" w:type="pct"/>
            <w:vAlign w:val="center"/>
          </w:tcPr>
          <w:p w14:paraId="530E032A">
            <w:pPr>
              <w:pStyle w:val="57"/>
              <w:jc w:val="center"/>
              <w:rPr>
                <w:sz w:val="22"/>
                <w:szCs w:val="22"/>
              </w:rPr>
            </w:pPr>
            <w:r>
              <w:rPr>
                <w:sz w:val="22"/>
                <w:szCs w:val="22"/>
              </w:rPr>
              <w:t>4.0</w:t>
            </w:r>
          </w:p>
        </w:tc>
        <w:tc>
          <w:tcPr>
            <w:tcW w:w="755" w:type="pct"/>
            <w:shd w:val="clear" w:color="auto" w:fill="auto"/>
            <w:noWrap/>
            <w:vAlign w:val="center"/>
          </w:tcPr>
          <w:p w14:paraId="16EEE16A">
            <w:pPr>
              <w:pStyle w:val="57"/>
              <w:jc w:val="center"/>
              <w:rPr>
                <w:sz w:val="22"/>
                <w:szCs w:val="22"/>
              </w:rPr>
            </w:pPr>
            <w:r>
              <w:rPr>
                <w:sz w:val="22"/>
                <w:szCs w:val="22"/>
              </w:rPr>
              <w:t>县级河流</w:t>
            </w:r>
          </w:p>
        </w:tc>
      </w:tr>
      <w:tr w14:paraId="651E5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135ED560">
            <w:pPr>
              <w:pStyle w:val="57"/>
              <w:jc w:val="center"/>
              <w:rPr>
                <w:sz w:val="22"/>
                <w:szCs w:val="22"/>
              </w:rPr>
            </w:pPr>
            <w:r>
              <w:rPr>
                <w:sz w:val="22"/>
                <w:szCs w:val="22"/>
              </w:rPr>
              <w:t>77</w:t>
            </w:r>
          </w:p>
        </w:tc>
        <w:tc>
          <w:tcPr>
            <w:tcW w:w="1212" w:type="pct"/>
            <w:shd w:val="clear" w:color="auto" w:fill="auto"/>
            <w:noWrap/>
            <w:vAlign w:val="center"/>
          </w:tcPr>
          <w:p w14:paraId="7DD96ED3">
            <w:pPr>
              <w:pStyle w:val="57"/>
              <w:jc w:val="center"/>
              <w:rPr>
                <w:sz w:val="22"/>
                <w:szCs w:val="22"/>
              </w:rPr>
            </w:pPr>
            <w:r>
              <w:rPr>
                <w:sz w:val="22"/>
                <w:szCs w:val="22"/>
              </w:rPr>
              <w:t>社道河</w:t>
            </w:r>
          </w:p>
        </w:tc>
        <w:tc>
          <w:tcPr>
            <w:tcW w:w="1641" w:type="pct"/>
            <w:vAlign w:val="center"/>
          </w:tcPr>
          <w:p w14:paraId="1CAACC6D">
            <w:pPr>
              <w:pStyle w:val="57"/>
              <w:jc w:val="center"/>
            </w:pPr>
            <w:r>
              <w:t>泰州海陵区</w:t>
            </w:r>
          </w:p>
        </w:tc>
        <w:tc>
          <w:tcPr>
            <w:tcW w:w="992" w:type="pct"/>
            <w:vAlign w:val="center"/>
          </w:tcPr>
          <w:p w14:paraId="2C1B38D0">
            <w:pPr>
              <w:pStyle w:val="57"/>
              <w:jc w:val="center"/>
              <w:rPr>
                <w:sz w:val="22"/>
                <w:szCs w:val="22"/>
              </w:rPr>
            </w:pPr>
            <w:r>
              <w:rPr>
                <w:sz w:val="22"/>
                <w:szCs w:val="22"/>
              </w:rPr>
              <w:t>4.0</w:t>
            </w:r>
          </w:p>
        </w:tc>
        <w:tc>
          <w:tcPr>
            <w:tcW w:w="755" w:type="pct"/>
            <w:shd w:val="clear" w:color="auto" w:fill="auto"/>
            <w:noWrap/>
            <w:vAlign w:val="center"/>
          </w:tcPr>
          <w:p w14:paraId="7F53A79A">
            <w:pPr>
              <w:pStyle w:val="57"/>
              <w:jc w:val="center"/>
              <w:rPr>
                <w:sz w:val="22"/>
                <w:szCs w:val="22"/>
              </w:rPr>
            </w:pPr>
            <w:r>
              <w:rPr>
                <w:sz w:val="22"/>
                <w:szCs w:val="22"/>
              </w:rPr>
              <w:t>县级河流</w:t>
            </w:r>
          </w:p>
        </w:tc>
      </w:tr>
      <w:tr w14:paraId="51C26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0428DBFF">
            <w:pPr>
              <w:pStyle w:val="57"/>
              <w:jc w:val="center"/>
              <w:rPr>
                <w:sz w:val="22"/>
                <w:szCs w:val="22"/>
              </w:rPr>
            </w:pPr>
            <w:r>
              <w:rPr>
                <w:sz w:val="22"/>
                <w:szCs w:val="22"/>
              </w:rPr>
              <w:t>78</w:t>
            </w:r>
          </w:p>
        </w:tc>
        <w:tc>
          <w:tcPr>
            <w:tcW w:w="1212" w:type="pct"/>
            <w:shd w:val="clear" w:color="auto" w:fill="auto"/>
            <w:noWrap/>
            <w:vAlign w:val="center"/>
          </w:tcPr>
          <w:p w14:paraId="79F0A083">
            <w:pPr>
              <w:pStyle w:val="57"/>
              <w:jc w:val="center"/>
              <w:rPr>
                <w:sz w:val="22"/>
                <w:szCs w:val="22"/>
              </w:rPr>
            </w:pPr>
            <w:r>
              <w:rPr>
                <w:sz w:val="22"/>
                <w:szCs w:val="22"/>
              </w:rPr>
              <w:t>盐河</w:t>
            </w:r>
          </w:p>
        </w:tc>
        <w:tc>
          <w:tcPr>
            <w:tcW w:w="1641" w:type="pct"/>
            <w:vAlign w:val="center"/>
          </w:tcPr>
          <w:p w14:paraId="13F38CC4">
            <w:pPr>
              <w:pStyle w:val="57"/>
              <w:jc w:val="center"/>
            </w:pPr>
            <w:r>
              <w:t>泰州海陵区</w:t>
            </w:r>
          </w:p>
        </w:tc>
        <w:tc>
          <w:tcPr>
            <w:tcW w:w="992" w:type="pct"/>
            <w:vAlign w:val="center"/>
          </w:tcPr>
          <w:p w14:paraId="3DC435C7">
            <w:pPr>
              <w:pStyle w:val="57"/>
              <w:jc w:val="center"/>
              <w:rPr>
                <w:sz w:val="22"/>
                <w:szCs w:val="22"/>
              </w:rPr>
            </w:pPr>
            <w:r>
              <w:rPr>
                <w:sz w:val="22"/>
                <w:szCs w:val="22"/>
              </w:rPr>
              <w:t>3.2</w:t>
            </w:r>
          </w:p>
        </w:tc>
        <w:tc>
          <w:tcPr>
            <w:tcW w:w="755" w:type="pct"/>
            <w:shd w:val="clear" w:color="auto" w:fill="auto"/>
            <w:noWrap/>
            <w:vAlign w:val="center"/>
          </w:tcPr>
          <w:p w14:paraId="028DA699">
            <w:pPr>
              <w:pStyle w:val="57"/>
              <w:jc w:val="center"/>
              <w:rPr>
                <w:sz w:val="22"/>
                <w:szCs w:val="22"/>
              </w:rPr>
            </w:pPr>
            <w:r>
              <w:rPr>
                <w:sz w:val="22"/>
                <w:szCs w:val="22"/>
              </w:rPr>
              <w:t>县级河流</w:t>
            </w:r>
          </w:p>
        </w:tc>
      </w:tr>
      <w:tr w14:paraId="426A9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4280FC3E">
            <w:pPr>
              <w:pStyle w:val="57"/>
              <w:jc w:val="center"/>
              <w:rPr>
                <w:sz w:val="22"/>
                <w:szCs w:val="22"/>
              </w:rPr>
            </w:pPr>
            <w:r>
              <w:rPr>
                <w:sz w:val="22"/>
                <w:szCs w:val="22"/>
              </w:rPr>
              <w:t>79</w:t>
            </w:r>
          </w:p>
        </w:tc>
        <w:tc>
          <w:tcPr>
            <w:tcW w:w="1212" w:type="pct"/>
            <w:shd w:val="clear" w:color="auto" w:fill="auto"/>
            <w:noWrap/>
            <w:vAlign w:val="center"/>
          </w:tcPr>
          <w:p w14:paraId="502038D6">
            <w:pPr>
              <w:pStyle w:val="57"/>
              <w:jc w:val="center"/>
              <w:rPr>
                <w:sz w:val="22"/>
                <w:szCs w:val="22"/>
              </w:rPr>
            </w:pPr>
            <w:r>
              <w:rPr>
                <w:sz w:val="22"/>
                <w:szCs w:val="22"/>
              </w:rPr>
              <w:t>苏红河</w:t>
            </w:r>
          </w:p>
        </w:tc>
        <w:tc>
          <w:tcPr>
            <w:tcW w:w="1641" w:type="pct"/>
            <w:vAlign w:val="center"/>
          </w:tcPr>
          <w:p w14:paraId="46D83B6F">
            <w:pPr>
              <w:pStyle w:val="57"/>
              <w:jc w:val="center"/>
            </w:pPr>
            <w:r>
              <w:t>泰州海陵区</w:t>
            </w:r>
          </w:p>
        </w:tc>
        <w:tc>
          <w:tcPr>
            <w:tcW w:w="992" w:type="pct"/>
            <w:vAlign w:val="center"/>
          </w:tcPr>
          <w:p w14:paraId="475889C0">
            <w:pPr>
              <w:pStyle w:val="57"/>
              <w:jc w:val="center"/>
              <w:rPr>
                <w:sz w:val="22"/>
                <w:szCs w:val="22"/>
              </w:rPr>
            </w:pPr>
            <w:r>
              <w:rPr>
                <w:sz w:val="22"/>
                <w:szCs w:val="22"/>
              </w:rPr>
              <w:t>5.1</w:t>
            </w:r>
          </w:p>
        </w:tc>
        <w:tc>
          <w:tcPr>
            <w:tcW w:w="755" w:type="pct"/>
            <w:shd w:val="clear" w:color="auto" w:fill="auto"/>
            <w:noWrap/>
            <w:vAlign w:val="center"/>
          </w:tcPr>
          <w:p w14:paraId="5276C9F0">
            <w:pPr>
              <w:pStyle w:val="57"/>
              <w:jc w:val="center"/>
              <w:rPr>
                <w:sz w:val="22"/>
                <w:szCs w:val="22"/>
              </w:rPr>
            </w:pPr>
            <w:r>
              <w:rPr>
                <w:sz w:val="22"/>
                <w:szCs w:val="22"/>
              </w:rPr>
              <w:t>县级河流</w:t>
            </w:r>
          </w:p>
        </w:tc>
      </w:tr>
      <w:tr w14:paraId="65547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58997270">
            <w:pPr>
              <w:pStyle w:val="57"/>
              <w:jc w:val="center"/>
              <w:rPr>
                <w:sz w:val="22"/>
                <w:szCs w:val="22"/>
              </w:rPr>
            </w:pPr>
            <w:r>
              <w:rPr>
                <w:sz w:val="22"/>
                <w:szCs w:val="22"/>
              </w:rPr>
              <w:t>80</w:t>
            </w:r>
          </w:p>
        </w:tc>
        <w:tc>
          <w:tcPr>
            <w:tcW w:w="1212" w:type="pct"/>
            <w:shd w:val="clear" w:color="auto" w:fill="auto"/>
            <w:noWrap/>
            <w:vAlign w:val="center"/>
          </w:tcPr>
          <w:p w14:paraId="163A416F">
            <w:pPr>
              <w:pStyle w:val="57"/>
              <w:jc w:val="center"/>
              <w:rPr>
                <w:sz w:val="22"/>
                <w:szCs w:val="22"/>
              </w:rPr>
            </w:pPr>
            <w:r>
              <w:rPr>
                <w:sz w:val="22"/>
                <w:szCs w:val="22"/>
              </w:rPr>
              <w:t>苏陈-红旗河</w:t>
            </w:r>
          </w:p>
        </w:tc>
        <w:tc>
          <w:tcPr>
            <w:tcW w:w="1641" w:type="pct"/>
            <w:vAlign w:val="center"/>
          </w:tcPr>
          <w:p w14:paraId="45FEC832">
            <w:pPr>
              <w:pStyle w:val="57"/>
              <w:jc w:val="center"/>
            </w:pPr>
            <w:r>
              <w:t>泰州海陵区</w:t>
            </w:r>
          </w:p>
        </w:tc>
        <w:tc>
          <w:tcPr>
            <w:tcW w:w="992" w:type="pct"/>
            <w:vAlign w:val="center"/>
          </w:tcPr>
          <w:p w14:paraId="1DC432BE">
            <w:pPr>
              <w:pStyle w:val="57"/>
              <w:jc w:val="center"/>
              <w:rPr>
                <w:sz w:val="22"/>
                <w:szCs w:val="22"/>
              </w:rPr>
            </w:pPr>
            <w:r>
              <w:rPr>
                <w:sz w:val="22"/>
                <w:szCs w:val="22"/>
              </w:rPr>
              <w:t>7.0</w:t>
            </w:r>
          </w:p>
        </w:tc>
        <w:tc>
          <w:tcPr>
            <w:tcW w:w="755" w:type="pct"/>
            <w:shd w:val="clear" w:color="auto" w:fill="auto"/>
            <w:noWrap/>
            <w:vAlign w:val="center"/>
          </w:tcPr>
          <w:p w14:paraId="2B2525F7">
            <w:pPr>
              <w:pStyle w:val="57"/>
              <w:jc w:val="center"/>
              <w:rPr>
                <w:sz w:val="22"/>
                <w:szCs w:val="22"/>
              </w:rPr>
            </w:pPr>
            <w:r>
              <w:rPr>
                <w:sz w:val="22"/>
                <w:szCs w:val="22"/>
              </w:rPr>
              <w:t>县级河流</w:t>
            </w:r>
          </w:p>
        </w:tc>
      </w:tr>
      <w:tr w14:paraId="7EA92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78E14AEE">
            <w:pPr>
              <w:pStyle w:val="57"/>
              <w:jc w:val="center"/>
              <w:rPr>
                <w:sz w:val="22"/>
                <w:szCs w:val="22"/>
              </w:rPr>
            </w:pPr>
            <w:r>
              <w:rPr>
                <w:sz w:val="22"/>
                <w:szCs w:val="22"/>
              </w:rPr>
              <w:t>81</w:t>
            </w:r>
          </w:p>
        </w:tc>
        <w:tc>
          <w:tcPr>
            <w:tcW w:w="1212" w:type="pct"/>
            <w:shd w:val="clear" w:color="auto" w:fill="auto"/>
            <w:noWrap/>
            <w:vAlign w:val="center"/>
          </w:tcPr>
          <w:p w14:paraId="1B2DE77C">
            <w:pPr>
              <w:pStyle w:val="57"/>
              <w:jc w:val="center"/>
              <w:rPr>
                <w:sz w:val="22"/>
                <w:szCs w:val="22"/>
              </w:rPr>
            </w:pPr>
            <w:r>
              <w:rPr>
                <w:sz w:val="22"/>
                <w:szCs w:val="22"/>
              </w:rPr>
              <w:t>查徐河</w:t>
            </w:r>
          </w:p>
        </w:tc>
        <w:tc>
          <w:tcPr>
            <w:tcW w:w="1641" w:type="pct"/>
            <w:vAlign w:val="center"/>
          </w:tcPr>
          <w:p w14:paraId="187D0DDB">
            <w:pPr>
              <w:pStyle w:val="57"/>
              <w:jc w:val="center"/>
            </w:pPr>
            <w:r>
              <w:t>泰州海陵区</w:t>
            </w:r>
          </w:p>
        </w:tc>
        <w:tc>
          <w:tcPr>
            <w:tcW w:w="992" w:type="pct"/>
            <w:vAlign w:val="center"/>
          </w:tcPr>
          <w:p w14:paraId="7942321A">
            <w:pPr>
              <w:pStyle w:val="57"/>
              <w:jc w:val="center"/>
              <w:rPr>
                <w:sz w:val="22"/>
                <w:szCs w:val="22"/>
              </w:rPr>
            </w:pPr>
            <w:r>
              <w:rPr>
                <w:sz w:val="22"/>
                <w:szCs w:val="22"/>
              </w:rPr>
              <w:t>1.2</w:t>
            </w:r>
          </w:p>
        </w:tc>
        <w:tc>
          <w:tcPr>
            <w:tcW w:w="755" w:type="pct"/>
            <w:shd w:val="clear" w:color="auto" w:fill="auto"/>
            <w:noWrap/>
            <w:vAlign w:val="center"/>
          </w:tcPr>
          <w:p w14:paraId="194DF069">
            <w:pPr>
              <w:pStyle w:val="57"/>
              <w:jc w:val="center"/>
              <w:rPr>
                <w:sz w:val="22"/>
                <w:szCs w:val="22"/>
              </w:rPr>
            </w:pPr>
            <w:r>
              <w:rPr>
                <w:sz w:val="22"/>
                <w:szCs w:val="22"/>
              </w:rPr>
              <w:t>县级河流</w:t>
            </w:r>
          </w:p>
        </w:tc>
      </w:tr>
      <w:tr w14:paraId="66D95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7B31726F">
            <w:pPr>
              <w:pStyle w:val="57"/>
              <w:jc w:val="center"/>
              <w:rPr>
                <w:sz w:val="22"/>
                <w:szCs w:val="22"/>
              </w:rPr>
            </w:pPr>
            <w:r>
              <w:rPr>
                <w:sz w:val="22"/>
                <w:szCs w:val="22"/>
              </w:rPr>
              <w:t>82</w:t>
            </w:r>
          </w:p>
        </w:tc>
        <w:tc>
          <w:tcPr>
            <w:tcW w:w="1212" w:type="pct"/>
            <w:shd w:val="clear" w:color="auto" w:fill="auto"/>
            <w:noWrap/>
            <w:vAlign w:val="center"/>
          </w:tcPr>
          <w:p w14:paraId="4EBB83CB">
            <w:pPr>
              <w:pStyle w:val="57"/>
              <w:jc w:val="center"/>
              <w:rPr>
                <w:sz w:val="22"/>
                <w:szCs w:val="22"/>
              </w:rPr>
            </w:pPr>
            <w:r>
              <w:rPr>
                <w:sz w:val="22"/>
                <w:szCs w:val="22"/>
              </w:rPr>
              <w:t>大寨河-苏陈</w:t>
            </w:r>
          </w:p>
        </w:tc>
        <w:tc>
          <w:tcPr>
            <w:tcW w:w="1641" w:type="pct"/>
            <w:vAlign w:val="center"/>
          </w:tcPr>
          <w:p w14:paraId="2B2000D1">
            <w:pPr>
              <w:pStyle w:val="57"/>
              <w:jc w:val="center"/>
            </w:pPr>
            <w:r>
              <w:t>泰州海陵区</w:t>
            </w:r>
          </w:p>
        </w:tc>
        <w:tc>
          <w:tcPr>
            <w:tcW w:w="992" w:type="pct"/>
            <w:vAlign w:val="center"/>
          </w:tcPr>
          <w:p w14:paraId="66CF3C37">
            <w:pPr>
              <w:pStyle w:val="57"/>
              <w:jc w:val="center"/>
              <w:rPr>
                <w:sz w:val="22"/>
                <w:szCs w:val="22"/>
              </w:rPr>
            </w:pPr>
            <w:r>
              <w:rPr>
                <w:sz w:val="22"/>
                <w:szCs w:val="22"/>
              </w:rPr>
              <w:t>2.5</w:t>
            </w:r>
          </w:p>
        </w:tc>
        <w:tc>
          <w:tcPr>
            <w:tcW w:w="755" w:type="pct"/>
            <w:shd w:val="clear" w:color="auto" w:fill="auto"/>
            <w:noWrap/>
            <w:vAlign w:val="center"/>
          </w:tcPr>
          <w:p w14:paraId="10C6DD5A">
            <w:pPr>
              <w:pStyle w:val="57"/>
              <w:jc w:val="center"/>
              <w:rPr>
                <w:sz w:val="22"/>
                <w:szCs w:val="22"/>
              </w:rPr>
            </w:pPr>
            <w:r>
              <w:rPr>
                <w:sz w:val="22"/>
                <w:szCs w:val="22"/>
              </w:rPr>
              <w:t>县级河流</w:t>
            </w:r>
          </w:p>
        </w:tc>
      </w:tr>
      <w:tr w14:paraId="09A0A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12D7A8C0">
            <w:pPr>
              <w:pStyle w:val="57"/>
              <w:jc w:val="center"/>
              <w:rPr>
                <w:sz w:val="22"/>
                <w:szCs w:val="22"/>
              </w:rPr>
            </w:pPr>
            <w:r>
              <w:rPr>
                <w:sz w:val="22"/>
                <w:szCs w:val="22"/>
              </w:rPr>
              <w:t>83</w:t>
            </w:r>
          </w:p>
        </w:tc>
        <w:tc>
          <w:tcPr>
            <w:tcW w:w="1212" w:type="pct"/>
            <w:shd w:val="clear" w:color="auto" w:fill="auto"/>
            <w:noWrap/>
            <w:vAlign w:val="center"/>
          </w:tcPr>
          <w:p w14:paraId="4A9CFB1C">
            <w:pPr>
              <w:pStyle w:val="57"/>
              <w:jc w:val="center"/>
              <w:rPr>
                <w:sz w:val="22"/>
                <w:szCs w:val="22"/>
              </w:rPr>
            </w:pPr>
            <w:r>
              <w:rPr>
                <w:sz w:val="22"/>
                <w:szCs w:val="22"/>
              </w:rPr>
              <w:t>大寨河-京泰路</w:t>
            </w:r>
          </w:p>
        </w:tc>
        <w:tc>
          <w:tcPr>
            <w:tcW w:w="1641" w:type="pct"/>
            <w:vAlign w:val="center"/>
          </w:tcPr>
          <w:p w14:paraId="538DD300">
            <w:pPr>
              <w:pStyle w:val="57"/>
              <w:jc w:val="center"/>
            </w:pPr>
            <w:r>
              <w:t>泰州海陵区</w:t>
            </w:r>
          </w:p>
        </w:tc>
        <w:tc>
          <w:tcPr>
            <w:tcW w:w="992" w:type="pct"/>
            <w:vAlign w:val="center"/>
          </w:tcPr>
          <w:p w14:paraId="212C66BC">
            <w:pPr>
              <w:pStyle w:val="57"/>
              <w:jc w:val="center"/>
              <w:rPr>
                <w:sz w:val="22"/>
                <w:szCs w:val="22"/>
              </w:rPr>
            </w:pPr>
            <w:r>
              <w:rPr>
                <w:sz w:val="22"/>
                <w:szCs w:val="22"/>
              </w:rPr>
              <w:t>4.4</w:t>
            </w:r>
          </w:p>
        </w:tc>
        <w:tc>
          <w:tcPr>
            <w:tcW w:w="755" w:type="pct"/>
            <w:shd w:val="clear" w:color="auto" w:fill="auto"/>
            <w:noWrap/>
            <w:vAlign w:val="center"/>
          </w:tcPr>
          <w:p w14:paraId="64F00361">
            <w:pPr>
              <w:pStyle w:val="57"/>
              <w:jc w:val="center"/>
              <w:rPr>
                <w:sz w:val="22"/>
                <w:szCs w:val="22"/>
              </w:rPr>
            </w:pPr>
            <w:r>
              <w:rPr>
                <w:sz w:val="22"/>
                <w:szCs w:val="22"/>
              </w:rPr>
              <w:t>县级河流</w:t>
            </w:r>
          </w:p>
        </w:tc>
      </w:tr>
      <w:tr w14:paraId="47279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0FB94ABE">
            <w:pPr>
              <w:pStyle w:val="57"/>
              <w:jc w:val="center"/>
              <w:rPr>
                <w:sz w:val="22"/>
                <w:szCs w:val="22"/>
              </w:rPr>
            </w:pPr>
            <w:r>
              <w:rPr>
                <w:sz w:val="22"/>
                <w:szCs w:val="22"/>
              </w:rPr>
              <w:t>84</w:t>
            </w:r>
          </w:p>
        </w:tc>
        <w:tc>
          <w:tcPr>
            <w:tcW w:w="1212" w:type="pct"/>
            <w:shd w:val="clear" w:color="auto" w:fill="auto"/>
            <w:noWrap/>
            <w:vAlign w:val="center"/>
          </w:tcPr>
          <w:p w14:paraId="21799B0F">
            <w:pPr>
              <w:pStyle w:val="57"/>
              <w:jc w:val="center"/>
              <w:rPr>
                <w:sz w:val="22"/>
                <w:szCs w:val="22"/>
              </w:rPr>
            </w:pPr>
            <w:r>
              <w:rPr>
                <w:sz w:val="22"/>
                <w:szCs w:val="22"/>
              </w:rPr>
              <w:t>前进河-苏陈</w:t>
            </w:r>
          </w:p>
        </w:tc>
        <w:tc>
          <w:tcPr>
            <w:tcW w:w="1641" w:type="pct"/>
            <w:vAlign w:val="center"/>
          </w:tcPr>
          <w:p w14:paraId="31091317">
            <w:pPr>
              <w:pStyle w:val="57"/>
              <w:jc w:val="center"/>
            </w:pPr>
            <w:r>
              <w:t>泰州海陵区</w:t>
            </w:r>
          </w:p>
        </w:tc>
        <w:tc>
          <w:tcPr>
            <w:tcW w:w="992" w:type="pct"/>
            <w:vAlign w:val="center"/>
          </w:tcPr>
          <w:p w14:paraId="2AF0BE3B">
            <w:pPr>
              <w:pStyle w:val="57"/>
              <w:jc w:val="center"/>
              <w:rPr>
                <w:sz w:val="22"/>
                <w:szCs w:val="22"/>
              </w:rPr>
            </w:pPr>
            <w:r>
              <w:rPr>
                <w:sz w:val="22"/>
                <w:szCs w:val="22"/>
              </w:rPr>
              <w:t>1.5</w:t>
            </w:r>
          </w:p>
        </w:tc>
        <w:tc>
          <w:tcPr>
            <w:tcW w:w="755" w:type="pct"/>
            <w:shd w:val="clear" w:color="auto" w:fill="auto"/>
            <w:noWrap/>
            <w:vAlign w:val="center"/>
          </w:tcPr>
          <w:p w14:paraId="59B9B661">
            <w:pPr>
              <w:pStyle w:val="57"/>
              <w:jc w:val="center"/>
              <w:rPr>
                <w:sz w:val="22"/>
                <w:szCs w:val="22"/>
              </w:rPr>
            </w:pPr>
            <w:r>
              <w:rPr>
                <w:sz w:val="22"/>
                <w:szCs w:val="22"/>
              </w:rPr>
              <w:t>县级河流</w:t>
            </w:r>
          </w:p>
        </w:tc>
      </w:tr>
      <w:tr w14:paraId="1D903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714BA101">
            <w:pPr>
              <w:pStyle w:val="57"/>
              <w:jc w:val="center"/>
              <w:rPr>
                <w:sz w:val="22"/>
                <w:szCs w:val="22"/>
              </w:rPr>
            </w:pPr>
            <w:r>
              <w:rPr>
                <w:sz w:val="22"/>
                <w:szCs w:val="22"/>
              </w:rPr>
              <w:t>85</w:t>
            </w:r>
          </w:p>
        </w:tc>
        <w:tc>
          <w:tcPr>
            <w:tcW w:w="1212" w:type="pct"/>
            <w:shd w:val="clear" w:color="auto" w:fill="auto"/>
            <w:noWrap/>
            <w:vAlign w:val="center"/>
          </w:tcPr>
          <w:p w14:paraId="372E1244">
            <w:pPr>
              <w:pStyle w:val="57"/>
              <w:jc w:val="center"/>
              <w:rPr>
                <w:sz w:val="22"/>
                <w:szCs w:val="22"/>
              </w:rPr>
            </w:pPr>
            <w:r>
              <w:rPr>
                <w:sz w:val="22"/>
                <w:szCs w:val="22"/>
              </w:rPr>
              <w:t>前进河-京泰路</w:t>
            </w:r>
          </w:p>
        </w:tc>
        <w:tc>
          <w:tcPr>
            <w:tcW w:w="1641" w:type="pct"/>
            <w:vAlign w:val="center"/>
          </w:tcPr>
          <w:p w14:paraId="7F810B04">
            <w:pPr>
              <w:pStyle w:val="57"/>
              <w:jc w:val="center"/>
            </w:pPr>
            <w:r>
              <w:t>泰州海陵区</w:t>
            </w:r>
          </w:p>
        </w:tc>
        <w:tc>
          <w:tcPr>
            <w:tcW w:w="992" w:type="pct"/>
            <w:vAlign w:val="center"/>
          </w:tcPr>
          <w:p w14:paraId="50316035">
            <w:pPr>
              <w:pStyle w:val="57"/>
              <w:jc w:val="center"/>
              <w:rPr>
                <w:sz w:val="22"/>
                <w:szCs w:val="22"/>
              </w:rPr>
            </w:pPr>
            <w:r>
              <w:rPr>
                <w:sz w:val="22"/>
                <w:szCs w:val="22"/>
              </w:rPr>
              <w:t>2.4</w:t>
            </w:r>
          </w:p>
        </w:tc>
        <w:tc>
          <w:tcPr>
            <w:tcW w:w="755" w:type="pct"/>
            <w:shd w:val="clear" w:color="auto" w:fill="auto"/>
            <w:noWrap/>
            <w:vAlign w:val="center"/>
          </w:tcPr>
          <w:p w14:paraId="6B63FD25">
            <w:pPr>
              <w:pStyle w:val="57"/>
              <w:jc w:val="center"/>
              <w:rPr>
                <w:sz w:val="22"/>
                <w:szCs w:val="22"/>
              </w:rPr>
            </w:pPr>
            <w:r>
              <w:rPr>
                <w:sz w:val="22"/>
                <w:szCs w:val="22"/>
              </w:rPr>
              <w:t>县级河流</w:t>
            </w:r>
          </w:p>
        </w:tc>
      </w:tr>
      <w:tr w14:paraId="65BC9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4ABA52C5">
            <w:pPr>
              <w:pStyle w:val="57"/>
              <w:jc w:val="center"/>
              <w:rPr>
                <w:sz w:val="22"/>
                <w:szCs w:val="22"/>
              </w:rPr>
            </w:pPr>
            <w:r>
              <w:rPr>
                <w:sz w:val="22"/>
                <w:szCs w:val="22"/>
              </w:rPr>
              <w:t>86</w:t>
            </w:r>
          </w:p>
        </w:tc>
        <w:tc>
          <w:tcPr>
            <w:tcW w:w="1212" w:type="pct"/>
            <w:shd w:val="clear" w:color="auto" w:fill="auto"/>
            <w:noWrap/>
            <w:vAlign w:val="center"/>
          </w:tcPr>
          <w:p w14:paraId="5F27956E">
            <w:pPr>
              <w:pStyle w:val="57"/>
              <w:jc w:val="center"/>
              <w:rPr>
                <w:sz w:val="22"/>
                <w:szCs w:val="22"/>
              </w:rPr>
            </w:pPr>
            <w:r>
              <w:rPr>
                <w:sz w:val="22"/>
                <w:szCs w:val="22"/>
              </w:rPr>
              <w:t>大冯河-苏陈</w:t>
            </w:r>
          </w:p>
        </w:tc>
        <w:tc>
          <w:tcPr>
            <w:tcW w:w="1641" w:type="pct"/>
            <w:vAlign w:val="center"/>
          </w:tcPr>
          <w:p w14:paraId="14706E8A">
            <w:pPr>
              <w:pStyle w:val="57"/>
              <w:jc w:val="center"/>
            </w:pPr>
            <w:r>
              <w:t>泰州海陵区</w:t>
            </w:r>
          </w:p>
        </w:tc>
        <w:tc>
          <w:tcPr>
            <w:tcW w:w="992" w:type="pct"/>
            <w:vAlign w:val="center"/>
          </w:tcPr>
          <w:p w14:paraId="4EC45B3A">
            <w:pPr>
              <w:pStyle w:val="57"/>
              <w:jc w:val="center"/>
              <w:rPr>
                <w:sz w:val="22"/>
                <w:szCs w:val="22"/>
              </w:rPr>
            </w:pPr>
            <w:r>
              <w:rPr>
                <w:sz w:val="22"/>
                <w:szCs w:val="22"/>
              </w:rPr>
              <w:t>2.5</w:t>
            </w:r>
          </w:p>
        </w:tc>
        <w:tc>
          <w:tcPr>
            <w:tcW w:w="755" w:type="pct"/>
            <w:shd w:val="clear" w:color="auto" w:fill="auto"/>
            <w:noWrap/>
            <w:vAlign w:val="center"/>
          </w:tcPr>
          <w:p w14:paraId="2A815055">
            <w:pPr>
              <w:pStyle w:val="57"/>
              <w:jc w:val="center"/>
              <w:rPr>
                <w:sz w:val="22"/>
                <w:szCs w:val="22"/>
              </w:rPr>
            </w:pPr>
            <w:r>
              <w:rPr>
                <w:sz w:val="22"/>
                <w:szCs w:val="22"/>
              </w:rPr>
              <w:t>县级河流</w:t>
            </w:r>
          </w:p>
        </w:tc>
      </w:tr>
      <w:tr w14:paraId="495A0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2AB404A8">
            <w:pPr>
              <w:pStyle w:val="57"/>
              <w:jc w:val="center"/>
              <w:rPr>
                <w:sz w:val="22"/>
                <w:szCs w:val="22"/>
              </w:rPr>
            </w:pPr>
            <w:r>
              <w:rPr>
                <w:sz w:val="22"/>
                <w:szCs w:val="22"/>
              </w:rPr>
              <w:t>87</w:t>
            </w:r>
          </w:p>
        </w:tc>
        <w:tc>
          <w:tcPr>
            <w:tcW w:w="1212" w:type="pct"/>
            <w:shd w:val="clear" w:color="auto" w:fill="auto"/>
            <w:noWrap/>
            <w:vAlign w:val="center"/>
          </w:tcPr>
          <w:p w14:paraId="20D0FC22">
            <w:pPr>
              <w:pStyle w:val="57"/>
              <w:jc w:val="center"/>
              <w:rPr>
                <w:sz w:val="22"/>
                <w:szCs w:val="22"/>
              </w:rPr>
            </w:pPr>
            <w:r>
              <w:rPr>
                <w:sz w:val="22"/>
                <w:szCs w:val="22"/>
              </w:rPr>
              <w:t>大冯河-京泰路</w:t>
            </w:r>
          </w:p>
        </w:tc>
        <w:tc>
          <w:tcPr>
            <w:tcW w:w="1641" w:type="pct"/>
            <w:vAlign w:val="center"/>
          </w:tcPr>
          <w:p w14:paraId="2AB4A0D8">
            <w:pPr>
              <w:pStyle w:val="57"/>
              <w:jc w:val="center"/>
            </w:pPr>
            <w:r>
              <w:t>泰州海陵区</w:t>
            </w:r>
          </w:p>
        </w:tc>
        <w:tc>
          <w:tcPr>
            <w:tcW w:w="992" w:type="pct"/>
            <w:vAlign w:val="center"/>
          </w:tcPr>
          <w:p w14:paraId="68FBC1DB">
            <w:pPr>
              <w:pStyle w:val="57"/>
              <w:jc w:val="center"/>
              <w:rPr>
                <w:sz w:val="22"/>
                <w:szCs w:val="22"/>
              </w:rPr>
            </w:pPr>
            <w:r>
              <w:rPr>
                <w:sz w:val="22"/>
                <w:szCs w:val="22"/>
              </w:rPr>
              <w:t>2.7</w:t>
            </w:r>
          </w:p>
        </w:tc>
        <w:tc>
          <w:tcPr>
            <w:tcW w:w="755" w:type="pct"/>
            <w:shd w:val="clear" w:color="auto" w:fill="auto"/>
            <w:noWrap/>
            <w:vAlign w:val="center"/>
          </w:tcPr>
          <w:p w14:paraId="02DFBA52">
            <w:pPr>
              <w:pStyle w:val="57"/>
              <w:jc w:val="center"/>
              <w:rPr>
                <w:sz w:val="22"/>
                <w:szCs w:val="22"/>
              </w:rPr>
            </w:pPr>
            <w:r>
              <w:rPr>
                <w:sz w:val="22"/>
                <w:szCs w:val="22"/>
              </w:rPr>
              <w:t>县级河流</w:t>
            </w:r>
          </w:p>
        </w:tc>
      </w:tr>
      <w:tr w14:paraId="680DC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48F4DB33">
            <w:pPr>
              <w:pStyle w:val="57"/>
              <w:jc w:val="center"/>
              <w:rPr>
                <w:sz w:val="22"/>
                <w:szCs w:val="22"/>
              </w:rPr>
            </w:pPr>
            <w:r>
              <w:rPr>
                <w:sz w:val="22"/>
                <w:szCs w:val="22"/>
              </w:rPr>
              <w:t>88</w:t>
            </w:r>
          </w:p>
        </w:tc>
        <w:tc>
          <w:tcPr>
            <w:tcW w:w="1212" w:type="pct"/>
            <w:shd w:val="clear" w:color="auto" w:fill="auto"/>
            <w:noWrap/>
            <w:vAlign w:val="center"/>
          </w:tcPr>
          <w:p w14:paraId="3A4A3632">
            <w:pPr>
              <w:pStyle w:val="57"/>
              <w:jc w:val="center"/>
              <w:rPr>
                <w:sz w:val="22"/>
                <w:szCs w:val="22"/>
              </w:rPr>
            </w:pPr>
            <w:r>
              <w:rPr>
                <w:sz w:val="22"/>
                <w:szCs w:val="22"/>
              </w:rPr>
              <w:t>九里桥河</w:t>
            </w:r>
          </w:p>
        </w:tc>
        <w:tc>
          <w:tcPr>
            <w:tcW w:w="1641" w:type="pct"/>
            <w:vAlign w:val="center"/>
          </w:tcPr>
          <w:p w14:paraId="6DEDB21E">
            <w:pPr>
              <w:pStyle w:val="57"/>
              <w:jc w:val="center"/>
            </w:pPr>
            <w:r>
              <w:t>泰州海陵区</w:t>
            </w:r>
          </w:p>
        </w:tc>
        <w:tc>
          <w:tcPr>
            <w:tcW w:w="992" w:type="pct"/>
            <w:vAlign w:val="center"/>
          </w:tcPr>
          <w:p w14:paraId="7832C56F">
            <w:pPr>
              <w:pStyle w:val="57"/>
              <w:jc w:val="center"/>
              <w:rPr>
                <w:sz w:val="22"/>
                <w:szCs w:val="22"/>
              </w:rPr>
            </w:pPr>
            <w:r>
              <w:rPr>
                <w:sz w:val="22"/>
                <w:szCs w:val="22"/>
              </w:rPr>
              <w:t>3.1</w:t>
            </w:r>
          </w:p>
        </w:tc>
        <w:tc>
          <w:tcPr>
            <w:tcW w:w="755" w:type="pct"/>
            <w:shd w:val="clear" w:color="auto" w:fill="auto"/>
            <w:noWrap/>
            <w:vAlign w:val="center"/>
          </w:tcPr>
          <w:p w14:paraId="3EC0275A">
            <w:pPr>
              <w:pStyle w:val="57"/>
              <w:jc w:val="center"/>
              <w:rPr>
                <w:sz w:val="22"/>
                <w:szCs w:val="22"/>
              </w:rPr>
            </w:pPr>
            <w:r>
              <w:rPr>
                <w:sz w:val="22"/>
                <w:szCs w:val="22"/>
              </w:rPr>
              <w:t>县级河流</w:t>
            </w:r>
          </w:p>
        </w:tc>
      </w:tr>
      <w:tr w14:paraId="0A73A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3E3B9E4F">
            <w:pPr>
              <w:pStyle w:val="57"/>
              <w:jc w:val="center"/>
              <w:rPr>
                <w:sz w:val="22"/>
                <w:szCs w:val="22"/>
              </w:rPr>
            </w:pPr>
            <w:r>
              <w:rPr>
                <w:sz w:val="22"/>
                <w:szCs w:val="22"/>
              </w:rPr>
              <w:t>89</w:t>
            </w:r>
          </w:p>
        </w:tc>
        <w:tc>
          <w:tcPr>
            <w:tcW w:w="1212" w:type="pct"/>
            <w:shd w:val="clear" w:color="auto" w:fill="auto"/>
            <w:noWrap/>
            <w:vAlign w:val="center"/>
          </w:tcPr>
          <w:p w14:paraId="16480469">
            <w:pPr>
              <w:pStyle w:val="57"/>
              <w:jc w:val="center"/>
              <w:rPr>
                <w:sz w:val="22"/>
                <w:szCs w:val="22"/>
              </w:rPr>
            </w:pPr>
            <w:r>
              <w:rPr>
                <w:sz w:val="22"/>
                <w:szCs w:val="22"/>
              </w:rPr>
              <w:t>翻身河</w:t>
            </w:r>
          </w:p>
        </w:tc>
        <w:tc>
          <w:tcPr>
            <w:tcW w:w="1641" w:type="pct"/>
            <w:vAlign w:val="center"/>
          </w:tcPr>
          <w:p w14:paraId="1C711D8E">
            <w:pPr>
              <w:pStyle w:val="57"/>
              <w:jc w:val="center"/>
            </w:pPr>
            <w:r>
              <w:t>泰州海陵区</w:t>
            </w:r>
          </w:p>
        </w:tc>
        <w:tc>
          <w:tcPr>
            <w:tcW w:w="992" w:type="pct"/>
            <w:vAlign w:val="center"/>
          </w:tcPr>
          <w:p w14:paraId="5A3E7E7A">
            <w:pPr>
              <w:pStyle w:val="57"/>
              <w:jc w:val="center"/>
              <w:rPr>
                <w:sz w:val="22"/>
                <w:szCs w:val="22"/>
              </w:rPr>
            </w:pPr>
            <w:r>
              <w:rPr>
                <w:sz w:val="22"/>
                <w:szCs w:val="22"/>
              </w:rPr>
              <w:t>2.3</w:t>
            </w:r>
          </w:p>
        </w:tc>
        <w:tc>
          <w:tcPr>
            <w:tcW w:w="755" w:type="pct"/>
            <w:shd w:val="clear" w:color="auto" w:fill="auto"/>
            <w:noWrap/>
            <w:vAlign w:val="center"/>
          </w:tcPr>
          <w:p w14:paraId="7CB5B2A9">
            <w:pPr>
              <w:pStyle w:val="57"/>
              <w:jc w:val="center"/>
              <w:rPr>
                <w:sz w:val="22"/>
                <w:szCs w:val="22"/>
              </w:rPr>
            </w:pPr>
            <w:r>
              <w:rPr>
                <w:sz w:val="22"/>
                <w:szCs w:val="22"/>
              </w:rPr>
              <w:t>县级河流</w:t>
            </w:r>
          </w:p>
        </w:tc>
      </w:tr>
      <w:tr w14:paraId="1936A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02C6E53C">
            <w:pPr>
              <w:pStyle w:val="57"/>
              <w:jc w:val="center"/>
              <w:rPr>
                <w:sz w:val="22"/>
                <w:szCs w:val="22"/>
              </w:rPr>
            </w:pPr>
            <w:r>
              <w:rPr>
                <w:sz w:val="22"/>
                <w:szCs w:val="22"/>
              </w:rPr>
              <w:t>90</w:t>
            </w:r>
          </w:p>
        </w:tc>
        <w:tc>
          <w:tcPr>
            <w:tcW w:w="1212" w:type="pct"/>
            <w:shd w:val="clear" w:color="auto" w:fill="auto"/>
            <w:noWrap/>
            <w:vAlign w:val="center"/>
          </w:tcPr>
          <w:p w14:paraId="30AC0B01">
            <w:pPr>
              <w:pStyle w:val="57"/>
              <w:jc w:val="center"/>
              <w:rPr>
                <w:sz w:val="22"/>
                <w:szCs w:val="22"/>
              </w:rPr>
            </w:pPr>
            <w:r>
              <w:rPr>
                <w:sz w:val="22"/>
                <w:szCs w:val="22"/>
              </w:rPr>
              <w:t>七里桥河</w:t>
            </w:r>
          </w:p>
        </w:tc>
        <w:tc>
          <w:tcPr>
            <w:tcW w:w="1641" w:type="pct"/>
            <w:vAlign w:val="center"/>
          </w:tcPr>
          <w:p w14:paraId="02BB2008">
            <w:pPr>
              <w:pStyle w:val="57"/>
              <w:jc w:val="center"/>
            </w:pPr>
            <w:r>
              <w:t>泰州海陵区</w:t>
            </w:r>
          </w:p>
        </w:tc>
        <w:tc>
          <w:tcPr>
            <w:tcW w:w="992" w:type="pct"/>
            <w:vAlign w:val="center"/>
          </w:tcPr>
          <w:p w14:paraId="78B016DC">
            <w:pPr>
              <w:pStyle w:val="57"/>
              <w:jc w:val="center"/>
              <w:rPr>
                <w:sz w:val="22"/>
                <w:szCs w:val="22"/>
              </w:rPr>
            </w:pPr>
            <w:r>
              <w:rPr>
                <w:sz w:val="22"/>
                <w:szCs w:val="22"/>
              </w:rPr>
              <w:t>7.0</w:t>
            </w:r>
          </w:p>
        </w:tc>
        <w:tc>
          <w:tcPr>
            <w:tcW w:w="755" w:type="pct"/>
            <w:shd w:val="clear" w:color="auto" w:fill="auto"/>
            <w:noWrap/>
            <w:vAlign w:val="center"/>
          </w:tcPr>
          <w:p w14:paraId="3E9C73A6">
            <w:pPr>
              <w:pStyle w:val="57"/>
              <w:jc w:val="center"/>
              <w:rPr>
                <w:sz w:val="22"/>
                <w:szCs w:val="22"/>
              </w:rPr>
            </w:pPr>
            <w:r>
              <w:rPr>
                <w:sz w:val="22"/>
                <w:szCs w:val="22"/>
              </w:rPr>
              <w:t>县级河流</w:t>
            </w:r>
          </w:p>
        </w:tc>
      </w:tr>
      <w:tr w14:paraId="5AE7C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48D5C075">
            <w:pPr>
              <w:pStyle w:val="57"/>
              <w:jc w:val="center"/>
              <w:rPr>
                <w:sz w:val="22"/>
                <w:szCs w:val="22"/>
              </w:rPr>
            </w:pPr>
            <w:r>
              <w:rPr>
                <w:sz w:val="22"/>
                <w:szCs w:val="22"/>
              </w:rPr>
              <w:t>91</w:t>
            </w:r>
          </w:p>
        </w:tc>
        <w:tc>
          <w:tcPr>
            <w:tcW w:w="1212" w:type="pct"/>
            <w:shd w:val="clear" w:color="auto" w:fill="auto"/>
            <w:noWrap/>
            <w:vAlign w:val="center"/>
          </w:tcPr>
          <w:p w14:paraId="7DF5A660">
            <w:pPr>
              <w:pStyle w:val="57"/>
              <w:jc w:val="center"/>
              <w:rPr>
                <w:sz w:val="22"/>
                <w:szCs w:val="22"/>
              </w:rPr>
            </w:pPr>
            <w:r>
              <w:rPr>
                <w:sz w:val="22"/>
                <w:szCs w:val="22"/>
              </w:rPr>
              <w:t>朱新河</w:t>
            </w:r>
          </w:p>
        </w:tc>
        <w:tc>
          <w:tcPr>
            <w:tcW w:w="1641" w:type="pct"/>
            <w:vAlign w:val="center"/>
          </w:tcPr>
          <w:p w14:paraId="2943C221">
            <w:pPr>
              <w:pStyle w:val="57"/>
              <w:jc w:val="center"/>
            </w:pPr>
            <w:r>
              <w:t>泰州海陵区</w:t>
            </w:r>
          </w:p>
        </w:tc>
        <w:tc>
          <w:tcPr>
            <w:tcW w:w="992" w:type="pct"/>
            <w:vAlign w:val="center"/>
          </w:tcPr>
          <w:p w14:paraId="674FF918">
            <w:pPr>
              <w:pStyle w:val="57"/>
              <w:jc w:val="center"/>
              <w:rPr>
                <w:sz w:val="22"/>
                <w:szCs w:val="22"/>
              </w:rPr>
            </w:pPr>
            <w:r>
              <w:rPr>
                <w:sz w:val="22"/>
                <w:szCs w:val="22"/>
              </w:rPr>
              <w:t>2.4</w:t>
            </w:r>
          </w:p>
        </w:tc>
        <w:tc>
          <w:tcPr>
            <w:tcW w:w="755" w:type="pct"/>
            <w:shd w:val="clear" w:color="auto" w:fill="auto"/>
            <w:noWrap/>
            <w:vAlign w:val="center"/>
          </w:tcPr>
          <w:p w14:paraId="03CA0E19">
            <w:pPr>
              <w:pStyle w:val="57"/>
              <w:jc w:val="center"/>
              <w:rPr>
                <w:sz w:val="22"/>
                <w:szCs w:val="22"/>
              </w:rPr>
            </w:pPr>
            <w:r>
              <w:rPr>
                <w:sz w:val="22"/>
                <w:szCs w:val="22"/>
              </w:rPr>
              <w:t>县级河流</w:t>
            </w:r>
          </w:p>
        </w:tc>
      </w:tr>
      <w:tr w14:paraId="603FD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6C4EB630">
            <w:pPr>
              <w:pStyle w:val="57"/>
              <w:jc w:val="center"/>
              <w:rPr>
                <w:sz w:val="22"/>
                <w:szCs w:val="22"/>
              </w:rPr>
            </w:pPr>
            <w:r>
              <w:rPr>
                <w:sz w:val="22"/>
                <w:szCs w:val="22"/>
              </w:rPr>
              <w:t>92</w:t>
            </w:r>
          </w:p>
        </w:tc>
        <w:tc>
          <w:tcPr>
            <w:tcW w:w="1212" w:type="pct"/>
            <w:shd w:val="clear" w:color="auto" w:fill="auto"/>
            <w:noWrap/>
            <w:vAlign w:val="center"/>
          </w:tcPr>
          <w:p w14:paraId="7E5249D6">
            <w:pPr>
              <w:pStyle w:val="57"/>
              <w:jc w:val="center"/>
              <w:rPr>
                <w:sz w:val="22"/>
                <w:szCs w:val="22"/>
              </w:rPr>
            </w:pPr>
            <w:r>
              <w:rPr>
                <w:sz w:val="22"/>
                <w:szCs w:val="22"/>
              </w:rPr>
              <w:t>九里沟-罡杨</w:t>
            </w:r>
          </w:p>
        </w:tc>
        <w:tc>
          <w:tcPr>
            <w:tcW w:w="1641" w:type="pct"/>
            <w:vAlign w:val="center"/>
          </w:tcPr>
          <w:p w14:paraId="35DBC980">
            <w:pPr>
              <w:pStyle w:val="57"/>
              <w:jc w:val="center"/>
            </w:pPr>
            <w:r>
              <w:t>泰州海陵区</w:t>
            </w:r>
          </w:p>
        </w:tc>
        <w:tc>
          <w:tcPr>
            <w:tcW w:w="992" w:type="pct"/>
            <w:vAlign w:val="center"/>
          </w:tcPr>
          <w:p w14:paraId="05AE2206">
            <w:pPr>
              <w:pStyle w:val="57"/>
              <w:jc w:val="center"/>
              <w:rPr>
                <w:sz w:val="22"/>
                <w:szCs w:val="22"/>
              </w:rPr>
            </w:pPr>
            <w:r>
              <w:rPr>
                <w:sz w:val="22"/>
                <w:szCs w:val="22"/>
              </w:rPr>
              <w:t>2.8</w:t>
            </w:r>
          </w:p>
        </w:tc>
        <w:tc>
          <w:tcPr>
            <w:tcW w:w="755" w:type="pct"/>
            <w:shd w:val="clear" w:color="auto" w:fill="auto"/>
            <w:noWrap/>
            <w:vAlign w:val="center"/>
          </w:tcPr>
          <w:p w14:paraId="7C66458D">
            <w:pPr>
              <w:pStyle w:val="57"/>
              <w:jc w:val="center"/>
              <w:rPr>
                <w:sz w:val="22"/>
                <w:szCs w:val="22"/>
              </w:rPr>
            </w:pPr>
            <w:r>
              <w:rPr>
                <w:sz w:val="22"/>
                <w:szCs w:val="22"/>
              </w:rPr>
              <w:t>县级河流</w:t>
            </w:r>
          </w:p>
        </w:tc>
      </w:tr>
      <w:tr w14:paraId="18E24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217A69B7">
            <w:pPr>
              <w:pStyle w:val="57"/>
              <w:jc w:val="center"/>
              <w:rPr>
                <w:sz w:val="22"/>
                <w:szCs w:val="22"/>
              </w:rPr>
            </w:pPr>
            <w:r>
              <w:rPr>
                <w:sz w:val="22"/>
                <w:szCs w:val="22"/>
              </w:rPr>
              <w:t>93</w:t>
            </w:r>
          </w:p>
        </w:tc>
        <w:tc>
          <w:tcPr>
            <w:tcW w:w="1212" w:type="pct"/>
            <w:shd w:val="clear" w:color="auto" w:fill="auto"/>
            <w:noWrap/>
            <w:vAlign w:val="center"/>
          </w:tcPr>
          <w:p w14:paraId="445278EA">
            <w:pPr>
              <w:pStyle w:val="57"/>
              <w:jc w:val="center"/>
              <w:rPr>
                <w:sz w:val="22"/>
                <w:szCs w:val="22"/>
              </w:rPr>
            </w:pPr>
            <w:r>
              <w:rPr>
                <w:sz w:val="22"/>
                <w:szCs w:val="22"/>
              </w:rPr>
              <w:t>九里沟-九龙</w:t>
            </w:r>
          </w:p>
        </w:tc>
        <w:tc>
          <w:tcPr>
            <w:tcW w:w="1641" w:type="pct"/>
            <w:vAlign w:val="center"/>
          </w:tcPr>
          <w:p w14:paraId="25DF13CB">
            <w:pPr>
              <w:pStyle w:val="57"/>
              <w:jc w:val="center"/>
            </w:pPr>
            <w:r>
              <w:t>泰州海陵区</w:t>
            </w:r>
          </w:p>
        </w:tc>
        <w:tc>
          <w:tcPr>
            <w:tcW w:w="992" w:type="pct"/>
            <w:vAlign w:val="center"/>
          </w:tcPr>
          <w:p w14:paraId="2449EA6E">
            <w:pPr>
              <w:pStyle w:val="57"/>
              <w:jc w:val="center"/>
              <w:rPr>
                <w:sz w:val="22"/>
                <w:szCs w:val="22"/>
              </w:rPr>
            </w:pPr>
            <w:r>
              <w:rPr>
                <w:sz w:val="22"/>
                <w:szCs w:val="22"/>
              </w:rPr>
              <w:t>0.6</w:t>
            </w:r>
          </w:p>
        </w:tc>
        <w:tc>
          <w:tcPr>
            <w:tcW w:w="755" w:type="pct"/>
            <w:shd w:val="clear" w:color="auto" w:fill="auto"/>
            <w:noWrap/>
            <w:vAlign w:val="center"/>
          </w:tcPr>
          <w:p w14:paraId="0B3C2EC0">
            <w:pPr>
              <w:pStyle w:val="57"/>
              <w:jc w:val="center"/>
              <w:rPr>
                <w:sz w:val="22"/>
                <w:szCs w:val="22"/>
              </w:rPr>
            </w:pPr>
            <w:r>
              <w:rPr>
                <w:sz w:val="22"/>
                <w:szCs w:val="22"/>
              </w:rPr>
              <w:t>县级河流</w:t>
            </w:r>
          </w:p>
        </w:tc>
      </w:tr>
      <w:tr w14:paraId="5AD0F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4DF5539C">
            <w:pPr>
              <w:pStyle w:val="57"/>
              <w:jc w:val="center"/>
              <w:rPr>
                <w:sz w:val="22"/>
                <w:szCs w:val="22"/>
              </w:rPr>
            </w:pPr>
            <w:r>
              <w:rPr>
                <w:sz w:val="22"/>
                <w:szCs w:val="22"/>
              </w:rPr>
              <w:t>94</w:t>
            </w:r>
          </w:p>
        </w:tc>
        <w:tc>
          <w:tcPr>
            <w:tcW w:w="1212" w:type="pct"/>
            <w:shd w:val="clear" w:color="auto" w:fill="auto"/>
            <w:noWrap/>
            <w:vAlign w:val="center"/>
          </w:tcPr>
          <w:p w14:paraId="2F7CDD25">
            <w:pPr>
              <w:pStyle w:val="57"/>
              <w:jc w:val="center"/>
              <w:rPr>
                <w:sz w:val="22"/>
                <w:szCs w:val="22"/>
              </w:rPr>
            </w:pPr>
            <w:r>
              <w:rPr>
                <w:sz w:val="22"/>
                <w:szCs w:val="22"/>
              </w:rPr>
              <w:t>九里沟-城西</w:t>
            </w:r>
          </w:p>
        </w:tc>
        <w:tc>
          <w:tcPr>
            <w:tcW w:w="1641" w:type="pct"/>
            <w:vAlign w:val="center"/>
          </w:tcPr>
          <w:p w14:paraId="0C00187D">
            <w:pPr>
              <w:pStyle w:val="57"/>
              <w:jc w:val="center"/>
            </w:pPr>
            <w:r>
              <w:t>泰州海陵区</w:t>
            </w:r>
          </w:p>
        </w:tc>
        <w:tc>
          <w:tcPr>
            <w:tcW w:w="992" w:type="pct"/>
            <w:vAlign w:val="center"/>
          </w:tcPr>
          <w:p w14:paraId="4C7F7B64">
            <w:pPr>
              <w:pStyle w:val="57"/>
              <w:jc w:val="center"/>
              <w:rPr>
                <w:sz w:val="22"/>
                <w:szCs w:val="22"/>
              </w:rPr>
            </w:pPr>
            <w:r>
              <w:rPr>
                <w:sz w:val="22"/>
                <w:szCs w:val="22"/>
              </w:rPr>
              <w:t>5.3</w:t>
            </w:r>
          </w:p>
        </w:tc>
        <w:tc>
          <w:tcPr>
            <w:tcW w:w="755" w:type="pct"/>
            <w:shd w:val="clear" w:color="auto" w:fill="auto"/>
            <w:noWrap/>
            <w:vAlign w:val="center"/>
          </w:tcPr>
          <w:p w14:paraId="6F4B2731">
            <w:pPr>
              <w:pStyle w:val="57"/>
              <w:jc w:val="center"/>
              <w:rPr>
                <w:sz w:val="22"/>
                <w:szCs w:val="22"/>
              </w:rPr>
            </w:pPr>
            <w:r>
              <w:rPr>
                <w:sz w:val="22"/>
                <w:szCs w:val="22"/>
              </w:rPr>
              <w:t>县级河流</w:t>
            </w:r>
          </w:p>
        </w:tc>
      </w:tr>
      <w:tr w14:paraId="11AE5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4B825A79">
            <w:pPr>
              <w:pStyle w:val="57"/>
              <w:jc w:val="center"/>
              <w:rPr>
                <w:sz w:val="22"/>
                <w:szCs w:val="22"/>
              </w:rPr>
            </w:pPr>
            <w:r>
              <w:rPr>
                <w:sz w:val="22"/>
                <w:szCs w:val="22"/>
              </w:rPr>
              <w:t>95</w:t>
            </w:r>
          </w:p>
        </w:tc>
        <w:tc>
          <w:tcPr>
            <w:tcW w:w="1212" w:type="pct"/>
            <w:shd w:val="clear" w:color="auto" w:fill="auto"/>
            <w:noWrap/>
            <w:vAlign w:val="center"/>
          </w:tcPr>
          <w:p w14:paraId="26892516">
            <w:pPr>
              <w:pStyle w:val="57"/>
              <w:jc w:val="center"/>
              <w:rPr>
                <w:sz w:val="22"/>
                <w:szCs w:val="22"/>
              </w:rPr>
            </w:pPr>
            <w:r>
              <w:rPr>
                <w:sz w:val="22"/>
                <w:szCs w:val="22"/>
              </w:rPr>
              <w:t>茶庵桥河</w:t>
            </w:r>
          </w:p>
        </w:tc>
        <w:tc>
          <w:tcPr>
            <w:tcW w:w="1641" w:type="pct"/>
            <w:vAlign w:val="center"/>
          </w:tcPr>
          <w:p w14:paraId="0B1E46B7">
            <w:pPr>
              <w:pStyle w:val="57"/>
              <w:jc w:val="center"/>
            </w:pPr>
            <w:r>
              <w:t>泰州海陵区</w:t>
            </w:r>
          </w:p>
        </w:tc>
        <w:tc>
          <w:tcPr>
            <w:tcW w:w="992" w:type="pct"/>
            <w:vAlign w:val="center"/>
          </w:tcPr>
          <w:p w14:paraId="0708C9B7">
            <w:pPr>
              <w:pStyle w:val="57"/>
              <w:jc w:val="center"/>
              <w:rPr>
                <w:sz w:val="22"/>
                <w:szCs w:val="22"/>
              </w:rPr>
            </w:pPr>
            <w:r>
              <w:rPr>
                <w:sz w:val="22"/>
                <w:szCs w:val="22"/>
              </w:rPr>
              <w:t>3.5</w:t>
            </w:r>
          </w:p>
        </w:tc>
        <w:tc>
          <w:tcPr>
            <w:tcW w:w="755" w:type="pct"/>
            <w:shd w:val="clear" w:color="auto" w:fill="auto"/>
            <w:noWrap/>
            <w:vAlign w:val="center"/>
          </w:tcPr>
          <w:p w14:paraId="59156131">
            <w:pPr>
              <w:pStyle w:val="57"/>
              <w:jc w:val="center"/>
              <w:rPr>
                <w:sz w:val="22"/>
                <w:szCs w:val="22"/>
              </w:rPr>
            </w:pPr>
            <w:r>
              <w:rPr>
                <w:sz w:val="22"/>
                <w:szCs w:val="22"/>
              </w:rPr>
              <w:t>县级河流</w:t>
            </w:r>
          </w:p>
        </w:tc>
      </w:tr>
      <w:tr w14:paraId="53F26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09D8161F">
            <w:pPr>
              <w:pStyle w:val="57"/>
              <w:jc w:val="center"/>
              <w:rPr>
                <w:sz w:val="22"/>
                <w:szCs w:val="22"/>
              </w:rPr>
            </w:pPr>
            <w:r>
              <w:rPr>
                <w:sz w:val="22"/>
                <w:szCs w:val="22"/>
              </w:rPr>
              <w:t>96</w:t>
            </w:r>
          </w:p>
        </w:tc>
        <w:tc>
          <w:tcPr>
            <w:tcW w:w="1212" w:type="pct"/>
            <w:shd w:val="clear" w:color="auto" w:fill="auto"/>
            <w:noWrap/>
            <w:vAlign w:val="center"/>
          </w:tcPr>
          <w:p w14:paraId="2D557D75">
            <w:pPr>
              <w:pStyle w:val="57"/>
              <w:jc w:val="center"/>
              <w:rPr>
                <w:sz w:val="22"/>
                <w:szCs w:val="22"/>
              </w:rPr>
            </w:pPr>
            <w:r>
              <w:rPr>
                <w:sz w:val="22"/>
                <w:szCs w:val="22"/>
              </w:rPr>
              <w:t>先锋河</w:t>
            </w:r>
          </w:p>
        </w:tc>
        <w:tc>
          <w:tcPr>
            <w:tcW w:w="1641" w:type="pct"/>
            <w:vAlign w:val="center"/>
          </w:tcPr>
          <w:p w14:paraId="2C9385B0">
            <w:pPr>
              <w:pStyle w:val="57"/>
              <w:jc w:val="center"/>
            </w:pPr>
            <w:r>
              <w:t>泰州海陵区</w:t>
            </w:r>
          </w:p>
        </w:tc>
        <w:tc>
          <w:tcPr>
            <w:tcW w:w="992" w:type="pct"/>
            <w:vAlign w:val="center"/>
          </w:tcPr>
          <w:p w14:paraId="36133AD4">
            <w:pPr>
              <w:pStyle w:val="57"/>
              <w:jc w:val="center"/>
              <w:rPr>
                <w:sz w:val="22"/>
                <w:szCs w:val="22"/>
              </w:rPr>
            </w:pPr>
            <w:r>
              <w:rPr>
                <w:sz w:val="22"/>
                <w:szCs w:val="22"/>
              </w:rPr>
              <w:t>2.7</w:t>
            </w:r>
          </w:p>
        </w:tc>
        <w:tc>
          <w:tcPr>
            <w:tcW w:w="755" w:type="pct"/>
            <w:shd w:val="clear" w:color="auto" w:fill="auto"/>
            <w:noWrap/>
            <w:vAlign w:val="center"/>
          </w:tcPr>
          <w:p w14:paraId="72EFEC6D">
            <w:pPr>
              <w:pStyle w:val="57"/>
              <w:jc w:val="center"/>
              <w:rPr>
                <w:sz w:val="22"/>
                <w:szCs w:val="22"/>
              </w:rPr>
            </w:pPr>
            <w:r>
              <w:rPr>
                <w:sz w:val="22"/>
                <w:szCs w:val="22"/>
              </w:rPr>
              <w:t>县级河流</w:t>
            </w:r>
          </w:p>
        </w:tc>
      </w:tr>
      <w:tr w14:paraId="7811E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4309BCBB">
            <w:pPr>
              <w:pStyle w:val="57"/>
              <w:jc w:val="center"/>
              <w:rPr>
                <w:sz w:val="22"/>
                <w:szCs w:val="22"/>
              </w:rPr>
            </w:pPr>
            <w:r>
              <w:rPr>
                <w:sz w:val="22"/>
                <w:szCs w:val="22"/>
              </w:rPr>
              <w:t>97</w:t>
            </w:r>
          </w:p>
        </w:tc>
        <w:tc>
          <w:tcPr>
            <w:tcW w:w="1212" w:type="pct"/>
            <w:shd w:val="clear" w:color="auto" w:fill="auto"/>
            <w:noWrap/>
            <w:vAlign w:val="center"/>
          </w:tcPr>
          <w:p w14:paraId="2082B341">
            <w:pPr>
              <w:pStyle w:val="57"/>
              <w:jc w:val="center"/>
              <w:rPr>
                <w:sz w:val="22"/>
                <w:szCs w:val="22"/>
              </w:rPr>
            </w:pPr>
            <w:r>
              <w:rPr>
                <w:sz w:val="22"/>
                <w:szCs w:val="22"/>
              </w:rPr>
              <w:t>罡宫河</w:t>
            </w:r>
          </w:p>
        </w:tc>
        <w:tc>
          <w:tcPr>
            <w:tcW w:w="1641" w:type="pct"/>
            <w:vAlign w:val="center"/>
          </w:tcPr>
          <w:p w14:paraId="77EC7CEA">
            <w:pPr>
              <w:pStyle w:val="57"/>
              <w:jc w:val="center"/>
            </w:pPr>
            <w:r>
              <w:t>泰州海陵区</w:t>
            </w:r>
          </w:p>
        </w:tc>
        <w:tc>
          <w:tcPr>
            <w:tcW w:w="992" w:type="pct"/>
            <w:vAlign w:val="center"/>
          </w:tcPr>
          <w:p w14:paraId="6432093C">
            <w:pPr>
              <w:pStyle w:val="57"/>
              <w:jc w:val="center"/>
              <w:rPr>
                <w:sz w:val="22"/>
                <w:szCs w:val="22"/>
              </w:rPr>
            </w:pPr>
            <w:r>
              <w:rPr>
                <w:sz w:val="22"/>
                <w:szCs w:val="22"/>
              </w:rPr>
              <w:t>3.1</w:t>
            </w:r>
          </w:p>
        </w:tc>
        <w:tc>
          <w:tcPr>
            <w:tcW w:w="755" w:type="pct"/>
            <w:shd w:val="clear" w:color="auto" w:fill="auto"/>
            <w:noWrap/>
            <w:vAlign w:val="center"/>
          </w:tcPr>
          <w:p w14:paraId="18A2D68C">
            <w:pPr>
              <w:pStyle w:val="57"/>
              <w:jc w:val="center"/>
              <w:rPr>
                <w:sz w:val="22"/>
                <w:szCs w:val="22"/>
              </w:rPr>
            </w:pPr>
            <w:r>
              <w:rPr>
                <w:sz w:val="22"/>
                <w:szCs w:val="22"/>
              </w:rPr>
              <w:t>县级河流</w:t>
            </w:r>
          </w:p>
        </w:tc>
      </w:tr>
      <w:tr w14:paraId="11B9D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688BFA43">
            <w:pPr>
              <w:pStyle w:val="57"/>
              <w:jc w:val="center"/>
              <w:rPr>
                <w:sz w:val="22"/>
                <w:szCs w:val="22"/>
              </w:rPr>
            </w:pPr>
            <w:r>
              <w:rPr>
                <w:sz w:val="22"/>
                <w:szCs w:val="22"/>
              </w:rPr>
              <w:t>98</w:t>
            </w:r>
          </w:p>
        </w:tc>
        <w:tc>
          <w:tcPr>
            <w:tcW w:w="1212" w:type="pct"/>
            <w:shd w:val="clear" w:color="auto" w:fill="auto"/>
            <w:noWrap/>
            <w:vAlign w:val="center"/>
          </w:tcPr>
          <w:p w14:paraId="074F32BC">
            <w:pPr>
              <w:pStyle w:val="57"/>
              <w:jc w:val="center"/>
              <w:rPr>
                <w:sz w:val="22"/>
                <w:szCs w:val="22"/>
              </w:rPr>
            </w:pPr>
            <w:r>
              <w:rPr>
                <w:sz w:val="22"/>
                <w:szCs w:val="22"/>
              </w:rPr>
              <w:t>北星河</w:t>
            </w:r>
          </w:p>
        </w:tc>
        <w:tc>
          <w:tcPr>
            <w:tcW w:w="1641" w:type="pct"/>
            <w:vAlign w:val="center"/>
          </w:tcPr>
          <w:p w14:paraId="3A4F459C">
            <w:pPr>
              <w:pStyle w:val="57"/>
              <w:jc w:val="center"/>
            </w:pPr>
            <w:r>
              <w:t>泰州海陵区</w:t>
            </w:r>
          </w:p>
        </w:tc>
        <w:tc>
          <w:tcPr>
            <w:tcW w:w="992" w:type="pct"/>
            <w:vAlign w:val="center"/>
          </w:tcPr>
          <w:p w14:paraId="218952B4">
            <w:pPr>
              <w:pStyle w:val="57"/>
              <w:jc w:val="center"/>
              <w:rPr>
                <w:sz w:val="22"/>
                <w:szCs w:val="22"/>
              </w:rPr>
            </w:pPr>
            <w:r>
              <w:rPr>
                <w:sz w:val="22"/>
                <w:szCs w:val="22"/>
              </w:rPr>
              <w:t>2.6</w:t>
            </w:r>
          </w:p>
        </w:tc>
        <w:tc>
          <w:tcPr>
            <w:tcW w:w="755" w:type="pct"/>
            <w:shd w:val="clear" w:color="auto" w:fill="auto"/>
            <w:noWrap/>
            <w:vAlign w:val="center"/>
          </w:tcPr>
          <w:p w14:paraId="7628F162">
            <w:pPr>
              <w:pStyle w:val="57"/>
              <w:jc w:val="center"/>
              <w:rPr>
                <w:sz w:val="22"/>
                <w:szCs w:val="22"/>
              </w:rPr>
            </w:pPr>
            <w:r>
              <w:rPr>
                <w:sz w:val="22"/>
                <w:szCs w:val="22"/>
              </w:rPr>
              <w:t>县级河流</w:t>
            </w:r>
          </w:p>
        </w:tc>
      </w:tr>
      <w:tr w14:paraId="0A064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4029C9AC">
            <w:pPr>
              <w:pStyle w:val="57"/>
              <w:jc w:val="center"/>
              <w:rPr>
                <w:sz w:val="22"/>
                <w:szCs w:val="22"/>
              </w:rPr>
            </w:pPr>
            <w:r>
              <w:rPr>
                <w:sz w:val="22"/>
                <w:szCs w:val="22"/>
              </w:rPr>
              <w:t>99</w:t>
            </w:r>
          </w:p>
        </w:tc>
        <w:tc>
          <w:tcPr>
            <w:tcW w:w="1212" w:type="pct"/>
            <w:shd w:val="clear" w:color="auto" w:fill="auto"/>
            <w:noWrap/>
            <w:vAlign w:val="center"/>
          </w:tcPr>
          <w:p w14:paraId="157D2BC2">
            <w:pPr>
              <w:pStyle w:val="57"/>
              <w:jc w:val="center"/>
              <w:rPr>
                <w:sz w:val="22"/>
                <w:szCs w:val="22"/>
              </w:rPr>
            </w:pPr>
            <w:r>
              <w:rPr>
                <w:sz w:val="22"/>
                <w:szCs w:val="22"/>
              </w:rPr>
              <w:t>南官河</w:t>
            </w:r>
          </w:p>
        </w:tc>
        <w:tc>
          <w:tcPr>
            <w:tcW w:w="1641" w:type="pct"/>
            <w:vAlign w:val="center"/>
          </w:tcPr>
          <w:p w14:paraId="7CC7A936">
            <w:pPr>
              <w:pStyle w:val="57"/>
              <w:jc w:val="center"/>
            </w:pPr>
            <w:r>
              <w:t>泰州海陵区</w:t>
            </w:r>
          </w:p>
        </w:tc>
        <w:tc>
          <w:tcPr>
            <w:tcW w:w="992" w:type="pct"/>
            <w:vAlign w:val="center"/>
          </w:tcPr>
          <w:p w14:paraId="2E05ABDA">
            <w:pPr>
              <w:pStyle w:val="57"/>
              <w:jc w:val="center"/>
              <w:rPr>
                <w:sz w:val="22"/>
                <w:szCs w:val="22"/>
              </w:rPr>
            </w:pPr>
            <w:r>
              <w:rPr>
                <w:sz w:val="22"/>
                <w:szCs w:val="22"/>
              </w:rPr>
              <w:t>7.5</w:t>
            </w:r>
          </w:p>
        </w:tc>
        <w:tc>
          <w:tcPr>
            <w:tcW w:w="755" w:type="pct"/>
            <w:shd w:val="clear" w:color="auto" w:fill="auto"/>
            <w:noWrap/>
            <w:vAlign w:val="center"/>
          </w:tcPr>
          <w:p w14:paraId="13CE56E5">
            <w:pPr>
              <w:pStyle w:val="57"/>
              <w:jc w:val="center"/>
              <w:rPr>
                <w:sz w:val="22"/>
                <w:szCs w:val="22"/>
              </w:rPr>
            </w:pPr>
            <w:r>
              <w:rPr>
                <w:sz w:val="22"/>
                <w:szCs w:val="22"/>
              </w:rPr>
              <w:t>县级河流</w:t>
            </w:r>
          </w:p>
        </w:tc>
      </w:tr>
      <w:tr w14:paraId="51BF4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038E16DA">
            <w:pPr>
              <w:pStyle w:val="57"/>
              <w:jc w:val="center"/>
              <w:rPr>
                <w:sz w:val="22"/>
                <w:szCs w:val="22"/>
              </w:rPr>
            </w:pPr>
            <w:r>
              <w:rPr>
                <w:sz w:val="22"/>
                <w:szCs w:val="22"/>
              </w:rPr>
              <w:t>100</w:t>
            </w:r>
          </w:p>
        </w:tc>
        <w:tc>
          <w:tcPr>
            <w:tcW w:w="1212" w:type="pct"/>
            <w:shd w:val="clear" w:color="auto" w:fill="auto"/>
            <w:noWrap/>
            <w:vAlign w:val="center"/>
          </w:tcPr>
          <w:p w14:paraId="54A3E3C4">
            <w:pPr>
              <w:pStyle w:val="57"/>
              <w:jc w:val="center"/>
              <w:rPr>
                <w:sz w:val="22"/>
                <w:szCs w:val="22"/>
              </w:rPr>
            </w:pPr>
            <w:r>
              <w:rPr>
                <w:sz w:val="22"/>
                <w:szCs w:val="22"/>
              </w:rPr>
              <w:t>五里河</w:t>
            </w:r>
          </w:p>
        </w:tc>
        <w:tc>
          <w:tcPr>
            <w:tcW w:w="1641" w:type="pct"/>
            <w:vAlign w:val="center"/>
          </w:tcPr>
          <w:p w14:paraId="3C4C8DD7">
            <w:pPr>
              <w:pStyle w:val="57"/>
              <w:jc w:val="center"/>
            </w:pPr>
            <w:r>
              <w:t>泰州海陵区</w:t>
            </w:r>
          </w:p>
        </w:tc>
        <w:tc>
          <w:tcPr>
            <w:tcW w:w="992" w:type="pct"/>
            <w:vAlign w:val="center"/>
          </w:tcPr>
          <w:p w14:paraId="15B3DD5F">
            <w:pPr>
              <w:pStyle w:val="57"/>
              <w:jc w:val="center"/>
              <w:rPr>
                <w:sz w:val="22"/>
                <w:szCs w:val="22"/>
              </w:rPr>
            </w:pPr>
            <w:r>
              <w:rPr>
                <w:sz w:val="22"/>
                <w:szCs w:val="22"/>
              </w:rPr>
              <w:t>3.5</w:t>
            </w:r>
          </w:p>
        </w:tc>
        <w:tc>
          <w:tcPr>
            <w:tcW w:w="755" w:type="pct"/>
            <w:shd w:val="clear" w:color="auto" w:fill="auto"/>
            <w:noWrap/>
            <w:vAlign w:val="center"/>
          </w:tcPr>
          <w:p w14:paraId="28234DE7">
            <w:pPr>
              <w:pStyle w:val="57"/>
              <w:jc w:val="center"/>
              <w:rPr>
                <w:sz w:val="22"/>
                <w:szCs w:val="22"/>
              </w:rPr>
            </w:pPr>
            <w:r>
              <w:rPr>
                <w:sz w:val="22"/>
                <w:szCs w:val="22"/>
              </w:rPr>
              <w:t>县级河流</w:t>
            </w:r>
          </w:p>
        </w:tc>
      </w:tr>
      <w:tr w14:paraId="0AB6B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4514C509">
            <w:pPr>
              <w:pStyle w:val="57"/>
              <w:jc w:val="center"/>
              <w:rPr>
                <w:sz w:val="22"/>
                <w:szCs w:val="22"/>
              </w:rPr>
            </w:pPr>
            <w:r>
              <w:rPr>
                <w:sz w:val="22"/>
                <w:szCs w:val="22"/>
              </w:rPr>
              <w:t>101</w:t>
            </w:r>
          </w:p>
        </w:tc>
        <w:tc>
          <w:tcPr>
            <w:tcW w:w="1212" w:type="pct"/>
            <w:shd w:val="clear" w:color="auto" w:fill="auto"/>
            <w:noWrap/>
            <w:vAlign w:val="center"/>
          </w:tcPr>
          <w:p w14:paraId="5B3ED33D">
            <w:pPr>
              <w:pStyle w:val="57"/>
              <w:jc w:val="center"/>
              <w:rPr>
                <w:sz w:val="22"/>
                <w:szCs w:val="22"/>
              </w:rPr>
            </w:pPr>
            <w:r>
              <w:rPr>
                <w:sz w:val="22"/>
                <w:szCs w:val="22"/>
              </w:rPr>
              <w:t>鲍马河</w:t>
            </w:r>
          </w:p>
        </w:tc>
        <w:tc>
          <w:tcPr>
            <w:tcW w:w="1641" w:type="pct"/>
            <w:vAlign w:val="center"/>
          </w:tcPr>
          <w:p w14:paraId="3BCE8A2F">
            <w:pPr>
              <w:pStyle w:val="57"/>
              <w:jc w:val="center"/>
            </w:pPr>
            <w:r>
              <w:t>泰州海陵区</w:t>
            </w:r>
          </w:p>
        </w:tc>
        <w:tc>
          <w:tcPr>
            <w:tcW w:w="992" w:type="pct"/>
            <w:vAlign w:val="center"/>
          </w:tcPr>
          <w:p w14:paraId="08D20DBF">
            <w:pPr>
              <w:pStyle w:val="57"/>
              <w:jc w:val="center"/>
              <w:rPr>
                <w:sz w:val="22"/>
                <w:szCs w:val="22"/>
              </w:rPr>
            </w:pPr>
            <w:r>
              <w:rPr>
                <w:sz w:val="22"/>
                <w:szCs w:val="22"/>
              </w:rPr>
              <w:t>3.6</w:t>
            </w:r>
          </w:p>
        </w:tc>
        <w:tc>
          <w:tcPr>
            <w:tcW w:w="755" w:type="pct"/>
            <w:shd w:val="clear" w:color="auto" w:fill="auto"/>
            <w:noWrap/>
            <w:vAlign w:val="center"/>
          </w:tcPr>
          <w:p w14:paraId="5089CBDD">
            <w:pPr>
              <w:pStyle w:val="57"/>
              <w:jc w:val="center"/>
              <w:rPr>
                <w:sz w:val="22"/>
                <w:szCs w:val="22"/>
              </w:rPr>
            </w:pPr>
            <w:r>
              <w:rPr>
                <w:sz w:val="22"/>
                <w:szCs w:val="22"/>
              </w:rPr>
              <w:t>县级河流</w:t>
            </w:r>
          </w:p>
        </w:tc>
      </w:tr>
      <w:tr w14:paraId="3A2CE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46AB302E">
            <w:pPr>
              <w:pStyle w:val="57"/>
              <w:jc w:val="center"/>
              <w:rPr>
                <w:sz w:val="22"/>
                <w:szCs w:val="22"/>
              </w:rPr>
            </w:pPr>
            <w:r>
              <w:rPr>
                <w:sz w:val="22"/>
                <w:szCs w:val="22"/>
              </w:rPr>
              <w:t>102</w:t>
            </w:r>
          </w:p>
        </w:tc>
        <w:tc>
          <w:tcPr>
            <w:tcW w:w="1212" w:type="pct"/>
            <w:shd w:val="clear" w:color="auto" w:fill="auto"/>
            <w:noWrap/>
            <w:vAlign w:val="center"/>
          </w:tcPr>
          <w:p w14:paraId="68A459A6">
            <w:pPr>
              <w:pStyle w:val="57"/>
              <w:jc w:val="center"/>
              <w:rPr>
                <w:sz w:val="22"/>
                <w:szCs w:val="22"/>
              </w:rPr>
            </w:pPr>
            <w:r>
              <w:rPr>
                <w:sz w:val="22"/>
                <w:szCs w:val="22"/>
              </w:rPr>
              <w:t>许庄河</w:t>
            </w:r>
          </w:p>
        </w:tc>
        <w:tc>
          <w:tcPr>
            <w:tcW w:w="1641" w:type="pct"/>
            <w:vAlign w:val="center"/>
          </w:tcPr>
          <w:p w14:paraId="16A1CF7D">
            <w:pPr>
              <w:pStyle w:val="57"/>
              <w:jc w:val="center"/>
              <w:rPr>
                <w:sz w:val="22"/>
                <w:szCs w:val="22"/>
              </w:rPr>
            </w:pPr>
            <w:r>
              <w:t>泰州</w:t>
            </w:r>
            <w:r>
              <w:rPr>
                <w:sz w:val="22"/>
                <w:szCs w:val="22"/>
              </w:rPr>
              <w:t>高港区</w:t>
            </w:r>
          </w:p>
        </w:tc>
        <w:tc>
          <w:tcPr>
            <w:tcW w:w="992" w:type="pct"/>
            <w:vAlign w:val="center"/>
          </w:tcPr>
          <w:p w14:paraId="05E8EBEE">
            <w:pPr>
              <w:pStyle w:val="57"/>
              <w:jc w:val="center"/>
              <w:rPr>
                <w:sz w:val="22"/>
                <w:szCs w:val="22"/>
              </w:rPr>
            </w:pPr>
            <w:r>
              <w:rPr>
                <w:sz w:val="22"/>
                <w:szCs w:val="22"/>
              </w:rPr>
              <w:t>10.2</w:t>
            </w:r>
          </w:p>
        </w:tc>
        <w:tc>
          <w:tcPr>
            <w:tcW w:w="755" w:type="pct"/>
            <w:shd w:val="clear" w:color="auto" w:fill="auto"/>
            <w:noWrap/>
            <w:vAlign w:val="center"/>
          </w:tcPr>
          <w:p w14:paraId="108FEAC2">
            <w:pPr>
              <w:pStyle w:val="57"/>
              <w:jc w:val="center"/>
              <w:rPr>
                <w:sz w:val="22"/>
                <w:szCs w:val="22"/>
              </w:rPr>
            </w:pPr>
            <w:r>
              <w:rPr>
                <w:sz w:val="22"/>
                <w:szCs w:val="22"/>
              </w:rPr>
              <w:t>县级河流</w:t>
            </w:r>
          </w:p>
        </w:tc>
      </w:tr>
      <w:tr w14:paraId="559FE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374366A7">
            <w:pPr>
              <w:pStyle w:val="57"/>
              <w:jc w:val="center"/>
              <w:rPr>
                <w:sz w:val="22"/>
                <w:szCs w:val="22"/>
              </w:rPr>
            </w:pPr>
            <w:r>
              <w:rPr>
                <w:sz w:val="22"/>
                <w:szCs w:val="22"/>
              </w:rPr>
              <w:t>103</w:t>
            </w:r>
          </w:p>
        </w:tc>
        <w:tc>
          <w:tcPr>
            <w:tcW w:w="1212" w:type="pct"/>
            <w:shd w:val="clear" w:color="auto" w:fill="auto"/>
            <w:noWrap/>
            <w:vAlign w:val="center"/>
          </w:tcPr>
          <w:p w14:paraId="7DE108D4">
            <w:pPr>
              <w:pStyle w:val="57"/>
              <w:jc w:val="center"/>
              <w:rPr>
                <w:sz w:val="22"/>
                <w:szCs w:val="22"/>
              </w:rPr>
            </w:pPr>
            <w:r>
              <w:rPr>
                <w:sz w:val="22"/>
                <w:szCs w:val="22"/>
              </w:rPr>
              <w:t>前进河</w:t>
            </w:r>
          </w:p>
        </w:tc>
        <w:tc>
          <w:tcPr>
            <w:tcW w:w="1641" w:type="pct"/>
            <w:vAlign w:val="center"/>
          </w:tcPr>
          <w:p w14:paraId="5A439306">
            <w:pPr>
              <w:pStyle w:val="57"/>
              <w:jc w:val="center"/>
              <w:rPr>
                <w:sz w:val="22"/>
                <w:szCs w:val="22"/>
              </w:rPr>
            </w:pPr>
            <w:r>
              <w:t>泰州</w:t>
            </w:r>
            <w:r>
              <w:rPr>
                <w:sz w:val="22"/>
                <w:szCs w:val="22"/>
              </w:rPr>
              <w:t>高港区</w:t>
            </w:r>
          </w:p>
        </w:tc>
        <w:tc>
          <w:tcPr>
            <w:tcW w:w="992" w:type="pct"/>
            <w:vAlign w:val="center"/>
          </w:tcPr>
          <w:p w14:paraId="1A6DC711">
            <w:pPr>
              <w:pStyle w:val="57"/>
              <w:jc w:val="center"/>
              <w:rPr>
                <w:sz w:val="22"/>
                <w:szCs w:val="22"/>
              </w:rPr>
            </w:pPr>
            <w:r>
              <w:rPr>
                <w:sz w:val="22"/>
                <w:szCs w:val="22"/>
              </w:rPr>
              <w:t>8.6</w:t>
            </w:r>
          </w:p>
        </w:tc>
        <w:tc>
          <w:tcPr>
            <w:tcW w:w="755" w:type="pct"/>
            <w:shd w:val="clear" w:color="auto" w:fill="auto"/>
            <w:noWrap/>
            <w:vAlign w:val="center"/>
          </w:tcPr>
          <w:p w14:paraId="5A88AD48">
            <w:pPr>
              <w:pStyle w:val="57"/>
              <w:jc w:val="center"/>
              <w:rPr>
                <w:sz w:val="22"/>
                <w:szCs w:val="22"/>
              </w:rPr>
            </w:pPr>
            <w:r>
              <w:rPr>
                <w:sz w:val="22"/>
                <w:szCs w:val="22"/>
              </w:rPr>
              <w:t>县级河流</w:t>
            </w:r>
          </w:p>
        </w:tc>
      </w:tr>
      <w:tr w14:paraId="02C6B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365E9DB9">
            <w:pPr>
              <w:pStyle w:val="57"/>
              <w:jc w:val="center"/>
              <w:rPr>
                <w:sz w:val="22"/>
                <w:szCs w:val="22"/>
              </w:rPr>
            </w:pPr>
            <w:r>
              <w:rPr>
                <w:sz w:val="22"/>
                <w:szCs w:val="22"/>
              </w:rPr>
              <w:t>104</w:t>
            </w:r>
          </w:p>
        </w:tc>
        <w:tc>
          <w:tcPr>
            <w:tcW w:w="1212" w:type="pct"/>
            <w:shd w:val="clear" w:color="auto" w:fill="auto"/>
            <w:noWrap/>
            <w:vAlign w:val="center"/>
          </w:tcPr>
          <w:p w14:paraId="0F8496D6">
            <w:pPr>
              <w:pStyle w:val="57"/>
              <w:jc w:val="center"/>
              <w:rPr>
                <w:sz w:val="22"/>
                <w:szCs w:val="22"/>
              </w:rPr>
            </w:pPr>
            <w:r>
              <w:rPr>
                <w:sz w:val="22"/>
                <w:szCs w:val="22"/>
              </w:rPr>
              <w:t>鳅鱼港（南干河）</w:t>
            </w:r>
          </w:p>
        </w:tc>
        <w:tc>
          <w:tcPr>
            <w:tcW w:w="1641" w:type="pct"/>
            <w:vAlign w:val="center"/>
          </w:tcPr>
          <w:p w14:paraId="0424301A">
            <w:pPr>
              <w:pStyle w:val="57"/>
              <w:jc w:val="center"/>
              <w:rPr>
                <w:sz w:val="22"/>
                <w:szCs w:val="22"/>
              </w:rPr>
            </w:pPr>
            <w:r>
              <w:t>泰州</w:t>
            </w:r>
            <w:r>
              <w:rPr>
                <w:sz w:val="22"/>
                <w:szCs w:val="22"/>
              </w:rPr>
              <w:t>高港区</w:t>
            </w:r>
          </w:p>
        </w:tc>
        <w:tc>
          <w:tcPr>
            <w:tcW w:w="992" w:type="pct"/>
            <w:vAlign w:val="center"/>
          </w:tcPr>
          <w:p w14:paraId="08ED87C2">
            <w:pPr>
              <w:pStyle w:val="57"/>
              <w:jc w:val="center"/>
              <w:rPr>
                <w:sz w:val="22"/>
                <w:szCs w:val="22"/>
              </w:rPr>
            </w:pPr>
            <w:r>
              <w:rPr>
                <w:sz w:val="22"/>
                <w:szCs w:val="22"/>
              </w:rPr>
              <w:t>5.3</w:t>
            </w:r>
          </w:p>
        </w:tc>
        <w:tc>
          <w:tcPr>
            <w:tcW w:w="755" w:type="pct"/>
            <w:shd w:val="clear" w:color="auto" w:fill="auto"/>
            <w:noWrap/>
            <w:vAlign w:val="center"/>
          </w:tcPr>
          <w:p w14:paraId="5C1B1A0F">
            <w:pPr>
              <w:pStyle w:val="57"/>
              <w:jc w:val="center"/>
              <w:rPr>
                <w:sz w:val="22"/>
                <w:szCs w:val="22"/>
              </w:rPr>
            </w:pPr>
            <w:r>
              <w:rPr>
                <w:sz w:val="22"/>
                <w:szCs w:val="22"/>
              </w:rPr>
              <w:t>县级河流</w:t>
            </w:r>
          </w:p>
        </w:tc>
      </w:tr>
      <w:tr w14:paraId="0DBF4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52D29B0A">
            <w:pPr>
              <w:pStyle w:val="57"/>
              <w:jc w:val="center"/>
              <w:rPr>
                <w:sz w:val="22"/>
                <w:szCs w:val="22"/>
              </w:rPr>
            </w:pPr>
            <w:r>
              <w:rPr>
                <w:sz w:val="22"/>
                <w:szCs w:val="22"/>
              </w:rPr>
              <w:t>105</w:t>
            </w:r>
          </w:p>
        </w:tc>
        <w:tc>
          <w:tcPr>
            <w:tcW w:w="1212" w:type="pct"/>
            <w:shd w:val="clear" w:color="auto" w:fill="auto"/>
            <w:noWrap/>
            <w:vAlign w:val="center"/>
          </w:tcPr>
          <w:p w14:paraId="640F6782">
            <w:pPr>
              <w:pStyle w:val="57"/>
              <w:jc w:val="center"/>
              <w:rPr>
                <w:sz w:val="22"/>
                <w:szCs w:val="22"/>
              </w:rPr>
            </w:pPr>
            <w:r>
              <w:rPr>
                <w:sz w:val="22"/>
                <w:szCs w:val="22"/>
              </w:rPr>
              <w:t>运粮河</w:t>
            </w:r>
          </w:p>
        </w:tc>
        <w:tc>
          <w:tcPr>
            <w:tcW w:w="1641" w:type="pct"/>
            <w:vAlign w:val="center"/>
          </w:tcPr>
          <w:p w14:paraId="4025D77E">
            <w:pPr>
              <w:pStyle w:val="57"/>
              <w:jc w:val="center"/>
              <w:rPr>
                <w:sz w:val="22"/>
                <w:szCs w:val="22"/>
              </w:rPr>
            </w:pPr>
            <w:r>
              <w:t>泰州</w:t>
            </w:r>
            <w:r>
              <w:rPr>
                <w:sz w:val="22"/>
                <w:szCs w:val="22"/>
              </w:rPr>
              <w:t>姜堰区</w:t>
            </w:r>
          </w:p>
        </w:tc>
        <w:tc>
          <w:tcPr>
            <w:tcW w:w="992" w:type="pct"/>
            <w:vAlign w:val="center"/>
          </w:tcPr>
          <w:p w14:paraId="5A3C8EAF">
            <w:pPr>
              <w:pStyle w:val="57"/>
              <w:jc w:val="center"/>
              <w:rPr>
                <w:sz w:val="22"/>
                <w:szCs w:val="22"/>
              </w:rPr>
            </w:pPr>
            <w:r>
              <w:rPr>
                <w:sz w:val="22"/>
                <w:szCs w:val="22"/>
              </w:rPr>
              <w:t>15.9</w:t>
            </w:r>
          </w:p>
        </w:tc>
        <w:tc>
          <w:tcPr>
            <w:tcW w:w="755" w:type="pct"/>
            <w:shd w:val="clear" w:color="auto" w:fill="auto"/>
            <w:noWrap/>
            <w:vAlign w:val="center"/>
          </w:tcPr>
          <w:p w14:paraId="72463647">
            <w:pPr>
              <w:pStyle w:val="57"/>
              <w:jc w:val="center"/>
              <w:rPr>
                <w:sz w:val="22"/>
                <w:szCs w:val="22"/>
              </w:rPr>
            </w:pPr>
            <w:r>
              <w:rPr>
                <w:sz w:val="22"/>
                <w:szCs w:val="22"/>
              </w:rPr>
              <w:t>县级河流</w:t>
            </w:r>
          </w:p>
        </w:tc>
      </w:tr>
      <w:tr w14:paraId="2C931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19A29C1B">
            <w:pPr>
              <w:pStyle w:val="57"/>
              <w:jc w:val="center"/>
              <w:rPr>
                <w:sz w:val="22"/>
                <w:szCs w:val="22"/>
              </w:rPr>
            </w:pPr>
            <w:r>
              <w:rPr>
                <w:sz w:val="22"/>
                <w:szCs w:val="22"/>
              </w:rPr>
              <w:t>106</w:t>
            </w:r>
          </w:p>
        </w:tc>
        <w:tc>
          <w:tcPr>
            <w:tcW w:w="1212" w:type="pct"/>
            <w:shd w:val="clear" w:color="auto" w:fill="auto"/>
            <w:noWrap/>
            <w:vAlign w:val="center"/>
          </w:tcPr>
          <w:p w14:paraId="61808EAB">
            <w:pPr>
              <w:pStyle w:val="57"/>
              <w:jc w:val="center"/>
              <w:rPr>
                <w:sz w:val="22"/>
                <w:szCs w:val="22"/>
              </w:rPr>
            </w:pPr>
            <w:r>
              <w:rPr>
                <w:sz w:val="22"/>
                <w:szCs w:val="22"/>
              </w:rPr>
              <w:t>葛港河</w:t>
            </w:r>
          </w:p>
        </w:tc>
        <w:tc>
          <w:tcPr>
            <w:tcW w:w="1641" w:type="pct"/>
            <w:vAlign w:val="center"/>
          </w:tcPr>
          <w:p w14:paraId="00BAB849">
            <w:pPr>
              <w:pStyle w:val="57"/>
              <w:jc w:val="center"/>
              <w:rPr>
                <w:sz w:val="22"/>
                <w:szCs w:val="22"/>
              </w:rPr>
            </w:pPr>
            <w:r>
              <w:t>泰州</w:t>
            </w:r>
            <w:r>
              <w:rPr>
                <w:sz w:val="22"/>
                <w:szCs w:val="22"/>
              </w:rPr>
              <w:t>姜堰区</w:t>
            </w:r>
          </w:p>
        </w:tc>
        <w:tc>
          <w:tcPr>
            <w:tcW w:w="992" w:type="pct"/>
            <w:vAlign w:val="center"/>
          </w:tcPr>
          <w:p w14:paraId="0CB1D24B">
            <w:pPr>
              <w:pStyle w:val="57"/>
              <w:jc w:val="center"/>
              <w:rPr>
                <w:sz w:val="22"/>
                <w:szCs w:val="22"/>
              </w:rPr>
            </w:pPr>
            <w:r>
              <w:rPr>
                <w:sz w:val="22"/>
                <w:szCs w:val="22"/>
              </w:rPr>
              <w:t>13.1</w:t>
            </w:r>
          </w:p>
        </w:tc>
        <w:tc>
          <w:tcPr>
            <w:tcW w:w="755" w:type="pct"/>
            <w:shd w:val="clear" w:color="auto" w:fill="auto"/>
            <w:noWrap/>
            <w:vAlign w:val="center"/>
          </w:tcPr>
          <w:p w14:paraId="290FC07A">
            <w:pPr>
              <w:pStyle w:val="57"/>
              <w:jc w:val="center"/>
              <w:rPr>
                <w:sz w:val="22"/>
                <w:szCs w:val="22"/>
              </w:rPr>
            </w:pPr>
            <w:r>
              <w:rPr>
                <w:sz w:val="22"/>
                <w:szCs w:val="22"/>
              </w:rPr>
              <w:t>县级河流</w:t>
            </w:r>
          </w:p>
        </w:tc>
      </w:tr>
      <w:tr w14:paraId="05D90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464E2A95">
            <w:pPr>
              <w:pStyle w:val="57"/>
              <w:jc w:val="center"/>
              <w:rPr>
                <w:sz w:val="22"/>
                <w:szCs w:val="22"/>
              </w:rPr>
            </w:pPr>
            <w:r>
              <w:rPr>
                <w:sz w:val="22"/>
                <w:szCs w:val="22"/>
              </w:rPr>
              <w:t>107</w:t>
            </w:r>
          </w:p>
        </w:tc>
        <w:tc>
          <w:tcPr>
            <w:tcW w:w="1212" w:type="pct"/>
            <w:shd w:val="clear" w:color="auto" w:fill="auto"/>
            <w:noWrap/>
            <w:vAlign w:val="center"/>
          </w:tcPr>
          <w:p w14:paraId="4E1CFCD8">
            <w:pPr>
              <w:pStyle w:val="57"/>
              <w:jc w:val="center"/>
              <w:rPr>
                <w:sz w:val="22"/>
                <w:szCs w:val="22"/>
              </w:rPr>
            </w:pPr>
            <w:r>
              <w:rPr>
                <w:sz w:val="22"/>
                <w:szCs w:val="22"/>
              </w:rPr>
              <w:t>张甸支河</w:t>
            </w:r>
          </w:p>
        </w:tc>
        <w:tc>
          <w:tcPr>
            <w:tcW w:w="1641" w:type="pct"/>
            <w:vAlign w:val="center"/>
          </w:tcPr>
          <w:p w14:paraId="2BD92C4C">
            <w:pPr>
              <w:pStyle w:val="57"/>
              <w:jc w:val="center"/>
              <w:rPr>
                <w:sz w:val="22"/>
                <w:szCs w:val="22"/>
              </w:rPr>
            </w:pPr>
            <w:r>
              <w:t>泰州</w:t>
            </w:r>
            <w:r>
              <w:rPr>
                <w:sz w:val="22"/>
                <w:szCs w:val="22"/>
              </w:rPr>
              <w:t>姜堰区</w:t>
            </w:r>
          </w:p>
        </w:tc>
        <w:tc>
          <w:tcPr>
            <w:tcW w:w="992" w:type="pct"/>
            <w:vAlign w:val="center"/>
          </w:tcPr>
          <w:p w14:paraId="1233E630">
            <w:pPr>
              <w:pStyle w:val="57"/>
              <w:jc w:val="center"/>
              <w:rPr>
                <w:sz w:val="22"/>
                <w:szCs w:val="22"/>
              </w:rPr>
            </w:pPr>
            <w:r>
              <w:rPr>
                <w:sz w:val="22"/>
                <w:szCs w:val="22"/>
              </w:rPr>
              <w:t>8.4</w:t>
            </w:r>
          </w:p>
        </w:tc>
        <w:tc>
          <w:tcPr>
            <w:tcW w:w="755" w:type="pct"/>
            <w:shd w:val="clear" w:color="auto" w:fill="auto"/>
            <w:noWrap/>
            <w:vAlign w:val="center"/>
          </w:tcPr>
          <w:p w14:paraId="2D7C58BC">
            <w:pPr>
              <w:pStyle w:val="57"/>
              <w:jc w:val="center"/>
              <w:rPr>
                <w:sz w:val="22"/>
                <w:szCs w:val="22"/>
              </w:rPr>
            </w:pPr>
            <w:r>
              <w:rPr>
                <w:sz w:val="22"/>
                <w:szCs w:val="22"/>
              </w:rPr>
              <w:t>县级河流</w:t>
            </w:r>
          </w:p>
        </w:tc>
      </w:tr>
      <w:tr w14:paraId="5E569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3681A58E">
            <w:pPr>
              <w:pStyle w:val="57"/>
              <w:jc w:val="center"/>
              <w:rPr>
                <w:sz w:val="22"/>
                <w:szCs w:val="22"/>
              </w:rPr>
            </w:pPr>
            <w:r>
              <w:rPr>
                <w:sz w:val="22"/>
                <w:szCs w:val="22"/>
              </w:rPr>
              <w:t>108</w:t>
            </w:r>
          </w:p>
        </w:tc>
        <w:tc>
          <w:tcPr>
            <w:tcW w:w="1212" w:type="pct"/>
            <w:shd w:val="clear" w:color="auto" w:fill="auto"/>
            <w:noWrap/>
            <w:vAlign w:val="center"/>
          </w:tcPr>
          <w:p w14:paraId="578B6257">
            <w:pPr>
              <w:pStyle w:val="57"/>
              <w:jc w:val="center"/>
              <w:rPr>
                <w:sz w:val="22"/>
                <w:szCs w:val="22"/>
              </w:rPr>
            </w:pPr>
            <w:r>
              <w:rPr>
                <w:sz w:val="22"/>
                <w:szCs w:val="22"/>
              </w:rPr>
              <w:t>大伦河</w:t>
            </w:r>
          </w:p>
        </w:tc>
        <w:tc>
          <w:tcPr>
            <w:tcW w:w="1641" w:type="pct"/>
            <w:vAlign w:val="center"/>
          </w:tcPr>
          <w:p w14:paraId="27829D09">
            <w:pPr>
              <w:pStyle w:val="57"/>
              <w:jc w:val="center"/>
              <w:rPr>
                <w:sz w:val="22"/>
                <w:szCs w:val="22"/>
              </w:rPr>
            </w:pPr>
            <w:r>
              <w:t>泰州</w:t>
            </w:r>
            <w:r>
              <w:rPr>
                <w:sz w:val="22"/>
                <w:szCs w:val="22"/>
              </w:rPr>
              <w:t>姜堰区</w:t>
            </w:r>
          </w:p>
        </w:tc>
        <w:tc>
          <w:tcPr>
            <w:tcW w:w="992" w:type="pct"/>
            <w:vAlign w:val="center"/>
          </w:tcPr>
          <w:p w14:paraId="4BA6EA8B">
            <w:pPr>
              <w:pStyle w:val="57"/>
              <w:jc w:val="center"/>
              <w:rPr>
                <w:sz w:val="22"/>
                <w:szCs w:val="22"/>
              </w:rPr>
            </w:pPr>
            <w:r>
              <w:rPr>
                <w:sz w:val="22"/>
                <w:szCs w:val="22"/>
              </w:rPr>
              <w:t>6.6</w:t>
            </w:r>
          </w:p>
        </w:tc>
        <w:tc>
          <w:tcPr>
            <w:tcW w:w="755" w:type="pct"/>
            <w:shd w:val="clear" w:color="auto" w:fill="auto"/>
            <w:noWrap/>
            <w:vAlign w:val="center"/>
          </w:tcPr>
          <w:p w14:paraId="48C3544D">
            <w:pPr>
              <w:pStyle w:val="57"/>
              <w:jc w:val="center"/>
              <w:rPr>
                <w:sz w:val="22"/>
                <w:szCs w:val="22"/>
              </w:rPr>
            </w:pPr>
            <w:r>
              <w:rPr>
                <w:sz w:val="22"/>
                <w:szCs w:val="22"/>
              </w:rPr>
              <w:t>县级河流</w:t>
            </w:r>
          </w:p>
        </w:tc>
      </w:tr>
      <w:tr w14:paraId="7C5BA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0836DE28">
            <w:pPr>
              <w:pStyle w:val="57"/>
              <w:jc w:val="center"/>
              <w:rPr>
                <w:sz w:val="22"/>
                <w:szCs w:val="22"/>
              </w:rPr>
            </w:pPr>
            <w:r>
              <w:rPr>
                <w:sz w:val="22"/>
                <w:szCs w:val="22"/>
              </w:rPr>
              <w:t>109</w:t>
            </w:r>
          </w:p>
        </w:tc>
        <w:tc>
          <w:tcPr>
            <w:tcW w:w="1212" w:type="pct"/>
            <w:shd w:val="clear" w:color="auto" w:fill="auto"/>
            <w:noWrap/>
            <w:vAlign w:val="center"/>
          </w:tcPr>
          <w:p w14:paraId="4F53C112">
            <w:pPr>
              <w:pStyle w:val="57"/>
              <w:jc w:val="center"/>
              <w:rPr>
                <w:sz w:val="22"/>
                <w:szCs w:val="22"/>
              </w:rPr>
            </w:pPr>
            <w:r>
              <w:rPr>
                <w:sz w:val="22"/>
                <w:szCs w:val="22"/>
              </w:rPr>
              <w:t>龙叉港</w:t>
            </w:r>
          </w:p>
        </w:tc>
        <w:tc>
          <w:tcPr>
            <w:tcW w:w="1641" w:type="pct"/>
            <w:vAlign w:val="center"/>
          </w:tcPr>
          <w:p w14:paraId="7DC61CF3">
            <w:pPr>
              <w:pStyle w:val="57"/>
              <w:jc w:val="center"/>
              <w:rPr>
                <w:sz w:val="22"/>
                <w:szCs w:val="22"/>
              </w:rPr>
            </w:pPr>
            <w:r>
              <w:t>泰州</w:t>
            </w:r>
            <w:r>
              <w:rPr>
                <w:sz w:val="22"/>
                <w:szCs w:val="22"/>
              </w:rPr>
              <w:t>姜堰区</w:t>
            </w:r>
          </w:p>
        </w:tc>
        <w:tc>
          <w:tcPr>
            <w:tcW w:w="992" w:type="pct"/>
            <w:vAlign w:val="center"/>
          </w:tcPr>
          <w:p w14:paraId="1F4CFD0F">
            <w:pPr>
              <w:pStyle w:val="57"/>
              <w:jc w:val="center"/>
              <w:rPr>
                <w:sz w:val="22"/>
                <w:szCs w:val="22"/>
              </w:rPr>
            </w:pPr>
            <w:r>
              <w:rPr>
                <w:sz w:val="22"/>
                <w:szCs w:val="22"/>
              </w:rPr>
              <w:t>12.8</w:t>
            </w:r>
          </w:p>
        </w:tc>
        <w:tc>
          <w:tcPr>
            <w:tcW w:w="755" w:type="pct"/>
            <w:shd w:val="clear" w:color="auto" w:fill="auto"/>
            <w:noWrap/>
            <w:vAlign w:val="center"/>
          </w:tcPr>
          <w:p w14:paraId="3E57FAE8">
            <w:pPr>
              <w:pStyle w:val="57"/>
              <w:jc w:val="center"/>
              <w:rPr>
                <w:sz w:val="22"/>
                <w:szCs w:val="22"/>
              </w:rPr>
            </w:pPr>
            <w:r>
              <w:rPr>
                <w:sz w:val="22"/>
                <w:szCs w:val="22"/>
              </w:rPr>
              <w:t>县级河流</w:t>
            </w:r>
          </w:p>
        </w:tc>
      </w:tr>
      <w:tr w14:paraId="670E3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6BF4F8CC">
            <w:pPr>
              <w:pStyle w:val="57"/>
              <w:jc w:val="center"/>
              <w:rPr>
                <w:sz w:val="22"/>
                <w:szCs w:val="22"/>
              </w:rPr>
            </w:pPr>
            <w:r>
              <w:rPr>
                <w:sz w:val="22"/>
                <w:szCs w:val="22"/>
              </w:rPr>
              <w:t>110</w:t>
            </w:r>
          </w:p>
        </w:tc>
        <w:tc>
          <w:tcPr>
            <w:tcW w:w="1212" w:type="pct"/>
            <w:shd w:val="clear" w:color="auto" w:fill="auto"/>
            <w:noWrap/>
            <w:vAlign w:val="center"/>
          </w:tcPr>
          <w:p w14:paraId="52F485E2">
            <w:pPr>
              <w:pStyle w:val="57"/>
              <w:jc w:val="center"/>
              <w:rPr>
                <w:sz w:val="22"/>
                <w:szCs w:val="22"/>
              </w:rPr>
            </w:pPr>
            <w:r>
              <w:rPr>
                <w:sz w:val="22"/>
                <w:szCs w:val="22"/>
              </w:rPr>
              <w:t>黄村河</w:t>
            </w:r>
          </w:p>
        </w:tc>
        <w:tc>
          <w:tcPr>
            <w:tcW w:w="1641" w:type="pct"/>
            <w:vAlign w:val="center"/>
          </w:tcPr>
          <w:p w14:paraId="656800BE">
            <w:pPr>
              <w:pStyle w:val="57"/>
              <w:jc w:val="center"/>
              <w:rPr>
                <w:sz w:val="22"/>
                <w:szCs w:val="22"/>
              </w:rPr>
            </w:pPr>
            <w:r>
              <w:t>泰州</w:t>
            </w:r>
            <w:r>
              <w:rPr>
                <w:sz w:val="22"/>
                <w:szCs w:val="22"/>
              </w:rPr>
              <w:t>姜堰区</w:t>
            </w:r>
          </w:p>
        </w:tc>
        <w:tc>
          <w:tcPr>
            <w:tcW w:w="992" w:type="pct"/>
            <w:vAlign w:val="center"/>
          </w:tcPr>
          <w:p w14:paraId="5191D03F">
            <w:pPr>
              <w:pStyle w:val="57"/>
              <w:jc w:val="center"/>
              <w:rPr>
                <w:sz w:val="22"/>
                <w:szCs w:val="22"/>
              </w:rPr>
            </w:pPr>
            <w:r>
              <w:rPr>
                <w:sz w:val="22"/>
                <w:szCs w:val="22"/>
              </w:rPr>
              <w:t>15.4</w:t>
            </w:r>
          </w:p>
        </w:tc>
        <w:tc>
          <w:tcPr>
            <w:tcW w:w="755" w:type="pct"/>
            <w:shd w:val="clear" w:color="auto" w:fill="auto"/>
            <w:noWrap/>
            <w:vAlign w:val="center"/>
          </w:tcPr>
          <w:p w14:paraId="4035936A">
            <w:pPr>
              <w:pStyle w:val="57"/>
              <w:jc w:val="center"/>
              <w:rPr>
                <w:sz w:val="22"/>
                <w:szCs w:val="22"/>
              </w:rPr>
            </w:pPr>
            <w:r>
              <w:rPr>
                <w:sz w:val="22"/>
                <w:szCs w:val="22"/>
              </w:rPr>
              <w:t>县级河流</w:t>
            </w:r>
          </w:p>
        </w:tc>
      </w:tr>
      <w:tr w14:paraId="2DA30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3DCA9C98">
            <w:pPr>
              <w:pStyle w:val="57"/>
              <w:jc w:val="center"/>
              <w:rPr>
                <w:sz w:val="22"/>
                <w:szCs w:val="22"/>
              </w:rPr>
            </w:pPr>
            <w:r>
              <w:rPr>
                <w:sz w:val="22"/>
                <w:szCs w:val="22"/>
              </w:rPr>
              <w:t>111</w:t>
            </w:r>
          </w:p>
        </w:tc>
        <w:tc>
          <w:tcPr>
            <w:tcW w:w="1212" w:type="pct"/>
            <w:shd w:val="clear" w:color="auto" w:fill="auto"/>
            <w:noWrap/>
            <w:vAlign w:val="center"/>
          </w:tcPr>
          <w:p w14:paraId="13EF5920">
            <w:pPr>
              <w:pStyle w:val="57"/>
              <w:jc w:val="center"/>
              <w:rPr>
                <w:sz w:val="22"/>
                <w:szCs w:val="22"/>
              </w:rPr>
            </w:pPr>
            <w:r>
              <w:rPr>
                <w:sz w:val="22"/>
                <w:szCs w:val="22"/>
              </w:rPr>
              <w:t>茅湾河</w:t>
            </w:r>
          </w:p>
        </w:tc>
        <w:tc>
          <w:tcPr>
            <w:tcW w:w="1641" w:type="pct"/>
            <w:vAlign w:val="center"/>
          </w:tcPr>
          <w:p w14:paraId="254559D7">
            <w:pPr>
              <w:pStyle w:val="57"/>
              <w:jc w:val="center"/>
              <w:rPr>
                <w:sz w:val="22"/>
                <w:szCs w:val="22"/>
              </w:rPr>
            </w:pPr>
            <w:r>
              <w:t>泰州</w:t>
            </w:r>
            <w:r>
              <w:rPr>
                <w:sz w:val="22"/>
                <w:szCs w:val="22"/>
              </w:rPr>
              <w:t>兴化市</w:t>
            </w:r>
          </w:p>
        </w:tc>
        <w:tc>
          <w:tcPr>
            <w:tcW w:w="992" w:type="pct"/>
            <w:vAlign w:val="center"/>
          </w:tcPr>
          <w:p w14:paraId="17D27D5A">
            <w:pPr>
              <w:pStyle w:val="57"/>
              <w:jc w:val="center"/>
              <w:rPr>
                <w:sz w:val="22"/>
                <w:szCs w:val="22"/>
              </w:rPr>
            </w:pPr>
            <w:r>
              <w:rPr>
                <w:sz w:val="22"/>
                <w:szCs w:val="22"/>
              </w:rPr>
              <w:t>15.4</w:t>
            </w:r>
          </w:p>
        </w:tc>
        <w:tc>
          <w:tcPr>
            <w:tcW w:w="755" w:type="pct"/>
            <w:shd w:val="clear" w:color="auto" w:fill="auto"/>
            <w:noWrap/>
            <w:vAlign w:val="center"/>
          </w:tcPr>
          <w:p w14:paraId="314AE64B">
            <w:pPr>
              <w:pStyle w:val="57"/>
              <w:jc w:val="center"/>
              <w:rPr>
                <w:sz w:val="22"/>
                <w:szCs w:val="22"/>
              </w:rPr>
            </w:pPr>
            <w:r>
              <w:rPr>
                <w:sz w:val="22"/>
                <w:szCs w:val="22"/>
              </w:rPr>
              <w:t>县级河流</w:t>
            </w:r>
          </w:p>
        </w:tc>
      </w:tr>
      <w:tr w14:paraId="05179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1D07BCAA">
            <w:pPr>
              <w:pStyle w:val="57"/>
              <w:jc w:val="center"/>
              <w:rPr>
                <w:sz w:val="22"/>
                <w:szCs w:val="22"/>
              </w:rPr>
            </w:pPr>
            <w:r>
              <w:rPr>
                <w:sz w:val="22"/>
                <w:szCs w:val="22"/>
              </w:rPr>
              <w:t>112</w:t>
            </w:r>
          </w:p>
        </w:tc>
        <w:tc>
          <w:tcPr>
            <w:tcW w:w="1212" w:type="pct"/>
            <w:shd w:val="clear" w:color="auto" w:fill="auto"/>
            <w:noWrap/>
            <w:vAlign w:val="center"/>
          </w:tcPr>
          <w:p w14:paraId="0135EB87">
            <w:pPr>
              <w:pStyle w:val="57"/>
              <w:jc w:val="center"/>
              <w:rPr>
                <w:sz w:val="22"/>
                <w:szCs w:val="22"/>
              </w:rPr>
            </w:pPr>
            <w:r>
              <w:rPr>
                <w:sz w:val="22"/>
                <w:szCs w:val="22"/>
              </w:rPr>
              <w:t>中心河</w:t>
            </w:r>
          </w:p>
        </w:tc>
        <w:tc>
          <w:tcPr>
            <w:tcW w:w="1641" w:type="pct"/>
            <w:vAlign w:val="center"/>
          </w:tcPr>
          <w:p w14:paraId="203535A8">
            <w:pPr>
              <w:pStyle w:val="57"/>
              <w:jc w:val="center"/>
            </w:pPr>
            <w:r>
              <w:t>泰州</w:t>
            </w:r>
            <w:r>
              <w:rPr>
                <w:sz w:val="22"/>
                <w:szCs w:val="22"/>
              </w:rPr>
              <w:t>兴化市</w:t>
            </w:r>
          </w:p>
        </w:tc>
        <w:tc>
          <w:tcPr>
            <w:tcW w:w="992" w:type="pct"/>
            <w:vAlign w:val="center"/>
          </w:tcPr>
          <w:p w14:paraId="78A1499B">
            <w:pPr>
              <w:pStyle w:val="57"/>
              <w:jc w:val="center"/>
              <w:rPr>
                <w:sz w:val="22"/>
                <w:szCs w:val="22"/>
              </w:rPr>
            </w:pPr>
            <w:r>
              <w:rPr>
                <w:sz w:val="22"/>
                <w:szCs w:val="22"/>
              </w:rPr>
              <w:t>11.7</w:t>
            </w:r>
          </w:p>
        </w:tc>
        <w:tc>
          <w:tcPr>
            <w:tcW w:w="755" w:type="pct"/>
            <w:shd w:val="clear" w:color="auto" w:fill="auto"/>
            <w:noWrap/>
            <w:vAlign w:val="center"/>
          </w:tcPr>
          <w:p w14:paraId="0C88F1A7">
            <w:pPr>
              <w:pStyle w:val="57"/>
              <w:jc w:val="center"/>
              <w:rPr>
                <w:sz w:val="22"/>
                <w:szCs w:val="22"/>
              </w:rPr>
            </w:pPr>
            <w:r>
              <w:rPr>
                <w:sz w:val="22"/>
                <w:szCs w:val="22"/>
              </w:rPr>
              <w:t>县级河流</w:t>
            </w:r>
          </w:p>
        </w:tc>
      </w:tr>
      <w:tr w14:paraId="3E8F4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4BD36F8F">
            <w:pPr>
              <w:pStyle w:val="57"/>
              <w:jc w:val="center"/>
              <w:rPr>
                <w:sz w:val="22"/>
                <w:szCs w:val="22"/>
              </w:rPr>
            </w:pPr>
            <w:r>
              <w:rPr>
                <w:sz w:val="22"/>
                <w:szCs w:val="22"/>
              </w:rPr>
              <w:t>113</w:t>
            </w:r>
          </w:p>
        </w:tc>
        <w:tc>
          <w:tcPr>
            <w:tcW w:w="1212" w:type="pct"/>
            <w:shd w:val="clear" w:color="auto" w:fill="auto"/>
            <w:noWrap/>
            <w:vAlign w:val="center"/>
          </w:tcPr>
          <w:p w14:paraId="7CF9100B">
            <w:pPr>
              <w:pStyle w:val="57"/>
              <w:jc w:val="center"/>
              <w:rPr>
                <w:sz w:val="22"/>
                <w:szCs w:val="22"/>
              </w:rPr>
            </w:pPr>
            <w:r>
              <w:rPr>
                <w:sz w:val="22"/>
                <w:szCs w:val="22"/>
              </w:rPr>
              <w:t>红旗河</w:t>
            </w:r>
          </w:p>
        </w:tc>
        <w:tc>
          <w:tcPr>
            <w:tcW w:w="1641" w:type="pct"/>
            <w:vAlign w:val="center"/>
          </w:tcPr>
          <w:p w14:paraId="61C35DAA">
            <w:pPr>
              <w:pStyle w:val="57"/>
              <w:jc w:val="center"/>
            </w:pPr>
            <w:r>
              <w:t>泰州</w:t>
            </w:r>
            <w:r>
              <w:rPr>
                <w:sz w:val="22"/>
                <w:szCs w:val="22"/>
              </w:rPr>
              <w:t>兴化市</w:t>
            </w:r>
          </w:p>
        </w:tc>
        <w:tc>
          <w:tcPr>
            <w:tcW w:w="992" w:type="pct"/>
            <w:vAlign w:val="center"/>
          </w:tcPr>
          <w:p w14:paraId="0F5C4E94">
            <w:pPr>
              <w:pStyle w:val="57"/>
              <w:jc w:val="center"/>
              <w:rPr>
                <w:sz w:val="22"/>
                <w:szCs w:val="22"/>
              </w:rPr>
            </w:pPr>
            <w:r>
              <w:rPr>
                <w:sz w:val="22"/>
                <w:szCs w:val="22"/>
              </w:rPr>
              <w:t>6.5</w:t>
            </w:r>
          </w:p>
        </w:tc>
        <w:tc>
          <w:tcPr>
            <w:tcW w:w="755" w:type="pct"/>
            <w:shd w:val="clear" w:color="auto" w:fill="auto"/>
            <w:noWrap/>
            <w:vAlign w:val="center"/>
          </w:tcPr>
          <w:p w14:paraId="15413870">
            <w:pPr>
              <w:pStyle w:val="57"/>
              <w:jc w:val="center"/>
              <w:rPr>
                <w:sz w:val="22"/>
                <w:szCs w:val="22"/>
              </w:rPr>
            </w:pPr>
            <w:r>
              <w:rPr>
                <w:sz w:val="22"/>
                <w:szCs w:val="22"/>
              </w:rPr>
              <w:t>县级河流</w:t>
            </w:r>
          </w:p>
        </w:tc>
      </w:tr>
      <w:tr w14:paraId="60762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1FD87D15">
            <w:pPr>
              <w:pStyle w:val="57"/>
              <w:jc w:val="center"/>
              <w:rPr>
                <w:sz w:val="22"/>
                <w:szCs w:val="22"/>
              </w:rPr>
            </w:pPr>
            <w:r>
              <w:rPr>
                <w:sz w:val="22"/>
                <w:szCs w:val="22"/>
              </w:rPr>
              <w:t>114</w:t>
            </w:r>
          </w:p>
        </w:tc>
        <w:tc>
          <w:tcPr>
            <w:tcW w:w="1212" w:type="pct"/>
            <w:shd w:val="clear" w:color="auto" w:fill="auto"/>
            <w:noWrap/>
            <w:vAlign w:val="center"/>
          </w:tcPr>
          <w:p w14:paraId="7C06FE37">
            <w:pPr>
              <w:pStyle w:val="57"/>
              <w:jc w:val="center"/>
              <w:rPr>
                <w:sz w:val="22"/>
                <w:szCs w:val="22"/>
              </w:rPr>
            </w:pPr>
            <w:r>
              <w:rPr>
                <w:sz w:val="22"/>
                <w:szCs w:val="22"/>
              </w:rPr>
              <w:t>永林河</w:t>
            </w:r>
          </w:p>
        </w:tc>
        <w:tc>
          <w:tcPr>
            <w:tcW w:w="1641" w:type="pct"/>
            <w:vAlign w:val="center"/>
          </w:tcPr>
          <w:p w14:paraId="071A06A9">
            <w:pPr>
              <w:pStyle w:val="57"/>
              <w:jc w:val="center"/>
            </w:pPr>
            <w:r>
              <w:t>泰州</w:t>
            </w:r>
            <w:r>
              <w:rPr>
                <w:sz w:val="22"/>
                <w:szCs w:val="22"/>
              </w:rPr>
              <w:t>兴化市</w:t>
            </w:r>
          </w:p>
        </w:tc>
        <w:tc>
          <w:tcPr>
            <w:tcW w:w="992" w:type="pct"/>
            <w:vAlign w:val="center"/>
          </w:tcPr>
          <w:p w14:paraId="31846D5E">
            <w:pPr>
              <w:pStyle w:val="57"/>
              <w:jc w:val="center"/>
              <w:rPr>
                <w:sz w:val="22"/>
                <w:szCs w:val="22"/>
              </w:rPr>
            </w:pPr>
            <w:r>
              <w:rPr>
                <w:sz w:val="22"/>
                <w:szCs w:val="22"/>
              </w:rPr>
              <w:t>13.7</w:t>
            </w:r>
          </w:p>
        </w:tc>
        <w:tc>
          <w:tcPr>
            <w:tcW w:w="755" w:type="pct"/>
            <w:shd w:val="clear" w:color="auto" w:fill="auto"/>
            <w:noWrap/>
            <w:vAlign w:val="center"/>
          </w:tcPr>
          <w:p w14:paraId="4AD8E167">
            <w:pPr>
              <w:pStyle w:val="57"/>
              <w:jc w:val="center"/>
              <w:rPr>
                <w:sz w:val="22"/>
                <w:szCs w:val="22"/>
              </w:rPr>
            </w:pPr>
            <w:r>
              <w:rPr>
                <w:sz w:val="22"/>
                <w:szCs w:val="22"/>
              </w:rPr>
              <w:t>县级河流</w:t>
            </w:r>
          </w:p>
        </w:tc>
      </w:tr>
      <w:tr w14:paraId="5E875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4E8B2F5C">
            <w:pPr>
              <w:pStyle w:val="57"/>
              <w:jc w:val="center"/>
              <w:rPr>
                <w:sz w:val="22"/>
                <w:szCs w:val="22"/>
              </w:rPr>
            </w:pPr>
            <w:r>
              <w:rPr>
                <w:sz w:val="22"/>
                <w:szCs w:val="22"/>
              </w:rPr>
              <w:t>115</w:t>
            </w:r>
          </w:p>
        </w:tc>
        <w:tc>
          <w:tcPr>
            <w:tcW w:w="1212" w:type="pct"/>
            <w:shd w:val="clear" w:color="auto" w:fill="auto"/>
            <w:noWrap/>
            <w:vAlign w:val="center"/>
          </w:tcPr>
          <w:p w14:paraId="58BA5479">
            <w:pPr>
              <w:pStyle w:val="57"/>
              <w:jc w:val="center"/>
              <w:rPr>
                <w:sz w:val="22"/>
                <w:szCs w:val="22"/>
              </w:rPr>
            </w:pPr>
            <w:r>
              <w:rPr>
                <w:sz w:val="22"/>
                <w:szCs w:val="22"/>
              </w:rPr>
              <w:t>阵营港</w:t>
            </w:r>
          </w:p>
        </w:tc>
        <w:tc>
          <w:tcPr>
            <w:tcW w:w="1641" w:type="pct"/>
            <w:vAlign w:val="center"/>
          </w:tcPr>
          <w:p w14:paraId="58853F96">
            <w:pPr>
              <w:pStyle w:val="57"/>
              <w:jc w:val="center"/>
            </w:pPr>
            <w:r>
              <w:t>泰州</w:t>
            </w:r>
            <w:r>
              <w:rPr>
                <w:sz w:val="22"/>
                <w:szCs w:val="22"/>
              </w:rPr>
              <w:t>兴化市</w:t>
            </w:r>
          </w:p>
        </w:tc>
        <w:tc>
          <w:tcPr>
            <w:tcW w:w="992" w:type="pct"/>
            <w:vAlign w:val="center"/>
          </w:tcPr>
          <w:p w14:paraId="23E820EA">
            <w:pPr>
              <w:pStyle w:val="57"/>
              <w:jc w:val="center"/>
              <w:rPr>
                <w:sz w:val="22"/>
                <w:szCs w:val="22"/>
              </w:rPr>
            </w:pPr>
            <w:r>
              <w:rPr>
                <w:sz w:val="22"/>
                <w:szCs w:val="22"/>
              </w:rPr>
              <w:t>8.8</w:t>
            </w:r>
          </w:p>
        </w:tc>
        <w:tc>
          <w:tcPr>
            <w:tcW w:w="755" w:type="pct"/>
            <w:shd w:val="clear" w:color="auto" w:fill="auto"/>
            <w:noWrap/>
            <w:vAlign w:val="center"/>
          </w:tcPr>
          <w:p w14:paraId="26316C56">
            <w:pPr>
              <w:pStyle w:val="57"/>
              <w:jc w:val="center"/>
              <w:rPr>
                <w:sz w:val="22"/>
                <w:szCs w:val="22"/>
              </w:rPr>
            </w:pPr>
            <w:r>
              <w:rPr>
                <w:sz w:val="22"/>
                <w:szCs w:val="22"/>
              </w:rPr>
              <w:t>县级河流</w:t>
            </w:r>
          </w:p>
        </w:tc>
      </w:tr>
      <w:tr w14:paraId="2CAEB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42E754C8">
            <w:pPr>
              <w:pStyle w:val="57"/>
              <w:jc w:val="center"/>
              <w:rPr>
                <w:sz w:val="22"/>
                <w:szCs w:val="22"/>
              </w:rPr>
            </w:pPr>
            <w:r>
              <w:rPr>
                <w:sz w:val="22"/>
                <w:szCs w:val="22"/>
              </w:rPr>
              <w:t>116</w:t>
            </w:r>
          </w:p>
        </w:tc>
        <w:tc>
          <w:tcPr>
            <w:tcW w:w="1212" w:type="pct"/>
            <w:shd w:val="clear" w:color="auto" w:fill="auto"/>
            <w:noWrap/>
            <w:vAlign w:val="center"/>
          </w:tcPr>
          <w:p w14:paraId="5B1D0280">
            <w:pPr>
              <w:pStyle w:val="57"/>
              <w:jc w:val="center"/>
              <w:rPr>
                <w:sz w:val="22"/>
                <w:szCs w:val="22"/>
              </w:rPr>
            </w:pPr>
            <w:r>
              <w:rPr>
                <w:sz w:val="22"/>
                <w:szCs w:val="22"/>
              </w:rPr>
              <w:t>洋子港</w:t>
            </w:r>
          </w:p>
        </w:tc>
        <w:tc>
          <w:tcPr>
            <w:tcW w:w="1641" w:type="pct"/>
            <w:vAlign w:val="center"/>
          </w:tcPr>
          <w:p w14:paraId="582564CC">
            <w:pPr>
              <w:pStyle w:val="57"/>
              <w:jc w:val="center"/>
            </w:pPr>
            <w:r>
              <w:t>泰州</w:t>
            </w:r>
            <w:r>
              <w:rPr>
                <w:sz w:val="22"/>
                <w:szCs w:val="22"/>
              </w:rPr>
              <w:t>兴化市</w:t>
            </w:r>
          </w:p>
        </w:tc>
        <w:tc>
          <w:tcPr>
            <w:tcW w:w="992" w:type="pct"/>
            <w:vAlign w:val="center"/>
          </w:tcPr>
          <w:p w14:paraId="39278A0B">
            <w:pPr>
              <w:pStyle w:val="57"/>
              <w:jc w:val="center"/>
              <w:rPr>
                <w:sz w:val="22"/>
                <w:szCs w:val="22"/>
              </w:rPr>
            </w:pPr>
            <w:r>
              <w:rPr>
                <w:sz w:val="22"/>
                <w:szCs w:val="22"/>
              </w:rPr>
              <w:t>9.2</w:t>
            </w:r>
          </w:p>
        </w:tc>
        <w:tc>
          <w:tcPr>
            <w:tcW w:w="755" w:type="pct"/>
            <w:shd w:val="clear" w:color="auto" w:fill="auto"/>
            <w:noWrap/>
            <w:vAlign w:val="center"/>
          </w:tcPr>
          <w:p w14:paraId="39B9EE6A">
            <w:pPr>
              <w:pStyle w:val="57"/>
              <w:jc w:val="center"/>
              <w:rPr>
                <w:sz w:val="22"/>
                <w:szCs w:val="22"/>
              </w:rPr>
            </w:pPr>
            <w:r>
              <w:rPr>
                <w:sz w:val="22"/>
                <w:szCs w:val="22"/>
              </w:rPr>
              <w:t>县级河流</w:t>
            </w:r>
          </w:p>
        </w:tc>
      </w:tr>
      <w:tr w14:paraId="4B81C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47D0192C">
            <w:pPr>
              <w:pStyle w:val="57"/>
              <w:jc w:val="center"/>
              <w:rPr>
                <w:sz w:val="22"/>
                <w:szCs w:val="22"/>
              </w:rPr>
            </w:pPr>
            <w:r>
              <w:rPr>
                <w:sz w:val="22"/>
                <w:szCs w:val="22"/>
              </w:rPr>
              <w:t>117</w:t>
            </w:r>
          </w:p>
        </w:tc>
        <w:tc>
          <w:tcPr>
            <w:tcW w:w="1212" w:type="pct"/>
            <w:shd w:val="clear" w:color="auto" w:fill="auto"/>
            <w:noWrap/>
            <w:vAlign w:val="center"/>
          </w:tcPr>
          <w:p w14:paraId="27505B29">
            <w:pPr>
              <w:pStyle w:val="57"/>
              <w:jc w:val="center"/>
              <w:rPr>
                <w:sz w:val="22"/>
                <w:szCs w:val="22"/>
              </w:rPr>
            </w:pPr>
            <w:r>
              <w:rPr>
                <w:sz w:val="22"/>
                <w:szCs w:val="22"/>
              </w:rPr>
              <w:t>反修河</w:t>
            </w:r>
          </w:p>
        </w:tc>
        <w:tc>
          <w:tcPr>
            <w:tcW w:w="1641" w:type="pct"/>
            <w:vAlign w:val="center"/>
          </w:tcPr>
          <w:p w14:paraId="23618865">
            <w:pPr>
              <w:pStyle w:val="57"/>
              <w:jc w:val="center"/>
            </w:pPr>
            <w:r>
              <w:t>泰州</w:t>
            </w:r>
            <w:r>
              <w:rPr>
                <w:sz w:val="22"/>
                <w:szCs w:val="22"/>
              </w:rPr>
              <w:t>兴化市</w:t>
            </w:r>
          </w:p>
        </w:tc>
        <w:tc>
          <w:tcPr>
            <w:tcW w:w="992" w:type="pct"/>
            <w:vAlign w:val="center"/>
          </w:tcPr>
          <w:p w14:paraId="78FF241E">
            <w:pPr>
              <w:pStyle w:val="57"/>
              <w:jc w:val="center"/>
              <w:rPr>
                <w:sz w:val="22"/>
                <w:szCs w:val="22"/>
              </w:rPr>
            </w:pPr>
            <w:r>
              <w:rPr>
                <w:sz w:val="22"/>
                <w:szCs w:val="22"/>
              </w:rPr>
              <w:t>8.9</w:t>
            </w:r>
          </w:p>
        </w:tc>
        <w:tc>
          <w:tcPr>
            <w:tcW w:w="755" w:type="pct"/>
            <w:shd w:val="clear" w:color="auto" w:fill="auto"/>
            <w:noWrap/>
            <w:vAlign w:val="center"/>
          </w:tcPr>
          <w:p w14:paraId="0ED904A5">
            <w:pPr>
              <w:pStyle w:val="57"/>
              <w:jc w:val="center"/>
              <w:rPr>
                <w:sz w:val="22"/>
                <w:szCs w:val="22"/>
              </w:rPr>
            </w:pPr>
            <w:r>
              <w:rPr>
                <w:sz w:val="22"/>
                <w:szCs w:val="22"/>
              </w:rPr>
              <w:t>县级河流</w:t>
            </w:r>
          </w:p>
        </w:tc>
      </w:tr>
      <w:tr w14:paraId="59A63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45DB9815">
            <w:pPr>
              <w:pStyle w:val="57"/>
              <w:jc w:val="center"/>
              <w:rPr>
                <w:sz w:val="22"/>
                <w:szCs w:val="22"/>
              </w:rPr>
            </w:pPr>
            <w:r>
              <w:rPr>
                <w:sz w:val="22"/>
                <w:szCs w:val="22"/>
              </w:rPr>
              <w:t>118</w:t>
            </w:r>
          </w:p>
        </w:tc>
        <w:tc>
          <w:tcPr>
            <w:tcW w:w="1212" w:type="pct"/>
            <w:shd w:val="clear" w:color="auto" w:fill="auto"/>
            <w:noWrap/>
            <w:vAlign w:val="center"/>
          </w:tcPr>
          <w:p w14:paraId="2A9937E2">
            <w:pPr>
              <w:pStyle w:val="57"/>
              <w:jc w:val="center"/>
              <w:rPr>
                <w:sz w:val="22"/>
                <w:szCs w:val="22"/>
              </w:rPr>
            </w:pPr>
            <w:r>
              <w:rPr>
                <w:sz w:val="22"/>
                <w:szCs w:val="22"/>
              </w:rPr>
              <w:t>东四五河</w:t>
            </w:r>
          </w:p>
        </w:tc>
        <w:tc>
          <w:tcPr>
            <w:tcW w:w="1641" w:type="pct"/>
            <w:vAlign w:val="center"/>
          </w:tcPr>
          <w:p w14:paraId="157284F6">
            <w:pPr>
              <w:pStyle w:val="57"/>
              <w:jc w:val="center"/>
            </w:pPr>
            <w:r>
              <w:t>泰州</w:t>
            </w:r>
            <w:r>
              <w:rPr>
                <w:sz w:val="22"/>
                <w:szCs w:val="22"/>
              </w:rPr>
              <w:t>兴化市</w:t>
            </w:r>
          </w:p>
        </w:tc>
        <w:tc>
          <w:tcPr>
            <w:tcW w:w="992" w:type="pct"/>
            <w:vAlign w:val="center"/>
          </w:tcPr>
          <w:p w14:paraId="47BE49EE">
            <w:pPr>
              <w:pStyle w:val="57"/>
              <w:jc w:val="center"/>
              <w:rPr>
                <w:sz w:val="22"/>
                <w:szCs w:val="22"/>
              </w:rPr>
            </w:pPr>
            <w:r>
              <w:rPr>
                <w:sz w:val="22"/>
                <w:szCs w:val="22"/>
              </w:rPr>
              <w:t>8.8</w:t>
            </w:r>
          </w:p>
        </w:tc>
        <w:tc>
          <w:tcPr>
            <w:tcW w:w="755" w:type="pct"/>
            <w:shd w:val="clear" w:color="auto" w:fill="auto"/>
            <w:noWrap/>
            <w:vAlign w:val="center"/>
          </w:tcPr>
          <w:p w14:paraId="3DF5D58E">
            <w:pPr>
              <w:pStyle w:val="57"/>
              <w:jc w:val="center"/>
              <w:rPr>
                <w:sz w:val="22"/>
                <w:szCs w:val="22"/>
              </w:rPr>
            </w:pPr>
            <w:r>
              <w:rPr>
                <w:sz w:val="22"/>
                <w:szCs w:val="22"/>
              </w:rPr>
              <w:t>县级河流</w:t>
            </w:r>
          </w:p>
        </w:tc>
      </w:tr>
      <w:tr w14:paraId="68355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3D45E527">
            <w:pPr>
              <w:pStyle w:val="57"/>
              <w:jc w:val="center"/>
              <w:rPr>
                <w:sz w:val="22"/>
                <w:szCs w:val="22"/>
              </w:rPr>
            </w:pPr>
            <w:r>
              <w:rPr>
                <w:sz w:val="22"/>
                <w:szCs w:val="22"/>
              </w:rPr>
              <w:t>119</w:t>
            </w:r>
          </w:p>
        </w:tc>
        <w:tc>
          <w:tcPr>
            <w:tcW w:w="1212" w:type="pct"/>
            <w:shd w:val="clear" w:color="auto" w:fill="auto"/>
            <w:noWrap/>
            <w:vAlign w:val="center"/>
          </w:tcPr>
          <w:p w14:paraId="3B796E63">
            <w:pPr>
              <w:pStyle w:val="57"/>
              <w:jc w:val="center"/>
              <w:rPr>
                <w:sz w:val="22"/>
                <w:szCs w:val="22"/>
              </w:rPr>
            </w:pPr>
            <w:r>
              <w:rPr>
                <w:sz w:val="22"/>
                <w:szCs w:val="22"/>
              </w:rPr>
              <w:t>宝应河</w:t>
            </w:r>
          </w:p>
        </w:tc>
        <w:tc>
          <w:tcPr>
            <w:tcW w:w="1641" w:type="pct"/>
            <w:vAlign w:val="center"/>
          </w:tcPr>
          <w:p w14:paraId="6D7B653F">
            <w:pPr>
              <w:pStyle w:val="57"/>
              <w:jc w:val="center"/>
            </w:pPr>
            <w:r>
              <w:t>泰州</w:t>
            </w:r>
            <w:r>
              <w:rPr>
                <w:sz w:val="22"/>
                <w:szCs w:val="22"/>
              </w:rPr>
              <w:t>兴化市</w:t>
            </w:r>
          </w:p>
        </w:tc>
        <w:tc>
          <w:tcPr>
            <w:tcW w:w="992" w:type="pct"/>
            <w:vAlign w:val="center"/>
          </w:tcPr>
          <w:p w14:paraId="2D9CE022">
            <w:pPr>
              <w:pStyle w:val="57"/>
              <w:jc w:val="center"/>
              <w:rPr>
                <w:sz w:val="22"/>
                <w:szCs w:val="22"/>
              </w:rPr>
            </w:pPr>
            <w:r>
              <w:rPr>
                <w:sz w:val="22"/>
                <w:szCs w:val="22"/>
              </w:rPr>
              <w:t>7.0</w:t>
            </w:r>
          </w:p>
        </w:tc>
        <w:tc>
          <w:tcPr>
            <w:tcW w:w="755" w:type="pct"/>
            <w:shd w:val="clear" w:color="auto" w:fill="auto"/>
            <w:noWrap/>
            <w:vAlign w:val="center"/>
          </w:tcPr>
          <w:p w14:paraId="420CEDC2">
            <w:pPr>
              <w:pStyle w:val="57"/>
              <w:jc w:val="center"/>
              <w:rPr>
                <w:sz w:val="22"/>
                <w:szCs w:val="22"/>
              </w:rPr>
            </w:pPr>
            <w:r>
              <w:rPr>
                <w:sz w:val="22"/>
                <w:szCs w:val="22"/>
              </w:rPr>
              <w:t>县级河流</w:t>
            </w:r>
          </w:p>
        </w:tc>
      </w:tr>
      <w:tr w14:paraId="0749F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411A374E">
            <w:pPr>
              <w:pStyle w:val="57"/>
              <w:jc w:val="center"/>
              <w:rPr>
                <w:sz w:val="22"/>
                <w:szCs w:val="22"/>
              </w:rPr>
            </w:pPr>
            <w:r>
              <w:rPr>
                <w:sz w:val="22"/>
                <w:szCs w:val="22"/>
              </w:rPr>
              <w:t>120</w:t>
            </w:r>
          </w:p>
        </w:tc>
        <w:tc>
          <w:tcPr>
            <w:tcW w:w="1212" w:type="pct"/>
            <w:shd w:val="clear" w:color="auto" w:fill="auto"/>
            <w:noWrap/>
            <w:vAlign w:val="center"/>
          </w:tcPr>
          <w:p w14:paraId="0FE2BCCE">
            <w:pPr>
              <w:pStyle w:val="57"/>
              <w:jc w:val="center"/>
              <w:rPr>
                <w:sz w:val="22"/>
                <w:szCs w:val="22"/>
              </w:rPr>
            </w:pPr>
            <w:r>
              <w:rPr>
                <w:sz w:val="22"/>
                <w:szCs w:val="22"/>
              </w:rPr>
              <w:t>龙江河</w:t>
            </w:r>
          </w:p>
        </w:tc>
        <w:tc>
          <w:tcPr>
            <w:tcW w:w="1641" w:type="pct"/>
            <w:vAlign w:val="center"/>
          </w:tcPr>
          <w:p w14:paraId="75B3A3D9">
            <w:pPr>
              <w:pStyle w:val="57"/>
              <w:jc w:val="center"/>
            </w:pPr>
            <w:r>
              <w:t>泰州</w:t>
            </w:r>
            <w:r>
              <w:rPr>
                <w:sz w:val="22"/>
                <w:szCs w:val="22"/>
              </w:rPr>
              <w:t>兴化市</w:t>
            </w:r>
          </w:p>
        </w:tc>
        <w:tc>
          <w:tcPr>
            <w:tcW w:w="992" w:type="pct"/>
            <w:vAlign w:val="center"/>
          </w:tcPr>
          <w:p w14:paraId="7A56AD4A">
            <w:pPr>
              <w:pStyle w:val="57"/>
              <w:jc w:val="center"/>
              <w:rPr>
                <w:sz w:val="22"/>
                <w:szCs w:val="22"/>
              </w:rPr>
            </w:pPr>
            <w:r>
              <w:rPr>
                <w:sz w:val="22"/>
                <w:szCs w:val="22"/>
              </w:rPr>
              <w:t>5.8</w:t>
            </w:r>
          </w:p>
        </w:tc>
        <w:tc>
          <w:tcPr>
            <w:tcW w:w="755" w:type="pct"/>
            <w:shd w:val="clear" w:color="auto" w:fill="auto"/>
            <w:noWrap/>
            <w:vAlign w:val="center"/>
          </w:tcPr>
          <w:p w14:paraId="32634F7C">
            <w:pPr>
              <w:pStyle w:val="57"/>
              <w:jc w:val="center"/>
              <w:rPr>
                <w:sz w:val="22"/>
                <w:szCs w:val="22"/>
              </w:rPr>
            </w:pPr>
            <w:r>
              <w:rPr>
                <w:sz w:val="22"/>
                <w:szCs w:val="22"/>
              </w:rPr>
              <w:t>县级河流</w:t>
            </w:r>
          </w:p>
        </w:tc>
      </w:tr>
      <w:tr w14:paraId="080BD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55CBF3BB">
            <w:pPr>
              <w:pStyle w:val="57"/>
              <w:jc w:val="center"/>
              <w:rPr>
                <w:sz w:val="22"/>
                <w:szCs w:val="22"/>
              </w:rPr>
            </w:pPr>
            <w:r>
              <w:rPr>
                <w:sz w:val="22"/>
                <w:szCs w:val="22"/>
              </w:rPr>
              <w:t>121</w:t>
            </w:r>
          </w:p>
        </w:tc>
        <w:tc>
          <w:tcPr>
            <w:tcW w:w="1212" w:type="pct"/>
            <w:shd w:val="clear" w:color="auto" w:fill="auto"/>
            <w:noWrap/>
            <w:vAlign w:val="center"/>
          </w:tcPr>
          <w:p w14:paraId="572CF9CD">
            <w:pPr>
              <w:pStyle w:val="57"/>
              <w:jc w:val="center"/>
              <w:rPr>
                <w:sz w:val="22"/>
                <w:szCs w:val="22"/>
              </w:rPr>
            </w:pPr>
            <w:r>
              <w:rPr>
                <w:sz w:val="22"/>
                <w:szCs w:val="22"/>
              </w:rPr>
              <w:t>缸洋河</w:t>
            </w:r>
          </w:p>
        </w:tc>
        <w:tc>
          <w:tcPr>
            <w:tcW w:w="1641" w:type="pct"/>
            <w:vAlign w:val="center"/>
          </w:tcPr>
          <w:p w14:paraId="78690C7E">
            <w:pPr>
              <w:pStyle w:val="57"/>
              <w:jc w:val="center"/>
            </w:pPr>
            <w:r>
              <w:t>泰州</w:t>
            </w:r>
            <w:r>
              <w:rPr>
                <w:sz w:val="22"/>
                <w:szCs w:val="22"/>
              </w:rPr>
              <w:t>兴化市</w:t>
            </w:r>
          </w:p>
        </w:tc>
        <w:tc>
          <w:tcPr>
            <w:tcW w:w="992" w:type="pct"/>
            <w:vAlign w:val="center"/>
          </w:tcPr>
          <w:p w14:paraId="222543D1">
            <w:pPr>
              <w:pStyle w:val="57"/>
              <w:jc w:val="center"/>
              <w:rPr>
                <w:sz w:val="22"/>
                <w:szCs w:val="22"/>
              </w:rPr>
            </w:pPr>
            <w:r>
              <w:rPr>
                <w:sz w:val="22"/>
                <w:szCs w:val="22"/>
              </w:rPr>
              <w:t>17.1</w:t>
            </w:r>
          </w:p>
        </w:tc>
        <w:tc>
          <w:tcPr>
            <w:tcW w:w="755" w:type="pct"/>
            <w:shd w:val="clear" w:color="auto" w:fill="auto"/>
            <w:noWrap/>
            <w:vAlign w:val="center"/>
          </w:tcPr>
          <w:p w14:paraId="05E09C6E">
            <w:pPr>
              <w:pStyle w:val="57"/>
              <w:jc w:val="center"/>
              <w:rPr>
                <w:sz w:val="22"/>
                <w:szCs w:val="22"/>
              </w:rPr>
            </w:pPr>
            <w:r>
              <w:rPr>
                <w:sz w:val="22"/>
                <w:szCs w:val="22"/>
              </w:rPr>
              <w:t>县级河流</w:t>
            </w:r>
          </w:p>
        </w:tc>
      </w:tr>
      <w:tr w14:paraId="04BD0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59DD6AF3">
            <w:pPr>
              <w:pStyle w:val="57"/>
              <w:jc w:val="center"/>
              <w:rPr>
                <w:sz w:val="22"/>
                <w:szCs w:val="22"/>
              </w:rPr>
            </w:pPr>
            <w:r>
              <w:rPr>
                <w:sz w:val="22"/>
                <w:szCs w:val="22"/>
              </w:rPr>
              <w:t>122</w:t>
            </w:r>
          </w:p>
        </w:tc>
        <w:tc>
          <w:tcPr>
            <w:tcW w:w="1212" w:type="pct"/>
            <w:shd w:val="clear" w:color="auto" w:fill="auto"/>
            <w:noWrap/>
            <w:vAlign w:val="center"/>
          </w:tcPr>
          <w:p w14:paraId="4FF37EDC">
            <w:pPr>
              <w:pStyle w:val="57"/>
              <w:jc w:val="center"/>
              <w:rPr>
                <w:sz w:val="22"/>
                <w:szCs w:val="22"/>
              </w:rPr>
            </w:pPr>
            <w:r>
              <w:rPr>
                <w:sz w:val="22"/>
                <w:szCs w:val="22"/>
              </w:rPr>
              <w:t>齐河</w:t>
            </w:r>
          </w:p>
        </w:tc>
        <w:tc>
          <w:tcPr>
            <w:tcW w:w="1641" w:type="pct"/>
            <w:vAlign w:val="center"/>
          </w:tcPr>
          <w:p w14:paraId="4B18AE19">
            <w:pPr>
              <w:pStyle w:val="57"/>
              <w:jc w:val="center"/>
            </w:pPr>
            <w:r>
              <w:t>泰州</w:t>
            </w:r>
            <w:r>
              <w:rPr>
                <w:sz w:val="22"/>
                <w:szCs w:val="22"/>
              </w:rPr>
              <w:t>兴化市</w:t>
            </w:r>
          </w:p>
        </w:tc>
        <w:tc>
          <w:tcPr>
            <w:tcW w:w="992" w:type="pct"/>
            <w:vAlign w:val="center"/>
          </w:tcPr>
          <w:p w14:paraId="091A92E1">
            <w:pPr>
              <w:pStyle w:val="57"/>
              <w:jc w:val="center"/>
              <w:rPr>
                <w:sz w:val="22"/>
                <w:szCs w:val="22"/>
              </w:rPr>
            </w:pPr>
            <w:r>
              <w:rPr>
                <w:sz w:val="22"/>
                <w:szCs w:val="22"/>
              </w:rPr>
              <w:t>13.7</w:t>
            </w:r>
          </w:p>
        </w:tc>
        <w:tc>
          <w:tcPr>
            <w:tcW w:w="755" w:type="pct"/>
            <w:shd w:val="clear" w:color="auto" w:fill="auto"/>
            <w:noWrap/>
            <w:vAlign w:val="center"/>
          </w:tcPr>
          <w:p w14:paraId="5C6EA661">
            <w:pPr>
              <w:pStyle w:val="57"/>
              <w:jc w:val="center"/>
              <w:rPr>
                <w:sz w:val="22"/>
                <w:szCs w:val="22"/>
              </w:rPr>
            </w:pPr>
            <w:r>
              <w:rPr>
                <w:sz w:val="22"/>
                <w:szCs w:val="22"/>
              </w:rPr>
              <w:t>县级河流</w:t>
            </w:r>
          </w:p>
        </w:tc>
      </w:tr>
      <w:tr w14:paraId="5474D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0DFD2572">
            <w:pPr>
              <w:pStyle w:val="57"/>
              <w:jc w:val="center"/>
              <w:rPr>
                <w:sz w:val="22"/>
                <w:szCs w:val="22"/>
              </w:rPr>
            </w:pPr>
            <w:r>
              <w:rPr>
                <w:sz w:val="22"/>
                <w:szCs w:val="22"/>
              </w:rPr>
              <w:t>123</w:t>
            </w:r>
          </w:p>
        </w:tc>
        <w:tc>
          <w:tcPr>
            <w:tcW w:w="1212" w:type="pct"/>
            <w:shd w:val="clear" w:color="auto" w:fill="auto"/>
            <w:noWrap/>
            <w:vAlign w:val="center"/>
          </w:tcPr>
          <w:p w14:paraId="470E47CE">
            <w:pPr>
              <w:pStyle w:val="57"/>
              <w:jc w:val="center"/>
              <w:rPr>
                <w:sz w:val="22"/>
                <w:szCs w:val="22"/>
              </w:rPr>
            </w:pPr>
            <w:r>
              <w:rPr>
                <w:sz w:val="22"/>
                <w:szCs w:val="22"/>
              </w:rPr>
              <w:t>大溪河</w:t>
            </w:r>
          </w:p>
        </w:tc>
        <w:tc>
          <w:tcPr>
            <w:tcW w:w="1641" w:type="pct"/>
            <w:vAlign w:val="center"/>
          </w:tcPr>
          <w:p w14:paraId="361B8F33">
            <w:pPr>
              <w:pStyle w:val="57"/>
              <w:jc w:val="center"/>
            </w:pPr>
            <w:r>
              <w:t>泰州</w:t>
            </w:r>
            <w:r>
              <w:rPr>
                <w:sz w:val="22"/>
                <w:szCs w:val="22"/>
              </w:rPr>
              <w:t>兴化市</w:t>
            </w:r>
          </w:p>
        </w:tc>
        <w:tc>
          <w:tcPr>
            <w:tcW w:w="992" w:type="pct"/>
            <w:vAlign w:val="center"/>
          </w:tcPr>
          <w:p w14:paraId="583E9500">
            <w:pPr>
              <w:pStyle w:val="57"/>
              <w:jc w:val="center"/>
              <w:rPr>
                <w:sz w:val="22"/>
                <w:szCs w:val="22"/>
              </w:rPr>
            </w:pPr>
            <w:r>
              <w:rPr>
                <w:sz w:val="22"/>
                <w:szCs w:val="22"/>
              </w:rPr>
              <w:t>26.0</w:t>
            </w:r>
          </w:p>
        </w:tc>
        <w:tc>
          <w:tcPr>
            <w:tcW w:w="755" w:type="pct"/>
            <w:shd w:val="clear" w:color="auto" w:fill="auto"/>
            <w:noWrap/>
            <w:vAlign w:val="center"/>
          </w:tcPr>
          <w:p w14:paraId="60A0A80C">
            <w:pPr>
              <w:pStyle w:val="57"/>
              <w:jc w:val="center"/>
              <w:rPr>
                <w:sz w:val="22"/>
                <w:szCs w:val="22"/>
              </w:rPr>
            </w:pPr>
            <w:r>
              <w:rPr>
                <w:sz w:val="22"/>
                <w:szCs w:val="22"/>
              </w:rPr>
              <w:t>县级河流</w:t>
            </w:r>
          </w:p>
        </w:tc>
      </w:tr>
      <w:tr w14:paraId="7D9DA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39803EB7">
            <w:pPr>
              <w:pStyle w:val="57"/>
              <w:jc w:val="center"/>
              <w:rPr>
                <w:sz w:val="22"/>
                <w:szCs w:val="22"/>
              </w:rPr>
            </w:pPr>
            <w:r>
              <w:rPr>
                <w:sz w:val="22"/>
                <w:szCs w:val="22"/>
              </w:rPr>
              <w:t>124</w:t>
            </w:r>
          </w:p>
        </w:tc>
        <w:tc>
          <w:tcPr>
            <w:tcW w:w="1212" w:type="pct"/>
            <w:shd w:val="clear" w:color="auto" w:fill="auto"/>
            <w:noWrap/>
            <w:vAlign w:val="center"/>
          </w:tcPr>
          <w:p w14:paraId="451CA594">
            <w:pPr>
              <w:pStyle w:val="57"/>
              <w:jc w:val="center"/>
              <w:rPr>
                <w:sz w:val="22"/>
                <w:szCs w:val="22"/>
              </w:rPr>
            </w:pPr>
            <w:r>
              <w:rPr>
                <w:sz w:val="22"/>
                <w:szCs w:val="22"/>
              </w:rPr>
              <w:t>冒竹河</w:t>
            </w:r>
          </w:p>
        </w:tc>
        <w:tc>
          <w:tcPr>
            <w:tcW w:w="1641" w:type="pct"/>
            <w:vAlign w:val="center"/>
          </w:tcPr>
          <w:p w14:paraId="656E6B30">
            <w:pPr>
              <w:pStyle w:val="57"/>
              <w:jc w:val="center"/>
            </w:pPr>
            <w:r>
              <w:t>泰州</w:t>
            </w:r>
            <w:r>
              <w:rPr>
                <w:sz w:val="22"/>
                <w:szCs w:val="22"/>
              </w:rPr>
              <w:t>兴化市</w:t>
            </w:r>
          </w:p>
        </w:tc>
        <w:tc>
          <w:tcPr>
            <w:tcW w:w="992" w:type="pct"/>
            <w:vAlign w:val="center"/>
          </w:tcPr>
          <w:p w14:paraId="5E518763">
            <w:pPr>
              <w:pStyle w:val="57"/>
              <w:jc w:val="center"/>
              <w:rPr>
                <w:sz w:val="22"/>
                <w:szCs w:val="22"/>
              </w:rPr>
            </w:pPr>
            <w:r>
              <w:rPr>
                <w:sz w:val="22"/>
                <w:szCs w:val="22"/>
              </w:rPr>
              <w:t>10.3</w:t>
            </w:r>
          </w:p>
        </w:tc>
        <w:tc>
          <w:tcPr>
            <w:tcW w:w="755" w:type="pct"/>
            <w:shd w:val="clear" w:color="auto" w:fill="auto"/>
            <w:noWrap/>
            <w:vAlign w:val="center"/>
          </w:tcPr>
          <w:p w14:paraId="5B81CC35">
            <w:pPr>
              <w:pStyle w:val="57"/>
              <w:jc w:val="center"/>
              <w:rPr>
                <w:sz w:val="22"/>
                <w:szCs w:val="22"/>
              </w:rPr>
            </w:pPr>
            <w:r>
              <w:rPr>
                <w:sz w:val="22"/>
                <w:szCs w:val="22"/>
              </w:rPr>
              <w:t>县级河流</w:t>
            </w:r>
          </w:p>
        </w:tc>
      </w:tr>
      <w:tr w14:paraId="03E45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0B8FD8FE">
            <w:pPr>
              <w:pStyle w:val="57"/>
              <w:jc w:val="center"/>
              <w:rPr>
                <w:sz w:val="22"/>
                <w:szCs w:val="22"/>
              </w:rPr>
            </w:pPr>
            <w:r>
              <w:rPr>
                <w:sz w:val="22"/>
                <w:szCs w:val="22"/>
              </w:rPr>
              <w:t>125</w:t>
            </w:r>
          </w:p>
        </w:tc>
        <w:tc>
          <w:tcPr>
            <w:tcW w:w="1212" w:type="pct"/>
            <w:shd w:val="clear" w:color="auto" w:fill="auto"/>
            <w:noWrap/>
            <w:vAlign w:val="center"/>
          </w:tcPr>
          <w:p w14:paraId="47E59CA6">
            <w:pPr>
              <w:pStyle w:val="57"/>
              <w:jc w:val="center"/>
              <w:rPr>
                <w:sz w:val="22"/>
                <w:szCs w:val="22"/>
              </w:rPr>
            </w:pPr>
            <w:r>
              <w:rPr>
                <w:sz w:val="22"/>
                <w:szCs w:val="22"/>
              </w:rPr>
              <w:t>朝阳河</w:t>
            </w:r>
          </w:p>
        </w:tc>
        <w:tc>
          <w:tcPr>
            <w:tcW w:w="1641" w:type="pct"/>
            <w:vAlign w:val="center"/>
          </w:tcPr>
          <w:p w14:paraId="73070B59">
            <w:pPr>
              <w:pStyle w:val="57"/>
              <w:jc w:val="center"/>
            </w:pPr>
            <w:r>
              <w:t>泰州</w:t>
            </w:r>
            <w:r>
              <w:rPr>
                <w:sz w:val="22"/>
                <w:szCs w:val="22"/>
              </w:rPr>
              <w:t>兴化市</w:t>
            </w:r>
          </w:p>
        </w:tc>
        <w:tc>
          <w:tcPr>
            <w:tcW w:w="992" w:type="pct"/>
            <w:vAlign w:val="center"/>
          </w:tcPr>
          <w:p w14:paraId="142FADC3">
            <w:pPr>
              <w:pStyle w:val="57"/>
              <w:jc w:val="center"/>
              <w:rPr>
                <w:sz w:val="22"/>
                <w:szCs w:val="22"/>
              </w:rPr>
            </w:pPr>
            <w:r>
              <w:rPr>
                <w:sz w:val="22"/>
                <w:szCs w:val="22"/>
              </w:rPr>
              <w:t>15.3</w:t>
            </w:r>
          </w:p>
        </w:tc>
        <w:tc>
          <w:tcPr>
            <w:tcW w:w="755" w:type="pct"/>
            <w:shd w:val="clear" w:color="auto" w:fill="auto"/>
            <w:noWrap/>
            <w:vAlign w:val="center"/>
          </w:tcPr>
          <w:p w14:paraId="670E292A">
            <w:pPr>
              <w:pStyle w:val="57"/>
              <w:jc w:val="center"/>
              <w:rPr>
                <w:sz w:val="22"/>
                <w:szCs w:val="22"/>
              </w:rPr>
            </w:pPr>
            <w:r>
              <w:rPr>
                <w:sz w:val="22"/>
                <w:szCs w:val="22"/>
              </w:rPr>
              <w:t>县级河流</w:t>
            </w:r>
          </w:p>
        </w:tc>
      </w:tr>
      <w:tr w14:paraId="7A042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27572CF0">
            <w:pPr>
              <w:pStyle w:val="57"/>
              <w:jc w:val="center"/>
              <w:rPr>
                <w:sz w:val="22"/>
                <w:szCs w:val="22"/>
              </w:rPr>
            </w:pPr>
            <w:r>
              <w:rPr>
                <w:sz w:val="22"/>
                <w:szCs w:val="22"/>
              </w:rPr>
              <w:t>126</w:t>
            </w:r>
          </w:p>
        </w:tc>
        <w:tc>
          <w:tcPr>
            <w:tcW w:w="1212" w:type="pct"/>
            <w:shd w:val="clear" w:color="auto" w:fill="auto"/>
            <w:noWrap/>
            <w:vAlign w:val="center"/>
          </w:tcPr>
          <w:p w14:paraId="581EE19C">
            <w:pPr>
              <w:pStyle w:val="57"/>
              <w:jc w:val="center"/>
              <w:rPr>
                <w:sz w:val="22"/>
                <w:szCs w:val="22"/>
              </w:rPr>
            </w:pPr>
            <w:r>
              <w:rPr>
                <w:sz w:val="22"/>
                <w:szCs w:val="22"/>
              </w:rPr>
              <w:t>东塘港</w:t>
            </w:r>
          </w:p>
        </w:tc>
        <w:tc>
          <w:tcPr>
            <w:tcW w:w="1641" w:type="pct"/>
            <w:vAlign w:val="center"/>
          </w:tcPr>
          <w:p w14:paraId="7BB456CD">
            <w:pPr>
              <w:pStyle w:val="57"/>
              <w:jc w:val="center"/>
            </w:pPr>
            <w:r>
              <w:t>泰州</w:t>
            </w:r>
            <w:r>
              <w:rPr>
                <w:sz w:val="22"/>
                <w:szCs w:val="22"/>
              </w:rPr>
              <w:t>兴化市</w:t>
            </w:r>
          </w:p>
        </w:tc>
        <w:tc>
          <w:tcPr>
            <w:tcW w:w="992" w:type="pct"/>
            <w:vAlign w:val="center"/>
          </w:tcPr>
          <w:p w14:paraId="4D015637">
            <w:pPr>
              <w:pStyle w:val="57"/>
              <w:jc w:val="center"/>
              <w:rPr>
                <w:sz w:val="22"/>
                <w:szCs w:val="22"/>
              </w:rPr>
            </w:pPr>
            <w:r>
              <w:rPr>
                <w:sz w:val="22"/>
                <w:szCs w:val="22"/>
              </w:rPr>
              <w:t>34.2</w:t>
            </w:r>
          </w:p>
        </w:tc>
        <w:tc>
          <w:tcPr>
            <w:tcW w:w="755" w:type="pct"/>
            <w:shd w:val="clear" w:color="auto" w:fill="auto"/>
            <w:noWrap/>
            <w:vAlign w:val="center"/>
          </w:tcPr>
          <w:p w14:paraId="2291184F">
            <w:pPr>
              <w:pStyle w:val="57"/>
              <w:jc w:val="center"/>
              <w:rPr>
                <w:sz w:val="22"/>
                <w:szCs w:val="22"/>
              </w:rPr>
            </w:pPr>
            <w:r>
              <w:rPr>
                <w:sz w:val="22"/>
                <w:szCs w:val="22"/>
              </w:rPr>
              <w:t>县级河流</w:t>
            </w:r>
          </w:p>
        </w:tc>
      </w:tr>
      <w:tr w14:paraId="71748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0C3E688E">
            <w:pPr>
              <w:pStyle w:val="57"/>
              <w:jc w:val="center"/>
              <w:rPr>
                <w:sz w:val="22"/>
                <w:szCs w:val="22"/>
              </w:rPr>
            </w:pPr>
            <w:r>
              <w:rPr>
                <w:sz w:val="22"/>
                <w:szCs w:val="22"/>
              </w:rPr>
              <w:t>127</w:t>
            </w:r>
          </w:p>
        </w:tc>
        <w:tc>
          <w:tcPr>
            <w:tcW w:w="1212" w:type="pct"/>
            <w:shd w:val="clear" w:color="auto" w:fill="auto"/>
            <w:noWrap/>
            <w:vAlign w:val="center"/>
          </w:tcPr>
          <w:p w14:paraId="75352333">
            <w:pPr>
              <w:pStyle w:val="57"/>
              <w:jc w:val="center"/>
              <w:rPr>
                <w:sz w:val="22"/>
                <w:szCs w:val="22"/>
              </w:rPr>
            </w:pPr>
            <w:r>
              <w:rPr>
                <w:sz w:val="22"/>
                <w:szCs w:val="22"/>
              </w:rPr>
              <w:t>九里港</w:t>
            </w:r>
          </w:p>
        </w:tc>
        <w:tc>
          <w:tcPr>
            <w:tcW w:w="1641" w:type="pct"/>
            <w:vAlign w:val="center"/>
          </w:tcPr>
          <w:p w14:paraId="64C5C3EC">
            <w:pPr>
              <w:pStyle w:val="57"/>
              <w:jc w:val="center"/>
            </w:pPr>
            <w:r>
              <w:t>泰州</w:t>
            </w:r>
            <w:r>
              <w:rPr>
                <w:sz w:val="22"/>
                <w:szCs w:val="22"/>
              </w:rPr>
              <w:t>兴化市</w:t>
            </w:r>
          </w:p>
        </w:tc>
        <w:tc>
          <w:tcPr>
            <w:tcW w:w="992" w:type="pct"/>
            <w:vAlign w:val="center"/>
          </w:tcPr>
          <w:p w14:paraId="154B2EA2">
            <w:pPr>
              <w:pStyle w:val="57"/>
              <w:jc w:val="center"/>
              <w:rPr>
                <w:sz w:val="22"/>
                <w:szCs w:val="22"/>
              </w:rPr>
            </w:pPr>
            <w:r>
              <w:rPr>
                <w:sz w:val="22"/>
                <w:szCs w:val="22"/>
              </w:rPr>
              <w:t>14.6</w:t>
            </w:r>
          </w:p>
        </w:tc>
        <w:tc>
          <w:tcPr>
            <w:tcW w:w="755" w:type="pct"/>
            <w:shd w:val="clear" w:color="auto" w:fill="auto"/>
            <w:noWrap/>
            <w:vAlign w:val="center"/>
          </w:tcPr>
          <w:p w14:paraId="3A678AB9">
            <w:pPr>
              <w:pStyle w:val="57"/>
              <w:jc w:val="center"/>
              <w:rPr>
                <w:sz w:val="22"/>
                <w:szCs w:val="22"/>
              </w:rPr>
            </w:pPr>
            <w:r>
              <w:rPr>
                <w:sz w:val="22"/>
                <w:szCs w:val="22"/>
              </w:rPr>
              <w:t>县级河流</w:t>
            </w:r>
          </w:p>
        </w:tc>
      </w:tr>
      <w:tr w14:paraId="0046D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015D64E2">
            <w:pPr>
              <w:pStyle w:val="57"/>
              <w:jc w:val="center"/>
              <w:rPr>
                <w:sz w:val="22"/>
                <w:szCs w:val="22"/>
              </w:rPr>
            </w:pPr>
            <w:r>
              <w:rPr>
                <w:sz w:val="22"/>
                <w:szCs w:val="22"/>
              </w:rPr>
              <w:t>128</w:t>
            </w:r>
          </w:p>
        </w:tc>
        <w:tc>
          <w:tcPr>
            <w:tcW w:w="1212" w:type="pct"/>
            <w:shd w:val="clear" w:color="auto" w:fill="auto"/>
            <w:noWrap/>
            <w:vAlign w:val="center"/>
          </w:tcPr>
          <w:p w14:paraId="2B7BB28B">
            <w:pPr>
              <w:pStyle w:val="57"/>
              <w:jc w:val="center"/>
              <w:rPr>
                <w:sz w:val="22"/>
                <w:szCs w:val="22"/>
              </w:rPr>
            </w:pPr>
            <w:r>
              <w:rPr>
                <w:sz w:val="22"/>
                <w:szCs w:val="22"/>
              </w:rPr>
              <w:t>团结河</w:t>
            </w:r>
          </w:p>
        </w:tc>
        <w:tc>
          <w:tcPr>
            <w:tcW w:w="1641" w:type="pct"/>
            <w:vAlign w:val="center"/>
          </w:tcPr>
          <w:p w14:paraId="2E9AF444">
            <w:pPr>
              <w:pStyle w:val="57"/>
              <w:jc w:val="center"/>
            </w:pPr>
            <w:r>
              <w:t>泰州</w:t>
            </w:r>
            <w:r>
              <w:rPr>
                <w:sz w:val="22"/>
                <w:szCs w:val="22"/>
              </w:rPr>
              <w:t>兴化市</w:t>
            </w:r>
          </w:p>
        </w:tc>
        <w:tc>
          <w:tcPr>
            <w:tcW w:w="992" w:type="pct"/>
            <w:vAlign w:val="center"/>
          </w:tcPr>
          <w:p w14:paraId="022C3D3A">
            <w:pPr>
              <w:pStyle w:val="57"/>
              <w:jc w:val="center"/>
              <w:rPr>
                <w:sz w:val="22"/>
                <w:szCs w:val="22"/>
              </w:rPr>
            </w:pPr>
            <w:r>
              <w:rPr>
                <w:sz w:val="22"/>
                <w:szCs w:val="22"/>
              </w:rPr>
              <w:t>28.4</w:t>
            </w:r>
          </w:p>
        </w:tc>
        <w:tc>
          <w:tcPr>
            <w:tcW w:w="755" w:type="pct"/>
            <w:shd w:val="clear" w:color="auto" w:fill="auto"/>
            <w:noWrap/>
            <w:vAlign w:val="center"/>
          </w:tcPr>
          <w:p w14:paraId="100C44DD">
            <w:pPr>
              <w:pStyle w:val="57"/>
              <w:jc w:val="center"/>
              <w:rPr>
                <w:sz w:val="22"/>
                <w:szCs w:val="22"/>
              </w:rPr>
            </w:pPr>
            <w:r>
              <w:rPr>
                <w:sz w:val="22"/>
                <w:szCs w:val="22"/>
              </w:rPr>
              <w:t>县级河流</w:t>
            </w:r>
          </w:p>
        </w:tc>
      </w:tr>
      <w:tr w14:paraId="223AB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2EE89C0D">
            <w:pPr>
              <w:pStyle w:val="57"/>
              <w:jc w:val="center"/>
              <w:rPr>
                <w:sz w:val="22"/>
                <w:szCs w:val="22"/>
              </w:rPr>
            </w:pPr>
            <w:r>
              <w:rPr>
                <w:sz w:val="22"/>
                <w:szCs w:val="22"/>
              </w:rPr>
              <w:t>129</w:t>
            </w:r>
          </w:p>
        </w:tc>
        <w:tc>
          <w:tcPr>
            <w:tcW w:w="1212" w:type="pct"/>
            <w:shd w:val="clear" w:color="auto" w:fill="auto"/>
            <w:noWrap/>
            <w:vAlign w:val="center"/>
          </w:tcPr>
          <w:p w14:paraId="04304D95">
            <w:pPr>
              <w:pStyle w:val="57"/>
              <w:jc w:val="center"/>
              <w:rPr>
                <w:sz w:val="22"/>
                <w:szCs w:val="22"/>
              </w:rPr>
            </w:pPr>
            <w:r>
              <w:rPr>
                <w:sz w:val="22"/>
                <w:szCs w:val="22"/>
              </w:rPr>
              <w:t>通界河</w:t>
            </w:r>
          </w:p>
        </w:tc>
        <w:tc>
          <w:tcPr>
            <w:tcW w:w="1641" w:type="pct"/>
            <w:vAlign w:val="center"/>
          </w:tcPr>
          <w:p w14:paraId="4F302794">
            <w:pPr>
              <w:pStyle w:val="57"/>
              <w:jc w:val="center"/>
            </w:pPr>
            <w:r>
              <w:t>泰州</w:t>
            </w:r>
            <w:r>
              <w:rPr>
                <w:sz w:val="22"/>
                <w:szCs w:val="22"/>
              </w:rPr>
              <w:t>兴化市</w:t>
            </w:r>
          </w:p>
        </w:tc>
        <w:tc>
          <w:tcPr>
            <w:tcW w:w="992" w:type="pct"/>
            <w:vAlign w:val="center"/>
          </w:tcPr>
          <w:p w14:paraId="2611C726">
            <w:pPr>
              <w:pStyle w:val="57"/>
              <w:jc w:val="center"/>
              <w:rPr>
                <w:sz w:val="22"/>
                <w:szCs w:val="22"/>
              </w:rPr>
            </w:pPr>
            <w:r>
              <w:rPr>
                <w:sz w:val="22"/>
                <w:szCs w:val="22"/>
              </w:rPr>
              <w:t>11.9</w:t>
            </w:r>
          </w:p>
        </w:tc>
        <w:tc>
          <w:tcPr>
            <w:tcW w:w="755" w:type="pct"/>
            <w:shd w:val="clear" w:color="auto" w:fill="auto"/>
            <w:noWrap/>
            <w:vAlign w:val="center"/>
          </w:tcPr>
          <w:p w14:paraId="4D0472D0">
            <w:pPr>
              <w:pStyle w:val="57"/>
              <w:jc w:val="center"/>
              <w:rPr>
                <w:sz w:val="22"/>
                <w:szCs w:val="22"/>
              </w:rPr>
            </w:pPr>
            <w:r>
              <w:rPr>
                <w:sz w:val="22"/>
                <w:szCs w:val="22"/>
              </w:rPr>
              <w:t>县级河流</w:t>
            </w:r>
          </w:p>
        </w:tc>
      </w:tr>
      <w:tr w14:paraId="18A80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1789AA5D">
            <w:pPr>
              <w:pStyle w:val="57"/>
              <w:jc w:val="center"/>
              <w:rPr>
                <w:sz w:val="22"/>
                <w:szCs w:val="22"/>
              </w:rPr>
            </w:pPr>
            <w:r>
              <w:rPr>
                <w:sz w:val="22"/>
                <w:szCs w:val="22"/>
              </w:rPr>
              <w:t>130</w:t>
            </w:r>
          </w:p>
        </w:tc>
        <w:tc>
          <w:tcPr>
            <w:tcW w:w="1212" w:type="pct"/>
            <w:shd w:val="clear" w:color="auto" w:fill="auto"/>
            <w:noWrap/>
            <w:vAlign w:val="center"/>
          </w:tcPr>
          <w:p w14:paraId="6BBF3C1A">
            <w:pPr>
              <w:pStyle w:val="57"/>
              <w:jc w:val="center"/>
              <w:rPr>
                <w:sz w:val="22"/>
                <w:szCs w:val="22"/>
              </w:rPr>
            </w:pPr>
            <w:r>
              <w:rPr>
                <w:sz w:val="22"/>
                <w:szCs w:val="22"/>
              </w:rPr>
              <w:t>买水河</w:t>
            </w:r>
          </w:p>
        </w:tc>
        <w:tc>
          <w:tcPr>
            <w:tcW w:w="1641" w:type="pct"/>
            <w:vAlign w:val="center"/>
          </w:tcPr>
          <w:p w14:paraId="72AF71C6">
            <w:pPr>
              <w:pStyle w:val="57"/>
              <w:jc w:val="center"/>
            </w:pPr>
            <w:r>
              <w:t>泰州</w:t>
            </w:r>
            <w:r>
              <w:rPr>
                <w:sz w:val="22"/>
                <w:szCs w:val="22"/>
              </w:rPr>
              <w:t>兴化市</w:t>
            </w:r>
          </w:p>
        </w:tc>
        <w:tc>
          <w:tcPr>
            <w:tcW w:w="992" w:type="pct"/>
            <w:vAlign w:val="center"/>
          </w:tcPr>
          <w:p w14:paraId="66EB6A47">
            <w:pPr>
              <w:pStyle w:val="57"/>
              <w:jc w:val="center"/>
              <w:rPr>
                <w:sz w:val="22"/>
                <w:szCs w:val="22"/>
              </w:rPr>
            </w:pPr>
            <w:r>
              <w:rPr>
                <w:sz w:val="22"/>
                <w:szCs w:val="22"/>
              </w:rPr>
              <w:t>6.4</w:t>
            </w:r>
          </w:p>
        </w:tc>
        <w:tc>
          <w:tcPr>
            <w:tcW w:w="755" w:type="pct"/>
            <w:shd w:val="clear" w:color="auto" w:fill="auto"/>
            <w:noWrap/>
            <w:vAlign w:val="center"/>
          </w:tcPr>
          <w:p w14:paraId="46C2F9D6">
            <w:pPr>
              <w:pStyle w:val="57"/>
              <w:jc w:val="center"/>
              <w:rPr>
                <w:sz w:val="22"/>
                <w:szCs w:val="22"/>
              </w:rPr>
            </w:pPr>
            <w:r>
              <w:rPr>
                <w:sz w:val="22"/>
                <w:szCs w:val="22"/>
              </w:rPr>
              <w:t>县级河流</w:t>
            </w:r>
          </w:p>
        </w:tc>
      </w:tr>
      <w:tr w14:paraId="6F5CD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5EED43C0">
            <w:pPr>
              <w:pStyle w:val="57"/>
              <w:jc w:val="center"/>
              <w:rPr>
                <w:sz w:val="22"/>
                <w:szCs w:val="22"/>
              </w:rPr>
            </w:pPr>
            <w:r>
              <w:rPr>
                <w:sz w:val="22"/>
                <w:szCs w:val="22"/>
              </w:rPr>
              <w:t>131</w:t>
            </w:r>
          </w:p>
        </w:tc>
        <w:tc>
          <w:tcPr>
            <w:tcW w:w="1212" w:type="pct"/>
            <w:shd w:val="clear" w:color="auto" w:fill="auto"/>
            <w:noWrap/>
            <w:vAlign w:val="center"/>
          </w:tcPr>
          <w:p w14:paraId="691B31E5">
            <w:pPr>
              <w:pStyle w:val="57"/>
              <w:jc w:val="center"/>
              <w:rPr>
                <w:sz w:val="22"/>
                <w:szCs w:val="22"/>
              </w:rPr>
            </w:pPr>
            <w:r>
              <w:rPr>
                <w:sz w:val="22"/>
                <w:szCs w:val="22"/>
              </w:rPr>
              <w:t>校阳河</w:t>
            </w:r>
          </w:p>
        </w:tc>
        <w:tc>
          <w:tcPr>
            <w:tcW w:w="1641" w:type="pct"/>
            <w:vAlign w:val="center"/>
          </w:tcPr>
          <w:p w14:paraId="19585C58">
            <w:pPr>
              <w:pStyle w:val="57"/>
              <w:jc w:val="center"/>
            </w:pPr>
            <w:r>
              <w:t>泰州</w:t>
            </w:r>
            <w:r>
              <w:rPr>
                <w:sz w:val="22"/>
                <w:szCs w:val="22"/>
              </w:rPr>
              <w:t>兴化市</w:t>
            </w:r>
          </w:p>
        </w:tc>
        <w:tc>
          <w:tcPr>
            <w:tcW w:w="992" w:type="pct"/>
            <w:vAlign w:val="center"/>
          </w:tcPr>
          <w:p w14:paraId="458A812B">
            <w:pPr>
              <w:pStyle w:val="57"/>
              <w:jc w:val="center"/>
              <w:rPr>
                <w:sz w:val="22"/>
                <w:szCs w:val="22"/>
              </w:rPr>
            </w:pPr>
            <w:r>
              <w:rPr>
                <w:sz w:val="22"/>
                <w:szCs w:val="22"/>
              </w:rPr>
              <w:t>10.9</w:t>
            </w:r>
          </w:p>
        </w:tc>
        <w:tc>
          <w:tcPr>
            <w:tcW w:w="755" w:type="pct"/>
            <w:shd w:val="clear" w:color="auto" w:fill="auto"/>
            <w:noWrap/>
            <w:vAlign w:val="center"/>
          </w:tcPr>
          <w:p w14:paraId="54FCDB3D">
            <w:pPr>
              <w:pStyle w:val="57"/>
              <w:jc w:val="center"/>
              <w:rPr>
                <w:sz w:val="22"/>
                <w:szCs w:val="22"/>
              </w:rPr>
            </w:pPr>
            <w:r>
              <w:rPr>
                <w:sz w:val="22"/>
                <w:szCs w:val="22"/>
              </w:rPr>
              <w:t>县级河流</w:t>
            </w:r>
          </w:p>
        </w:tc>
      </w:tr>
      <w:tr w14:paraId="2099E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67568CB3">
            <w:pPr>
              <w:pStyle w:val="57"/>
              <w:jc w:val="center"/>
              <w:rPr>
                <w:sz w:val="22"/>
                <w:szCs w:val="22"/>
              </w:rPr>
            </w:pPr>
            <w:r>
              <w:rPr>
                <w:sz w:val="22"/>
                <w:szCs w:val="22"/>
              </w:rPr>
              <w:t>132</w:t>
            </w:r>
          </w:p>
        </w:tc>
        <w:tc>
          <w:tcPr>
            <w:tcW w:w="1212" w:type="pct"/>
            <w:shd w:val="clear" w:color="auto" w:fill="auto"/>
            <w:noWrap/>
            <w:vAlign w:val="center"/>
          </w:tcPr>
          <w:p w14:paraId="3591EF41">
            <w:pPr>
              <w:pStyle w:val="57"/>
              <w:jc w:val="center"/>
              <w:rPr>
                <w:sz w:val="22"/>
                <w:szCs w:val="22"/>
              </w:rPr>
            </w:pPr>
            <w:r>
              <w:rPr>
                <w:sz w:val="22"/>
                <w:szCs w:val="22"/>
              </w:rPr>
              <w:t>中庄河</w:t>
            </w:r>
          </w:p>
        </w:tc>
        <w:tc>
          <w:tcPr>
            <w:tcW w:w="1641" w:type="pct"/>
            <w:vAlign w:val="center"/>
          </w:tcPr>
          <w:p w14:paraId="7D3C5A64">
            <w:pPr>
              <w:pStyle w:val="57"/>
              <w:jc w:val="center"/>
            </w:pPr>
            <w:r>
              <w:t>泰州</w:t>
            </w:r>
            <w:r>
              <w:rPr>
                <w:sz w:val="22"/>
                <w:szCs w:val="22"/>
              </w:rPr>
              <w:t>兴化市</w:t>
            </w:r>
          </w:p>
        </w:tc>
        <w:tc>
          <w:tcPr>
            <w:tcW w:w="992" w:type="pct"/>
            <w:vAlign w:val="center"/>
          </w:tcPr>
          <w:p w14:paraId="5ACB78B1">
            <w:pPr>
              <w:pStyle w:val="57"/>
              <w:jc w:val="center"/>
              <w:rPr>
                <w:sz w:val="22"/>
                <w:szCs w:val="22"/>
              </w:rPr>
            </w:pPr>
            <w:r>
              <w:rPr>
                <w:sz w:val="22"/>
                <w:szCs w:val="22"/>
              </w:rPr>
              <w:t>10.2</w:t>
            </w:r>
          </w:p>
        </w:tc>
        <w:tc>
          <w:tcPr>
            <w:tcW w:w="755" w:type="pct"/>
            <w:shd w:val="clear" w:color="auto" w:fill="auto"/>
            <w:noWrap/>
            <w:vAlign w:val="center"/>
          </w:tcPr>
          <w:p w14:paraId="5C1AFD4C">
            <w:pPr>
              <w:pStyle w:val="57"/>
              <w:jc w:val="center"/>
              <w:rPr>
                <w:sz w:val="22"/>
                <w:szCs w:val="22"/>
              </w:rPr>
            </w:pPr>
            <w:r>
              <w:rPr>
                <w:sz w:val="22"/>
                <w:szCs w:val="22"/>
              </w:rPr>
              <w:t>县级河流</w:t>
            </w:r>
          </w:p>
        </w:tc>
      </w:tr>
      <w:tr w14:paraId="4D6D0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184BD40B">
            <w:pPr>
              <w:pStyle w:val="57"/>
              <w:jc w:val="center"/>
              <w:rPr>
                <w:sz w:val="22"/>
                <w:szCs w:val="22"/>
              </w:rPr>
            </w:pPr>
            <w:r>
              <w:rPr>
                <w:sz w:val="22"/>
                <w:szCs w:val="22"/>
              </w:rPr>
              <w:t>133</w:t>
            </w:r>
          </w:p>
        </w:tc>
        <w:tc>
          <w:tcPr>
            <w:tcW w:w="1212" w:type="pct"/>
            <w:shd w:val="clear" w:color="auto" w:fill="auto"/>
            <w:noWrap/>
            <w:vAlign w:val="center"/>
          </w:tcPr>
          <w:p w14:paraId="48CACECE">
            <w:pPr>
              <w:pStyle w:val="57"/>
              <w:jc w:val="center"/>
              <w:rPr>
                <w:sz w:val="22"/>
                <w:szCs w:val="22"/>
              </w:rPr>
            </w:pPr>
            <w:r>
              <w:rPr>
                <w:sz w:val="22"/>
                <w:szCs w:val="22"/>
              </w:rPr>
              <w:t>前进河</w:t>
            </w:r>
          </w:p>
        </w:tc>
        <w:tc>
          <w:tcPr>
            <w:tcW w:w="1641" w:type="pct"/>
            <w:vAlign w:val="center"/>
          </w:tcPr>
          <w:p w14:paraId="4B616522">
            <w:pPr>
              <w:pStyle w:val="57"/>
              <w:jc w:val="center"/>
            </w:pPr>
            <w:r>
              <w:t>泰州</w:t>
            </w:r>
            <w:r>
              <w:rPr>
                <w:sz w:val="22"/>
                <w:szCs w:val="22"/>
              </w:rPr>
              <w:t>兴化市</w:t>
            </w:r>
          </w:p>
        </w:tc>
        <w:tc>
          <w:tcPr>
            <w:tcW w:w="992" w:type="pct"/>
            <w:vAlign w:val="center"/>
          </w:tcPr>
          <w:p w14:paraId="61DE58AB">
            <w:pPr>
              <w:pStyle w:val="57"/>
              <w:jc w:val="center"/>
              <w:rPr>
                <w:sz w:val="22"/>
                <w:szCs w:val="22"/>
              </w:rPr>
            </w:pPr>
            <w:r>
              <w:rPr>
                <w:sz w:val="22"/>
                <w:szCs w:val="22"/>
              </w:rPr>
              <w:t>7.4</w:t>
            </w:r>
          </w:p>
        </w:tc>
        <w:tc>
          <w:tcPr>
            <w:tcW w:w="755" w:type="pct"/>
            <w:shd w:val="clear" w:color="auto" w:fill="auto"/>
            <w:noWrap/>
            <w:vAlign w:val="center"/>
          </w:tcPr>
          <w:p w14:paraId="3CEBF762">
            <w:pPr>
              <w:pStyle w:val="57"/>
              <w:jc w:val="center"/>
              <w:rPr>
                <w:sz w:val="22"/>
                <w:szCs w:val="22"/>
              </w:rPr>
            </w:pPr>
            <w:r>
              <w:rPr>
                <w:sz w:val="22"/>
                <w:szCs w:val="22"/>
              </w:rPr>
              <w:t>县级河流</w:t>
            </w:r>
          </w:p>
        </w:tc>
      </w:tr>
      <w:tr w14:paraId="32939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504BE1E7">
            <w:pPr>
              <w:pStyle w:val="57"/>
              <w:jc w:val="center"/>
              <w:rPr>
                <w:sz w:val="22"/>
                <w:szCs w:val="22"/>
              </w:rPr>
            </w:pPr>
            <w:r>
              <w:rPr>
                <w:sz w:val="22"/>
                <w:szCs w:val="22"/>
              </w:rPr>
              <w:t>134</w:t>
            </w:r>
          </w:p>
        </w:tc>
        <w:tc>
          <w:tcPr>
            <w:tcW w:w="1212" w:type="pct"/>
            <w:shd w:val="clear" w:color="auto" w:fill="auto"/>
            <w:noWrap/>
            <w:vAlign w:val="center"/>
          </w:tcPr>
          <w:p w14:paraId="7819904F">
            <w:pPr>
              <w:pStyle w:val="57"/>
              <w:jc w:val="center"/>
              <w:rPr>
                <w:sz w:val="22"/>
                <w:szCs w:val="22"/>
              </w:rPr>
            </w:pPr>
            <w:r>
              <w:rPr>
                <w:sz w:val="22"/>
                <w:szCs w:val="22"/>
              </w:rPr>
              <w:t>塔子河</w:t>
            </w:r>
          </w:p>
        </w:tc>
        <w:tc>
          <w:tcPr>
            <w:tcW w:w="1641" w:type="pct"/>
            <w:vAlign w:val="center"/>
          </w:tcPr>
          <w:p w14:paraId="626A4D90">
            <w:pPr>
              <w:pStyle w:val="57"/>
              <w:jc w:val="center"/>
            </w:pPr>
            <w:r>
              <w:t>泰州</w:t>
            </w:r>
            <w:r>
              <w:rPr>
                <w:sz w:val="22"/>
                <w:szCs w:val="22"/>
              </w:rPr>
              <w:t>兴化市</w:t>
            </w:r>
          </w:p>
        </w:tc>
        <w:tc>
          <w:tcPr>
            <w:tcW w:w="992" w:type="pct"/>
            <w:vAlign w:val="center"/>
          </w:tcPr>
          <w:p w14:paraId="55DB8EF5">
            <w:pPr>
              <w:pStyle w:val="57"/>
              <w:jc w:val="center"/>
              <w:rPr>
                <w:sz w:val="22"/>
                <w:szCs w:val="22"/>
              </w:rPr>
            </w:pPr>
            <w:r>
              <w:rPr>
                <w:sz w:val="22"/>
                <w:szCs w:val="22"/>
              </w:rPr>
              <w:t>7.8</w:t>
            </w:r>
          </w:p>
        </w:tc>
        <w:tc>
          <w:tcPr>
            <w:tcW w:w="755" w:type="pct"/>
            <w:shd w:val="clear" w:color="auto" w:fill="auto"/>
            <w:noWrap/>
            <w:vAlign w:val="center"/>
          </w:tcPr>
          <w:p w14:paraId="0D9BEAEF">
            <w:pPr>
              <w:pStyle w:val="57"/>
              <w:jc w:val="center"/>
              <w:rPr>
                <w:sz w:val="22"/>
                <w:szCs w:val="22"/>
              </w:rPr>
            </w:pPr>
            <w:r>
              <w:rPr>
                <w:sz w:val="22"/>
                <w:szCs w:val="22"/>
              </w:rPr>
              <w:t>县级河流</w:t>
            </w:r>
          </w:p>
        </w:tc>
      </w:tr>
      <w:tr w14:paraId="3A395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683438CB">
            <w:pPr>
              <w:pStyle w:val="57"/>
              <w:jc w:val="center"/>
              <w:rPr>
                <w:sz w:val="22"/>
                <w:szCs w:val="22"/>
              </w:rPr>
            </w:pPr>
            <w:r>
              <w:rPr>
                <w:sz w:val="22"/>
                <w:szCs w:val="22"/>
              </w:rPr>
              <w:t>135</w:t>
            </w:r>
          </w:p>
        </w:tc>
        <w:tc>
          <w:tcPr>
            <w:tcW w:w="1212" w:type="pct"/>
            <w:shd w:val="clear" w:color="auto" w:fill="auto"/>
            <w:noWrap/>
            <w:vAlign w:val="center"/>
          </w:tcPr>
          <w:p w14:paraId="0E699FDB">
            <w:pPr>
              <w:pStyle w:val="57"/>
              <w:jc w:val="center"/>
              <w:rPr>
                <w:sz w:val="22"/>
                <w:szCs w:val="22"/>
              </w:rPr>
            </w:pPr>
            <w:r>
              <w:rPr>
                <w:sz w:val="22"/>
                <w:szCs w:val="22"/>
              </w:rPr>
              <w:t>横港河</w:t>
            </w:r>
          </w:p>
        </w:tc>
        <w:tc>
          <w:tcPr>
            <w:tcW w:w="1641" w:type="pct"/>
            <w:vAlign w:val="center"/>
          </w:tcPr>
          <w:p w14:paraId="1E8B732A">
            <w:pPr>
              <w:pStyle w:val="57"/>
              <w:jc w:val="center"/>
            </w:pPr>
            <w:r>
              <w:t>泰州</w:t>
            </w:r>
            <w:r>
              <w:rPr>
                <w:sz w:val="22"/>
                <w:szCs w:val="22"/>
              </w:rPr>
              <w:t>兴化市</w:t>
            </w:r>
          </w:p>
        </w:tc>
        <w:tc>
          <w:tcPr>
            <w:tcW w:w="992" w:type="pct"/>
            <w:vAlign w:val="center"/>
          </w:tcPr>
          <w:p w14:paraId="7554ADC7">
            <w:pPr>
              <w:pStyle w:val="57"/>
              <w:jc w:val="center"/>
              <w:rPr>
                <w:sz w:val="22"/>
                <w:szCs w:val="22"/>
              </w:rPr>
            </w:pPr>
            <w:r>
              <w:rPr>
                <w:sz w:val="22"/>
                <w:szCs w:val="22"/>
              </w:rPr>
              <w:t>17.0</w:t>
            </w:r>
          </w:p>
        </w:tc>
        <w:tc>
          <w:tcPr>
            <w:tcW w:w="755" w:type="pct"/>
            <w:shd w:val="clear" w:color="auto" w:fill="auto"/>
            <w:noWrap/>
            <w:vAlign w:val="center"/>
          </w:tcPr>
          <w:p w14:paraId="1F652D6C">
            <w:pPr>
              <w:pStyle w:val="57"/>
              <w:jc w:val="center"/>
              <w:rPr>
                <w:sz w:val="22"/>
                <w:szCs w:val="22"/>
              </w:rPr>
            </w:pPr>
            <w:r>
              <w:rPr>
                <w:sz w:val="22"/>
                <w:szCs w:val="22"/>
              </w:rPr>
              <w:t>县级河流</w:t>
            </w:r>
          </w:p>
        </w:tc>
      </w:tr>
      <w:tr w14:paraId="41A7B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6D96F67F">
            <w:pPr>
              <w:pStyle w:val="57"/>
              <w:jc w:val="center"/>
              <w:rPr>
                <w:sz w:val="22"/>
                <w:szCs w:val="22"/>
              </w:rPr>
            </w:pPr>
            <w:r>
              <w:rPr>
                <w:sz w:val="22"/>
                <w:szCs w:val="22"/>
              </w:rPr>
              <w:t>136</w:t>
            </w:r>
          </w:p>
        </w:tc>
        <w:tc>
          <w:tcPr>
            <w:tcW w:w="1212" w:type="pct"/>
            <w:shd w:val="clear" w:color="auto" w:fill="auto"/>
            <w:noWrap/>
            <w:vAlign w:val="center"/>
          </w:tcPr>
          <w:p w14:paraId="4081CD61">
            <w:pPr>
              <w:pStyle w:val="57"/>
              <w:jc w:val="center"/>
              <w:rPr>
                <w:sz w:val="22"/>
                <w:szCs w:val="22"/>
              </w:rPr>
            </w:pPr>
            <w:r>
              <w:rPr>
                <w:sz w:val="22"/>
                <w:szCs w:val="22"/>
              </w:rPr>
              <w:t>新海河</w:t>
            </w:r>
          </w:p>
        </w:tc>
        <w:tc>
          <w:tcPr>
            <w:tcW w:w="1641" w:type="pct"/>
            <w:vAlign w:val="center"/>
          </w:tcPr>
          <w:p w14:paraId="0C6AF4E2">
            <w:pPr>
              <w:pStyle w:val="57"/>
              <w:jc w:val="center"/>
            </w:pPr>
            <w:r>
              <w:t>泰州</w:t>
            </w:r>
            <w:r>
              <w:rPr>
                <w:sz w:val="22"/>
                <w:szCs w:val="22"/>
              </w:rPr>
              <w:t>兴化市</w:t>
            </w:r>
          </w:p>
        </w:tc>
        <w:tc>
          <w:tcPr>
            <w:tcW w:w="992" w:type="pct"/>
            <w:vAlign w:val="center"/>
          </w:tcPr>
          <w:p w14:paraId="17139454">
            <w:pPr>
              <w:pStyle w:val="57"/>
              <w:jc w:val="center"/>
              <w:rPr>
                <w:sz w:val="22"/>
                <w:szCs w:val="22"/>
              </w:rPr>
            </w:pPr>
            <w:r>
              <w:rPr>
                <w:sz w:val="22"/>
                <w:szCs w:val="22"/>
              </w:rPr>
              <w:t>13.9</w:t>
            </w:r>
          </w:p>
        </w:tc>
        <w:tc>
          <w:tcPr>
            <w:tcW w:w="755" w:type="pct"/>
            <w:shd w:val="clear" w:color="auto" w:fill="auto"/>
            <w:noWrap/>
            <w:vAlign w:val="center"/>
          </w:tcPr>
          <w:p w14:paraId="651C0590">
            <w:pPr>
              <w:pStyle w:val="57"/>
              <w:jc w:val="center"/>
              <w:rPr>
                <w:sz w:val="22"/>
                <w:szCs w:val="22"/>
              </w:rPr>
            </w:pPr>
            <w:r>
              <w:rPr>
                <w:sz w:val="22"/>
                <w:szCs w:val="22"/>
              </w:rPr>
              <w:t>县级河流</w:t>
            </w:r>
          </w:p>
        </w:tc>
      </w:tr>
      <w:tr w14:paraId="797C6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1325AD76">
            <w:pPr>
              <w:pStyle w:val="57"/>
              <w:jc w:val="center"/>
              <w:rPr>
                <w:sz w:val="22"/>
                <w:szCs w:val="22"/>
              </w:rPr>
            </w:pPr>
            <w:r>
              <w:rPr>
                <w:sz w:val="22"/>
                <w:szCs w:val="22"/>
              </w:rPr>
              <w:t>137</w:t>
            </w:r>
          </w:p>
        </w:tc>
        <w:tc>
          <w:tcPr>
            <w:tcW w:w="1212" w:type="pct"/>
            <w:shd w:val="clear" w:color="auto" w:fill="auto"/>
            <w:noWrap/>
            <w:vAlign w:val="center"/>
          </w:tcPr>
          <w:p w14:paraId="54925EDE">
            <w:pPr>
              <w:pStyle w:val="57"/>
              <w:jc w:val="center"/>
              <w:rPr>
                <w:sz w:val="22"/>
                <w:szCs w:val="22"/>
              </w:rPr>
            </w:pPr>
            <w:r>
              <w:rPr>
                <w:sz w:val="22"/>
                <w:szCs w:val="22"/>
              </w:rPr>
              <w:t>屯沟河</w:t>
            </w:r>
          </w:p>
        </w:tc>
        <w:tc>
          <w:tcPr>
            <w:tcW w:w="1641" w:type="pct"/>
            <w:vAlign w:val="center"/>
          </w:tcPr>
          <w:p w14:paraId="707A98D5">
            <w:pPr>
              <w:pStyle w:val="57"/>
              <w:jc w:val="center"/>
            </w:pPr>
            <w:r>
              <w:t>泰州</w:t>
            </w:r>
            <w:r>
              <w:rPr>
                <w:sz w:val="22"/>
                <w:szCs w:val="22"/>
              </w:rPr>
              <w:t>兴化市</w:t>
            </w:r>
          </w:p>
        </w:tc>
        <w:tc>
          <w:tcPr>
            <w:tcW w:w="992" w:type="pct"/>
            <w:vAlign w:val="center"/>
          </w:tcPr>
          <w:p w14:paraId="6808280F">
            <w:pPr>
              <w:pStyle w:val="57"/>
              <w:jc w:val="center"/>
              <w:rPr>
                <w:sz w:val="22"/>
                <w:szCs w:val="22"/>
              </w:rPr>
            </w:pPr>
            <w:r>
              <w:rPr>
                <w:sz w:val="22"/>
                <w:szCs w:val="22"/>
              </w:rPr>
              <w:t>7.7</w:t>
            </w:r>
          </w:p>
        </w:tc>
        <w:tc>
          <w:tcPr>
            <w:tcW w:w="755" w:type="pct"/>
            <w:shd w:val="clear" w:color="auto" w:fill="auto"/>
            <w:noWrap/>
            <w:vAlign w:val="center"/>
          </w:tcPr>
          <w:p w14:paraId="12CA005A">
            <w:pPr>
              <w:pStyle w:val="57"/>
              <w:jc w:val="center"/>
              <w:rPr>
                <w:sz w:val="22"/>
                <w:szCs w:val="22"/>
              </w:rPr>
            </w:pPr>
            <w:r>
              <w:rPr>
                <w:sz w:val="22"/>
                <w:szCs w:val="22"/>
              </w:rPr>
              <w:t>县级河流</w:t>
            </w:r>
          </w:p>
        </w:tc>
      </w:tr>
      <w:tr w14:paraId="62D92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0470A09C">
            <w:pPr>
              <w:pStyle w:val="57"/>
              <w:jc w:val="center"/>
              <w:rPr>
                <w:sz w:val="22"/>
                <w:szCs w:val="22"/>
              </w:rPr>
            </w:pPr>
            <w:r>
              <w:rPr>
                <w:sz w:val="22"/>
                <w:szCs w:val="22"/>
              </w:rPr>
              <w:t>138</w:t>
            </w:r>
          </w:p>
        </w:tc>
        <w:tc>
          <w:tcPr>
            <w:tcW w:w="1212" w:type="pct"/>
            <w:shd w:val="clear" w:color="auto" w:fill="auto"/>
            <w:noWrap/>
            <w:vAlign w:val="center"/>
          </w:tcPr>
          <w:p w14:paraId="29357F47">
            <w:pPr>
              <w:pStyle w:val="57"/>
              <w:jc w:val="center"/>
              <w:rPr>
                <w:sz w:val="22"/>
                <w:szCs w:val="22"/>
              </w:rPr>
            </w:pPr>
            <w:r>
              <w:rPr>
                <w:sz w:val="22"/>
                <w:szCs w:val="22"/>
              </w:rPr>
              <w:t>永东河</w:t>
            </w:r>
          </w:p>
        </w:tc>
        <w:tc>
          <w:tcPr>
            <w:tcW w:w="1641" w:type="pct"/>
            <w:vAlign w:val="center"/>
          </w:tcPr>
          <w:p w14:paraId="7E100C00">
            <w:pPr>
              <w:pStyle w:val="57"/>
              <w:jc w:val="center"/>
            </w:pPr>
            <w:r>
              <w:t>泰州</w:t>
            </w:r>
            <w:r>
              <w:rPr>
                <w:sz w:val="22"/>
                <w:szCs w:val="22"/>
              </w:rPr>
              <w:t>兴化市</w:t>
            </w:r>
          </w:p>
        </w:tc>
        <w:tc>
          <w:tcPr>
            <w:tcW w:w="992" w:type="pct"/>
            <w:vAlign w:val="center"/>
          </w:tcPr>
          <w:p w14:paraId="696A34C4">
            <w:pPr>
              <w:pStyle w:val="57"/>
              <w:jc w:val="center"/>
              <w:rPr>
                <w:sz w:val="22"/>
                <w:szCs w:val="22"/>
              </w:rPr>
            </w:pPr>
            <w:r>
              <w:rPr>
                <w:sz w:val="22"/>
                <w:szCs w:val="22"/>
              </w:rPr>
              <w:t>9.4</w:t>
            </w:r>
          </w:p>
        </w:tc>
        <w:tc>
          <w:tcPr>
            <w:tcW w:w="755" w:type="pct"/>
            <w:shd w:val="clear" w:color="auto" w:fill="auto"/>
            <w:noWrap/>
            <w:vAlign w:val="center"/>
          </w:tcPr>
          <w:p w14:paraId="300C4B30">
            <w:pPr>
              <w:pStyle w:val="57"/>
              <w:jc w:val="center"/>
              <w:rPr>
                <w:sz w:val="22"/>
                <w:szCs w:val="22"/>
              </w:rPr>
            </w:pPr>
            <w:r>
              <w:rPr>
                <w:sz w:val="22"/>
                <w:szCs w:val="22"/>
              </w:rPr>
              <w:t>县级河流</w:t>
            </w:r>
          </w:p>
        </w:tc>
      </w:tr>
      <w:tr w14:paraId="561B5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2FF58C83">
            <w:pPr>
              <w:pStyle w:val="57"/>
              <w:jc w:val="center"/>
              <w:rPr>
                <w:sz w:val="22"/>
                <w:szCs w:val="22"/>
              </w:rPr>
            </w:pPr>
            <w:r>
              <w:rPr>
                <w:sz w:val="22"/>
                <w:szCs w:val="22"/>
              </w:rPr>
              <w:t>139</w:t>
            </w:r>
          </w:p>
        </w:tc>
        <w:tc>
          <w:tcPr>
            <w:tcW w:w="1212" w:type="pct"/>
            <w:shd w:val="clear" w:color="auto" w:fill="auto"/>
            <w:noWrap/>
            <w:vAlign w:val="center"/>
          </w:tcPr>
          <w:p w14:paraId="1E4E8D30">
            <w:pPr>
              <w:pStyle w:val="57"/>
              <w:jc w:val="center"/>
              <w:rPr>
                <w:sz w:val="22"/>
                <w:szCs w:val="22"/>
              </w:rPr>
            </w:pPr>
            <w:r>
              <w:rPr>
                <w:sz w:val="22"/>
                <w:szCs w:val="22"/>
              </w:rPr>
              <w:t>潼河</w:t>
            </w:r>
          </w:p>
        </w:tc>
        <w:tc>
          <w:tcPr>
            <w:tcW w:w="1641" w:type="pct"/>
            <w:vAlign w:val="center"/>
          </w:tcPr>
          <w:p w14:paraId="43EC0DA5">
            <w:pPr>
              <w:pStyle w:val="57"/>
              <w:jc w:val="center"/>
            </w:pPr>
            <w:r>
              <w:t>泰州</w:t>
            </w:r>
            <w:r>
              <w:rPr>
                <w:sz w:val="22"/>
                <w:szCs w:val="22"/>
              </w:rPr>
              <w:t>兴化市</w:t>
            </w:r>
          </w:p>
        </w:tc>
        <w:tc>
          <w:tcPr>
            <w:tcW w:w="992" w:type="pct"/>
            <w:vAlign w:val="center"/>
          </w:tcPr>
          <w:p w14:paraId="3DC00D80">
            <w:pPr>
              <w:pStyle w:val="57"/>
              <w:jc w:val="center"/>
              <w:rPr>
                <w:sz w:val="22"/>
                <w:szCs w:val="22"/>
              </w:rPr>
            </w:pPr>
            <w:r>
              <w:rPr>
                <w:sz w:val="22"/>
                <w:szCs w:val="22"/>
              </w:rPr>
              <w:t>7.5</w:t>
            </w:r>
          </w:p>
        </w:tc>
        <w:tc>
          <w:tcPr>
            <w:tcW w:w="755" w:type="pct"/>
            <w:shd w:val="clear" w:color="auto" w:fill="auto"/>
            <w:noWrap/>
            <w:vAlign w:val="center"/>
          </w:tcPr>
          <w:p w14:paraId="4A600957">
            <w:pPr>
              <w:pStyle w:val="57"/>
              <w:jc w:val="center"/>
              <w:rPr>
                <w:sz w:val="22"/>
                <w:szCs w:val="22"/>
              </w:rPr>
            </w:pPr>
            <w:r>
              <w:rPr>
                <w:sz w:val="22"/>
                <w:szCs w:val="22"/>
              </w:rPr>
              <w:t>县级河流</w:t>
            </w:r>
          </w:p>
        </w:tc>
      </w:tr>
      <w:tr w14:paraId="357EF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45DA6553">
            <w:pPr>
              <w:pStyle w:val="57"/>
              <w:jc w:val="center"/>
              <w:rPr>
                <w:sz w:val="22"/>
                <w:szCs w:val="22"/>
              </w:rPr>
            </w:pPr>
            <w:r>
              <w:rPr>
                <w:sz w:val="22"/>
                <w:szCs w:val="22"/>
              </w:rPr>
              <w:t>140</w:t>
            </w:r>
          </w:p>
        </w:tc>
        <w:tc>
          <w:tcPr>
            <w:tcW w:w="1212" w:type="pct"/>
            <w:shd w:val="clear" w:color="auto" w:fill="auto"/>
            <w:noWrap/>
            <w:vAlign w:val="center"/>
          </w:tcPr>
          <w:p w14:paraId="62C533AA">
            <w:pPr>
              <w:pStyle w:val="57"/>
              <w:jc w:val="center"/>
              <w:rPr>
                <w:sz w:val="22"/>
                <w:szCs w:val="22"/>
              </w:rPr>
            </w:pPr>
            <w:r>
              <w:rPr>
                <w:sz w:val="22"/>
                <w:szCs w:val="22"/>
              </w:rPr>
              <w:t>子婴河</w:t>
            </w:r>
          </w:p>
        </w:tc>
        <w:tc>
          <w:tcPr>
            <w:tcW w:w="1641" w:type="pct"/>
            <w:vAlign w:val="center"/>
          </w:tcPr>
          <w:p w14:paraId="37A7B1C7">
            <w:pPr>
              <w:pStyle w:val="57"/>
              <w:jc w:val="center"/>
            </w:pPr>
            <w:r>
              <w:t>泰州</w:t>
            </w:r>
            <w:r>
              <w:rPr>
                <w:sz w:val="22"/>
                <w:szCs w:val="22"/>
              </w:rPr>
              <w:t>兴化市</w:t>
            </w:r>
          </w:p>
        </w:tc>
        <w:tc>
          <w:tcPr>
            <w:tcW w:w="992" w:type="pct"/>
            <w:vAlign w:val="center"/>
          </w:tcPr>
          <w:p w14:paraId="49B3F989">
            <w:pPr>
              <w:pStyle w:val="57"/>
              <w:jc w:val="center"/>
              <w:rPr>
                <w:sz w:val="22"/>
                <w:szCs w:val="22"/>
              </w:rPr>
            </w:pPr>
            <w:r>
              <w:rPr>
                <w:sz w:val="22"/>
                <w:szCs w:val="22"/>
              </w:rPr>
              <w:t>7.7</w:t>
            </w:r>
          </w:p>
        </w:tc>
        <w:tc>
          <w:tcPr>
            <w:tcW w:w="755" w:type="pct"/>
            <w:shd w:val="clear" w:color="auto" w:fill="auto"/>
            <w:noWrap/>
            <w:vAlign w:val="center"/>
          </w:tcPr>
          <w:p w14:paraId="3A78AE34">
            <w:pPr>
              <w:pStyle w:val="57"/>
              <w:jc w:val="center"/>
              <w:rPr>
                <w:sz w:val="22"/>
                <w:szCs w:val="22"/>
              </w:rPr>
            </w:pPr>
            <w:r>
              <w:rPr>
                <w:sz w:val="22"/>
                <w:szCs w:val="22"/>
              </w:rPr>
              <w:t>县级河流</w:t>
            </w:r>
          </w:p>
        </w:tc>
      </w:tr>
      <w:tr w14:paraId="3B4F8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3EF99290">
            <w:pPr>
              <w:pStyle w:val="57"/>
              <w:jc w:val="center"/>
              <w:rPr>
                <w:sz w:val="22"/>
                <w:szCs w:val="22"/>
              </w:rPr>
            </w:pPr>
            <w:r>
              <w:rPr>
                <w:sz w:val="22"/>
                <w:szCs w:val="22"/>
              </w:rPr>
              <w:t>141</w:t>
            </w:r>
          </w:p>
        </w:tc>
        <w:tc>
          <w:tcPr>
            <w:tcW w:w="1212" w:type="pct"/>
            <w:shd w:val="clear" w:color="auto" w:fill="auto"/>
            <w:noWrap/>
            <w:vAlign w:val="center"/>
          </w:tcPr>
          <w:p w14:paraId="6D34B0E4">
            <w:pPr>
              <w:pStyle w:val="57"/>
              <w:jc w:val="center"/>
              <w:rPr>
                <w:sz w:val="22"/>
                <w:szCs w:val="22"/>
              </w:rPr>
            </w:pPr>
            <w:r>
              <w:rPr>
                <w:sz w:val="22"/>
                <w:szCs w:val="22"/>
              </w:rPr>
              <w:t>穰草河</w:t>
            </w:r>
          </w:p>
        </w:tc>
        <w:tc>
          <w:tcPr>
            <w:tcW w:w="1641" w:type="pct"/>
            <w:vAlign w:val="center"/>
          </w:tcPr>
          <w:p w14:paraId="3DC94675">
            <w:pPr>
              <w:pStyle w:val="57"/>
              <w:jc w:val="center"/>
            </w:pPr>
            <w:r>
              <w:t>泰州</w:t>
            </w:r>
            <w:r>
              <w:rPr>
                <w:sz w:val="22"/>
                <w:szCs w:val="22"/>
              </w:rPr>
              <w:t>兴化市</w:t>
            </w:r>
          </w:p>
        </w:tc>
        <w:tc>
          <w:tcPr>
            <w:tcW w:w="992" w:type="pct"/>
            <w:vAlign w:val="center"/>
          </w:tcPr>
          <w:p w14:paraId="668675F1">
            <w:pPr>
              <w:pStyle w:val="57"/>
              <w:jc w:val="center"/>
              <w:rPr>
                <w:sz w:val="22"/>
                <w:szCs w:val="22"/>
              </w:rPr>
            </w:pPr>
            <w:r>
              <w:rPr>
                <w:sz w:val="22"/>
                <w:szCs w:val="22"/>
              </w:rPr>
              <w:t>4.2</w:t>
            </w:r>
          </w:p>
        </w:tc>
        <w:tc>
          <w:tcPr>
            <w:tcW w:w="755" w:type="pct"/>
            <w:shd w:val="clear" w:color="auto" w:fill="auto"/>
            <w:noWrap/>
            <w:vAlign w:val="center"/>
          </w:tcPr>
          <w:p w14:paraId="64AA2952">
            <w:pPr>
              <w:pStyle w:val="57"/>
              <w:jc w:val="center"/>
              <w:rPr>
                <w:sz w:val="22"/>
                <w:szCs w:val="22"/>
              </w:rPr>
            </w:pPr>
            <w:r>
              <w:rPr>
                <w:sz w:val="22"/>
                <w:szCs w:val="22"/>
              </w:rPr>
              <w:t>县级河流</w:t>
            </w:r>
          </w:p>
        </w:tc>
      </w:tr>
      <w:tr w14:paraId="7B760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376F8229">
            <w:pPr>
              <w:pStyle w:val="57"/>
              <w:jc w:val="center"/>
              <w:rPr>
                <w:sz w:val="22"/>
                <w:szCs w:val="22"/>
              </w:rPr>
            </w:pPr>
            <w:r>
              <w:rPr>
                <w:sz w:val="22"/>
                <w:szCs w:val="22"/>
              </w:rPr>
              <w:t>142</w:t>
            </w:r>
          </w:p>
        </w:tc>
        <w:tc>
          <w:tcPr>
            <w:tcW w:w="1212" w:type="pct"/>
            <w:shd w:val="clear" w:color="auto" w:fill="auto"/>
            <w:noWrap/>
            <w:vAlign w:val="center"/>
          </w:tcPr>
          <w:p w14:paraId="3D8216CB">
            <w:pPr>
              <w:pStyle w:val="57"/>
              <w:jc w:val="center"/>
              <w:rPr>
                <w:sz w:val="22"/>
                <w:szCs w:val="22"/>
              </w:rPr>
            </w:pPr>
            <w:r>
              <w:rPr>
                <w:sz w:val="22"/>
                <w:szCs w:val="22"/>
              </w:rPr>
              <w:t>海陵溪</w:t>
            </w:r>
          </w:p>
        </w:tc>
        <w:tc>
          <w:tcPr>
            <w:tcW w:w="1641" w:type="pct"/>
            <w:vAlign w:val="center"/>
          </w:tcPr>
          <w:p w14:paraId="3908D4D6">
            <w:pPr>
              <w:pStyle w:val="57"/>
              <w:jc w:val="center"/>
            </w:pPr>
            <w:r>
              <w:t>泰州</w:t>
            </w:r>
            <w:r>
              <w:rPr>
                <w:sz w:val="22"/>
                <w:szCs w:val="22"/>
              </w:rPr>
              <w:t>兴化市</w:t>
            </w:r>
          </w:p>
        </w:tc>
        <w:tc>
          <w:tcPr>
            <w:tcW w:w="992" w:type="pct"/>
            <w:vAlign w:val="center"/>
          </w:tcPr>
          <w:p w14:paraId="16D6101F">
            <w:pPr>
              <w:pStyle w:val="57"/>
              <w:jc w:val="center"/>
              <w:rPr>
                <w:sz w:val="22"/>
                <w:szCs w:val="22"/>
              </w:rPr>
            </w:pPr>
            <w:r>
              <w:rPr>
                <w:sz w:val="22"/>
                <w:szCs w:val="22"/>
              </w:rPr>
              <w:t>3.6</w:t>
            </w:r>
          </w:p>
        </w:tc>
        <w:tc>
          <w:tcPr>
            <w:tcW w:w="755" w:type="pct"/>
            <w:shd w:val="clear" w:color="auto" w:fill="auto"/>
            <w:noWrap/>
            <w:vAlign w:val="center"/>
          </w:tcPr>
          <w:p w14:paraId="514BDF67">
            <w:pPr>
              <w:pStyle w:val="57"/>
              <w:jc w:val="center"/>
              <w:rPr>
                <w:sz w:val="22"/>
                <w:szCs w:val="22"/>
              </w:rPr>
            </w:pPr>
            <w:r>
              <w:rPr>
                <w:sz w:val="22"/>
                <w:szCs w:val="22"/>
              </w:rPr>
              <w:t>县级河流</w:t>
            </w:r>
          </w:p>
        </w:tc>
      </w:tr>
      <w:tr w14:paraId="62EE7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1ADB62E6">
            <w:pPr>
              <w:pStyle w:val="57"/>
              <w:jc w:val="center"/>
              <w:rPr>
                <w:sz w:val="22"/>
                <w:szCs w:val="22"/>
              </w:rPr>
            </w:pPr>
            <w:r>
              <w:rPr>
                <w:sz w:val="22"/>
                <w:szCs w:val="22"/>
              </w:rPr>
              <w:t>143</w:t>
            </w:r>
          </w:p>
        </w:tc>
        <w:tc>
          <w:tcPr>
            <w:tcW w:w="1212" w:type="pct"/>
            <w:shd w:val="clear" w:color="auto" w:fill="auto"/>
            <w:noWrap/>
            <w:vAlign w:val="center"/>
          </w:tcPr>
          <w:p w14:paraId="57B3133E">
            <w:pPr>
              <w:pStyle w:val="57"/>
              <w:jc w:val="center"/>
              <w:rPr>
                <w:sz w:val="22"/>
                <w:szCs w:val="22"/>
              </w:rPr>
            </w:pPr>
            <w:r>
              <w:rPr>
                <w:sz w:val="22"/>
                <w:szCs w:val="22"/>
              </w:rPr>
              <w:t>跃进河</w:t>
            </w:r>
          </w:p>
        </w:tc>
        <w:tc>
          <w:tcPr>
            <w:tcW w:w="1641" w:type="pct"/>
            <w:vAlign w:val="center"/>
          </w:tcPr>
          <w:p w14:paraId="7A99CDF1">
            <w:pPr>
              <w:pStyle w:val="57"/>
              <w:jc w:val="center"/>
            </w:pPr>
            <w:r>
              <w:t>泰州</w:t>
            </w:r>
            <w:r>
              <w:rPr>
                <w:sz w:val="22"/>
                <w:szCs w:val="22"/>
              </w:rPr>
              <w:t>兴化市</w:t>
            </w:r>
          </w:p>
        </w:tc>
        <w:tc>
          <w:tcPr>
            <w:tcW w:w="992" w:type="pct"/>
            <w:vAlign w:val="center"/>
          </w:tcPr>
          <w:p w14:paraId="5FF6C82A">
            <w:pPr>
              <w:pStyle w:val="57"/>
              <w:jc w:val="center"/>
              <w:rPr>
                <w:sz w:val="22"/>
                <w:szCs w:val="22"/>
              </w:rPr>
            </w:pPr>
            <w:r>
              <w:rPr>
                <w:sz w:val="22"/>
                <w:szCs w:val="22"/>
              </w:rPr>
              <w:t>7.3</w:t>
            </w:r>
          </w:p>
        </w:tc>
        <w:tc>
          <w:tcPr>
            <w:tcW w:w="755" w:type="pct"/>
            <w:shd w:val="clear" w:color="auto" w:fill="auto"/>
            <w:noWrap/>
            <w:vAlign w:val="center"/>
          </w:tcPr>
          <w:p w14:paraId="07D7B89D">
            <w:pPr>
              <w:pStyle w:val="57"/>
              <w:jc w:val="center"/>
              <w:rPr>
                <w:sz w:val="22"/>
                <w:szCs w:val="22"/>
              </w:rPr>
            </w:pPr>
            <w:r>
              <w:rPr>
                <w:sz w:val="22"/>
                <w:szCs w:val="22"/>
              </w:rPr>
              <w:t>县级河流</w:t>
            </w:r>
          </w:p>
        </w:tc>
      </w:tr>
      <w:tr w14:paraId="1DF46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4529A5FF">
            <w:pPr>
              <w:pStyle w:val="57"/>
              <w:jc w:val="center"/>
              <w:rPr>
                <w:sz w:val="22"/>
                <w:szCs w:val="22"/>
              </w:rPr>
            </w:pPr>
            <w:r>
              <w:rPr>
                <w:sz w:val="22"/>
                <w:szCs w:val="22"/>
              </w:rPr>
              <w:t>144</w:t>
            </w:r>
          </w:p>
        </w:tc>
        <w:tc>
          <w:tcPr>
            <w:tcW w:w="1212" w:type="pct"/>
            <w:shd w:val="clear" w:color="auto" w:fill="auto"/>
            <w:noWrap/>
            <w:vAlign w:val="center"/>
          </w:tcPr>
          <w:p w14:paraId="3C1E991F">
            <w:pPr>
              <w:pStyle w:val="57"/>
              <w:jc w:val="center"/>
              <w:rPr>
                <w:sz w:val="22"/>
                <w:szCs w:val="22"/>
              </w:rPr>
            </w:pPr>
            <w:r>
              <w:rPr>
                <w:sz w:val="22"/>
                <w:szCs w:val="22"/>
              </w:rPr>
              <w:t>西朝阳河</w:t>
            </w:r>
          </w:p>
        </w:tc>
        <w:tc>
          <w:tcPr>
            <w:tcW w:w="1641" w:type="pct"/>
            <w:vAlign w:val="center"/>
          </w:tcPr>
          <w:p w14:paraId="753AC203">
            <w:pPr>
              <w:pStyle w:val="57"/>
              <w:jc w:val="center"/>
            </w:pPr>
            <w:r>
              <w:t>泰州</w:t>
            </w:r>
            <w:r>
              <w:rPr>
                <w:sz w:val="22"/>
                <w:szCs w:val="22"/>
              </w:rPr>
              <w:t>兴化市</w:t>
            </w:r>
          </w:p>
        </w:tc>
        <w:tc>
          <w:tcPr>
            <w:tcW w:w="992" w:type="pct"/>
            <w:vAlign w:val="center"/>
          </w:tcPr>
          <w:p w14:paraId="4A850F4D">
            <w:pPr>
              <w:pStyle w:val="57"/>
              <w:jc w:val="center"/>
              <w:rPr>
                <w:sz w:val="22"/>
                <w:szCs w:val="22"/>
              </w:rPr>
            </w:pPr>
            <w:r>
              <w:rPr>
                <w:sz w:val="22"/>
                <w:szCs w:val="22"/>
              </w:rPr>
              <w:t>6.1</w:t>
            </w:r>
          </w:p>
        </w:tc>
        <w:tc>
          <w:tcPr>
            <w:tcW w:w="755" w:type="pct"/>
            <w:shd w:val="clear" w:color="auto" w:fill="auto"/>
            <w:noWrap/>
            <w:vAlign w:val="center"/>
          </w:tcPr>
          <w:p w14:paraId="7913FD14">
            <w:pPr>
              <w:pStyle w:val="57"/>
              <w:jc w:val="center"/>
              <w:rPr>
                <w:sz w:val="22"/>
                <w:szCs w:val="22"/>
              </w:rPr>
            </w:pPr>
            <w:r>
              <w:rPr>
                <w:sz w:val="22"/>
                <w:szCs w:val="22"/>
              </w:rPr>
              <w:t>县级河流</w:t>
            </w:r>
          </w:p>
        </w:tc>
      </w:tr>
      <w:tr w14:paraId="43CE4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28405664">
            <w:pPr>
              <w:pStyle w:val="57"/>
              <w:jc w:val="center"/>
              <w:rPr>
                <w:sz w:val="22"/>
                <w:szCs w:val="22"/>
              </w:rPr>
            </w:pPr>
            <w:r>
              <w:rPr>
                <w:sz w:val="22"/>
                <w:szCs w:val="22"/>
              </w:rPr>
              <w:t>145</w:t>
            </w:r>
          </w:p>
        </w:tc>
        <w:tc>
          <w:tcPr>
            <w:tcW w:w="1212" w:type="pct"/>
            <w:shd w:val="clear" w:color="auto" w:fill="auto"/>
            <w:noWrap/>
            <w:vAlign w:val="center"/>
          </w:tcPr>
          <w:p w14:paraId="36C65F99">
            <w:pPr>
              <w:pStyle w:val="57"/>
              <w:jc w:val="center"/>
              <w:rPr>
                <w:sz w:val="22"/>
                <w:szCs w:val="22"/>
              </w:rPr>
            </w:pPr>
            <w:r>
              <w:rPr>
                <w:sz w:val="22"/>
                <w:szCs w:val="22"/>
              </w:rPr>
              <w:t>边界河</w:t>
            </w:r>
          </w:p>
        </w:tc>
        <w:tc>
          <w:tcPr>
            <w:tcW w:w="1641" w:type="pct"/>
            <w:vAlign w:val="center"/>
          </w:tcPr>
          <w:p w14:paraId="1A6F7778">
            <w:pPr>
              <w:pStyle w:val="57"/>
              <w:jc w:val="center"/>
            </w:pPr>
            <w:r>
              <w:t>泰州</w:t>
            </w:r>
            <w:r>
              <w:rPr>
                <w:sz w:val="22"/>
                <w:szCs w:val="22"/>
              </w:rPr>
              <w:t>兴化市</w:t>
            </w:r>
          </w:p>
        </w:tc>
        <w:tc>
          <w:tcPr>
            <w:tcW w:w="992" w:type="pct"/>
            <w:vAlign w:val="center"/>
          </w:tcPr>
          <w:p w14:paraId="12683C24">
            <w:pPr>
              <w:pStyle w:val="57"/>
              <w:jc w:val="center"/>
              <w:rPr>
                <w:sz w:val="22"/>
                <w:szCs w:val="22"/>
              </w:rPr>
            </w:pPr>
            <w:r>
              <w:rPr>
                <w:sz w:val="22"/>
                <w:szCs w:val="22"/>
              </w:rPr>
              <w:t>14.3</w:t>
            </w:r>
          </w:p>
        </w:tc>
        <w:tc>
          <w:tcPr>
            <w:tcW w:w="755" w:type="pct"/>
            <w:shd w:val="clear" w:color="auto" w:fill="auto"/>
            <w:noWrap/>
            <w:vAlign w:val="center"/>
          </w:tcPr>
          <w:p w14:paraId="750FDF47">
            <w:pPr>
              <w:pStyle w:val="57"/>
              <w:jc w:val="center"/>
              <w:rPr>
                <w:sz w:val="22"/>
                <w:szCs w:val="22"/>
              </w:rPr>
            </w:pPr>
            <w:r>
              <w:rPr>
                <w:sz w:val="22"/>
                <w:szCs w:val="22"/>
              </w:rPr>
              <w:t>县级河流</w:t>
            </w:r>
          </w:p>
        </w:tc>
      </w:tr>
      <w:tr w14:paraId="150EF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488CB7CD">
            <w:pPr>
              <w:pStyle w:val="57"/>
              <w:jc w:val="center"/>
              <w:rPr>
                <w:sz w:val="22"/>
                <w:szCs w:val="22"/>
              </w:rPr>
            </w:pPr>
            <w:r>
              <w:rPr>
                <w:sz w:val="22"/>
                <w:szCs w:val="22"/>
              </w:rPr>
              <w:t>146</w:t>
            </w:r>
          </w:p>
        </w:tc>
        <w:tc>
          <w:tcPr>
            <w:tcW w:w="1212" w:type="pct"/>
            <w:shd w:val="clear" w:color="auto" w:fill="auto"/>
            <w:noWrap/>
            <w:vAlign w:val="center"/>
          </w:tcPr>
          <w:p w14:paraId="44DA3CE6">
            <w:pPr>
              <w:pStyle w:val="57"/>
              <w:jc w:val="center"/>
              <w:rPr>
                <w:sz w:val="22"/>
                <w:szCs w:val="22"/>
              </w:rPr>
            </w:pPr>
            <w:r>
              <w:rPr>
                <w:sz w:val="22"/>
                <w:szCs w:val="22"/>
              </w:rPr>
              <w:t>四五河</w:t>
            </w:r>
          </w:p>
        </w:tc>
        <w:tc>
          <w:tcPr>
            <w:tcW w:w="1641" w:type="pct"/>
            <w:vAlign w:val="center"/>
          </w:tcPr>
          <w:p w14:paraId="4E2D9C1A">
            <w:pPr>
              <w:pStyle w:val="57"/>
              <w:jc w:val="center"/>
            </w:pPr>
            <w:r>
              <w:t>泰州</w:t>
            </w:r>
            <w:r>
              <w:rPr>
                <w:sz w:val="22"/>
                <w:szCs w:val="22"/>
              </w:rPr>
              <w:t>兴化市</w:t>
            </w:r>
          </w:p>
        </w:tc>
        <w:tc>
          <w:tcPr>
            <w:tcW w:w="992" w:type="pct"/>
            <w:vAlign w:val="center"/>
          </w:tcPr>
          <w:p w14:paraId="38CBB6FC">
            <w:pPr>
              <w:pStyle w:val="57"/>
              <w:jc w:val="center"/>
              <w:rPr>
                <w:sz w:val="22"/>
                <w:szCs w:val="22"/>
              </w:rPr>
            </w:pPr>
            <w:r>
              <w:rPr>
                <w:sz w:val="22"/>
                <w:szCs w:val="22"/>
              </w:rPr>
              <w:t>9.5</w:t>
            </w:r>
          </w:p>
        </w:tc>
        <w:tc>
          <w:tcPr>
            <w:tcW w:w="755" w:type="pct"/>
            <w:shd w:val="clear" w:color="auto" w:fill="auto"/>
            <w:noWrap/>
            <w:vAlign w:val="center"/>
          </w:tcPr>
          <w:p w14:paraId="5514DD6D">
            <w:pPr>
              <w:pStyle w:val="57"/>
              <w:jc w:val="center"/>
              <w:rPr>
                <w:sz w:val="22"/>
                <w:szCs w:val="22"/>
              </w:rPr>
            </w:pPr>
            <w:r>
              <w:rPr>
                <w:sz w:val="22"/>
                <w:szCs w:val="22"/>
              </w:rPr>
              <w:t>县级河流</w:t>
            </w:r>
          </w:p>
        </w:tc>
      </w:tr>
      <w:tr w14:paraId="0D63E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20A785FE">
            <w:pPr>
              <w:pStyle w:val="57"/>
              <w:jc w:val="center"/>
              <w:rPr>
                <w:sz w:val="22"/>
                <w:szCs w:val="22"/>
              </w:rPr>
            </w:pPr>
            <w:r>
              <w:rPr>
                <w:sz w:val="22"/>
                <w:szCs w:val="22"/>
              </w:rPr>
              <w:t>147</w:t>
            </w:r>
          </w:p>
        </w:tc>
        <w:tc>
          <w:tcPr>
            <w:tcW w:w="1212" w:type="pct"/>
            <w:shd w:val="clear" w:color="auto" w:fill="auto"/>
            <w:noWrap/>
            <w:vAlign w:val="center"/>
          </w:tcPr>
          <w:p w14:paraId="4206EE08">
            <w:pPr>
              <w:pStyle w:val="57"/>
              <w:jc w:val="center"/>
              <w:rPr>
                <w:sz w:val="22"/>
                <w:szCs w:val="22"/>
              </w:rPr>
            </w:pPr>
            <w:r>
              <w:rPr>
                <w:sz w:val="22"/>
                <w:szCs w:val="22"/>
              </w:rPr>
              <w:t>中港河</w:t>
            </w:r>
          </w:p>
        </w:tc>
        <w:tc>
          <w:tcPr>
            <w:tcW w:w="1641" w:type="pct"/>
            <w:vAlign w:val="center"/>
          </w:tcPr>
          <w:p w14:paraId="2CB9417E">
            <w:pPr>
              <w:pStyle w:val="57"/>
              <w:jc w:val="center"/>
            </w:pPr>
            <w:r>
              <w:t>泰州</w:t>
            </w:r>
            <w:r>
              <w:rPr>
                <w:sz w:val="22"/>
                <w:szCs w:val="22"/>
              </w:rPr>
              <w:t>兴化市</w:t>
            </w:r>
          </w:p>
        </w:tc>
        <w:tc>
          <w:tcPr>
            <w:tcW w:w="992" w:type="pct"/>
            <w:vAlign w:val="center"/>
          </w:tcPr>
          <w:p w14:paraId="31D9FF9D">
            <w:pPr>
              <w:pStyle w:val="57"/>
              <w:jc w:val="center"/>
              <w:rPr>
                <w:sz w:val="22"/>
                <w:szCs w:val="22"/>
              </w:rPr>
            </w:pPr>
            <w:r>
              <w:rPr>
                <w:sz w:val="22"/>
                <w:szCs w:val="22"/>
              </w:rPr>
              <w:t>18.1</w:t>
            </w:r>
          </w:p>
        </w:tc>
        <w:tc>
          <w:tcPr>
            <w:tcW w:w="755" w:type="pct"/>
            <w:shd w:val="clear" w:color="auto" w:fill="auto"/>
            <w:noWrap/>
            <w:vAlign w:val="center"/>
          </w:tcPr>
          <w:p w14:paraId="3277FAAA">
            <w:pPr>
              <w:pStyle w:val="57"/>
              <w:jc w:val="center"/>
              <w:rPr>
                <w:sz w:val="22"/>
                <w:szCs w:val="22"/>
              </w:rPr>
            </w:pPr>
            <w:r>
              <w:rPr>
                <w:sz w:val="22"/>
                <w:szCs w:val="22"/>
              </w:rPr>
              <w:t>县级河流</w:t>
            </w:r>
          </w:p>
        </w:tc>
      </w:tr>
      <w:tr w14:paraId="7B312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461F81AF">
            <w:pPr>
              <w:pStyle w:val="57"/>
              <w:jc w:val="center"/>
              <w:rPr>
                <w:sz w:val="22"/>
                <w:szCs w:val="22"/>
              </w:rPr>
            </w:pPr>
            <w:r>
              <w:rPr>
                <w:sz w:val="22"/>
                <w:szCs w:val="22"/>
              </w:rPr>
              <w:t>148</w:t>
            </w:r>
          </w:p>
        </w:tc>
        <w:tc>
          <w:tcPr>
            <w:tcW w:w="1212" w:type="pct"/>
            <w:shd w:val="clear" w:color="auto" w:fill="auto"/>
            <w:noWrap/>
            <w:vAlign w:val="center"/>
          </w:tcPr>
          <w:p w14:paraId="1C86BBCE">
            <w:pPr>
              <w:pStyle w:val="57"/>
              <w:jc w:val="center"/>
              <w:rPr>
                <w:sz w:val="22"/>
                <w:szCs w:val="22"/>
              </w:rPr>
            </w:pPr>
            <w:r>
              <w:rPr>
                <w:sz w:val="22"/>
                <w:szCs w:val="22"/>
              </w:rPr>
              <w:t>大寨河</w:t>
            </w:r>
          </w:p>
        </w:tc>
        <w:tc>
          <w:tcPr>
            <w:tcW w:w="1641" w:type="pct"/>
            <w:vAlign w:val="center"/>
          </w:tcPr>
          <w:p w14:paraId="5DA097AA">
            <w:pPr>
              <w:pStyle w:val="57"/>
              <w:jc w:val="center"/>
            </w:pPr>
            <w:r>
              <w:t>泰州</w:t>
            </w:r>
            <w:r>
              <w:rPr>
                <w:sz w:val="22"/>
                <w:szCs w:val="22"/>
              </w:rPr>
              <w:t>兴化市</w:t>
            </w:r>
          </w:p>
        </w:tc>
        <w:tc>
          <w:tcPr>
            <w:tcW w:w="992" w:type="pct"/>
            <w:vAlign w:val="center"/>
          </w:tcPr>
          <w:p w14:paraId="26BCA833">
            <w:pPr>
              <w:pStyle w:val="57"/>
              <w:jc w:val="center"/>
              <w:rPr>
                <w:sz w:val="22"/>
                <w:szCs w:val="22"/>
              </w:rPr>
            </w:pPr>
            <w:r>
              <w:rPr>
                <w:sz w:val="22"/>
                <w:szCs w:val="22"/>
              </w:rPr>
              <w:t>9.6</w:t>
            </w:r>
          </w:p>
        </w:tc>
        <w:tc>
          <w:tcPr>
            <w:tcW w:w="755" w:type="pct"/>
            <w:shd w:val="clear" w:color="auto" w:fill="auto"/>
            <w:noWrap/>
            <w:vAlign w:val="center"/>
          </w:tcPr>
          <w:p w14:paraId="7AE60C8D">
            <w:pPr>
              <w:pStyle w:val="57"/>
              <w:jc w:val="center"/>
              <w:rPr>
                <w:sz w:val="22"/>
                <w:szCs w:val="22"/>
              </w:rPr>
            </w:pPr>
            <w:r>
              <w:rPr>
                <w:sz w:val="22"/>
                <w:szCs w:val="22"/>
              </w:rPr>
              <w:t>县级河流</w:t>
            </w:r>
          </w:p>
        </w:tc>
      </w:tr>
      <w:tr w14:paraId="60732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53CC538D">
            <w:pPr>
              <w:pStyle w:val="57"/>
              <w:jc w:val="center"/>
              <w:rPr>
                <w:sz w:val="22"/>
                <w:szCs w:val="22"/>
              </w:rPr>
            </w:pPr>
            <w:r>
              <w:rPr>
                <w:sz w:val="22"/>
                <w:szCs w:val="22"/>
              </w:rPr>
              <w:t>149</w:t>
            </w:r>
          </w:p>
        </w:tc>
        <w:tc>
          <w:tcPr>
            <w:tcW w:w="1212" w:type="pct"/>
            <w:shd w:val="clear" w:color="auto" w:fill="auto"/>
            <w:noWrap/>
            <w:vAlign w:val="center"/>
          </w:tcPr>
          <w:p w14:paraId="63962A15">
            <w:pPr>
              <w:pStyle w:val="57"/>
              <w:jc w:val="center"/>
              <w:rPr>
                <w:sz w:val="22"/>
                <w:szCs w:val="22"/>
              </w:rPr>
            </w:pPr>
            <w:r>
              <w:rPr>
                <w:sz w:val="22"/>
                <w:szCs w:val="22"/>
              </w:rPr>
              <w:t>中心河</w:t>
            </w:r>
          </w:p>
        </w:tc>
        <w:tc>
          <w:tcPr>
            <w:tcW w:w="1641" w:type="pct"/>
            <w:vAlign w:val="center"/>
          </w:tcPr>
          <w:p w14:paraId="7DD4B0C0">
            <w:pPr>
              <w:pStyle w:val="57"/>
              <w:jc w:val="center"/>
            </w:pPr>
            <w:r>
              <w:t>泰州</w:t>
            </w:r>
            <w:r>
              <w:rPr>
                <w:sz w:val="22"/>
                <w:szCs w:val="22"/>
              </w:rPr>
              <w:t>兴化市</w:t>
            </w:r>
          </w:p>
        </w:tc>
        <w:tc>
          <w:tcPr>
            <w:tcW w:w="992" w:type="pct"/>
            <w:vAlign w:val="center"/>
          </w:tcPr>
          <w:p w14:paraId="2B4756C6">
            <w:pPr>
              <w:pStyle w:val="57"/>
              <w:jc w:val="center"/>
              <w:rPr>
                <w:sz w:val="22"/>
                <w:szCs w:val="22"/>
              </w:rPr>
            </w:pPr>
            <w:r>
              <w:rPr>
                <w:sz w:val="22"/>
                <w:szCs w:val="22"/>
              </w:rPr>
              <w:t>8.7</w:t>
            </w:r>
          </w:p>
        </w:tc>
        <w:tc>
          <w:tcPr>
            <w:tcW w:w="755" w:type="pct"/>
            <w:shd w:val="clear" w:color="auto" w:fill="auto"/>
            <w:noWrap/>
            <w:vAlign w:val="center"/>
          </w:tcPr>
          <w:p w14:paraId="4EA0CE57">
            <w:pPr>
              <w:pStyle w:val="57"/>
              <w:jc w:val="center"/>
              <w:rPr>
                <w:sz w:val="22"/>
                <w:szCs w:val="22"/>
              </w:rPr>
            </w:pPr>
            <w:r>
              <w:rPr>
                <w:sz w:val="22"/>
                <w:szCs w:val="22"/>
              </w:rPr>
              <w:t>县级河流</w:t>
            </w:r>
          </w:p>
        </w:tc>
      </w:tr>
      <w:tr w14:paraId="49B5E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2D589F40">
            <w:pPr>
              <w:pStyle w:val="57"/>
              <w:jc w:val="center"/>
              <w:rPr>
                <w:sz w:val="22"/>
                <w:szCs w:val="22"/>
              </w:rPr>
            </w:pPr>
            <w:r>
              <w:rPr>
                <w:sz w:val="22"/>
                <w:szCs w:val="22"/>
              </w:rPr>
              <w:t>150</w:t>
            </w:r>
          </w:p>
        </w:tc>
        <w:tc>
          <w:tcPr>
            <w:tcW w:w="1212" w:type="pct"/>
            <w:shd w:val="clear" w:color="auto" w:fill="auto"/>
            <w:noWrap/>
            <w:vAlign w:val="center"/>
          </w:tcPr>
          <w:p w14:paraId="3FD74C2A">
            <w:pPr>
              <w:pStyle w:val="57"/>
              <w:jc w:val="center"/>
              <w:rPr>
                <w:sz w:val="22"/>
                <w:szCs w:val="22"/>
              </w:rPr>
            </w:pPr>
            <w:r>
              <w:rPr>
                <w:sz w:val="22"/>
                <w:szCs w:val="22"/>
              </w:rPr>
              <w:t>横津河</w:t>
            </w:r>
          </w:p>
        </w:tc>
        <w:tc>
          <w:tcPr>
            <w:tcW w:w="1641" w:type="pct"/>
            <w:vAlign w:val="center"/>
          </w:tcPr>
          <w:p w14:paraId="669D3BC6">
            <w:pPr>
              <w:pStyle w:val="57"/>
              <w:jc w:val="center"/>
            </w:pPr>
            <w:r>
              <w:t>泰州</w:t>
            </w:r>
            <w:r>
              <w:rPr>
                <w:sz w:val="22"/>
                <w:szCs w:val="22"/>
              </w:rPr>
              <w:t>兴化市</w:t>
            </w:r>
          </w:p>
        </w:tc>
        <w:tc>
          <w:tcPr>
            <w:tcW w:w="992" w:type="pct"/>
            <w:vAlign w:val="center"/>
          </w:tcPr>
          <w:p w14:paraId="3A7ADB5D">
            <w:pPr>
              <w:pStyle w:val="57"/>
              <w:jc w:val="center"/>
              <w:rPr>
                <w:sz w:val="22"/>
                <w:szCs w:val="22"/>
              </w:rPr>
            </w:pPr>
            <w:r>
              <w:rPr>
                <w:sz w:val="22"/>
                <w:szCs w:val="22"/>
              </w:rPr>
              <w:t>14.3</w:t>
            </w:r>
          </w:p>
        </w:tc>
        <w:tc>
          <w:tcPr>
            <w:tcW w:w="755" w:type="pct"/>
            <w:shd w:val="clear" w:color="auto" w:fill="auto"/>
            <w:noWrap/>
            <w:vAlign w:val="center"/>
          </w:tcPr>
          <w:p w14:paraId="7810C1F0">
            <w:pPr>
              <w:pStyle w:val="57"/>
              <w:jc w:val="center"/>
              <w:rPr>
                <w:sz w:val="22"/>
                <w:szCs w:val="22"/>
              </w:rPr>
            </w:pPr>
            <w:r>
              <w:rPr>
                <w:sz w:val="22"/>
                <w:szCs w:val="22"/>
              </w:rPr>
              <w:t>县级河流</w:t>
            </w:r>
          </w:p>
        </w:tc>
      </w:tr>
      <w:tr w14:paraId="19DC3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6E719FC8">
            <w:pPr>
              <w:pStyle w:val="57"/>
              <w:jc w:val="center"/>
              <w:rPr>
                <w:sz w:val="22"/>
                <w:szCs w:val="22"/>
              </w:rPr>
            </w:pPr>
            <w:r>
              <w:rPr>
                <w:sz w:val="22"/>
                <w:szCs w:val="22"/>
              </w:rPr>
              <w:t>151</w:t>
            </w:r>
          </w:p>
        </w:tc>
        <w:tc>
          <w:tcPr>
            <w:tcW w:w="1212" w:type="pct"/>
            <w:shd w:val="clear" w:color="auto" w:fill="auto"/>
            <w:noWrap/>
            <w:vAlign w:val="center"/>
          </w:tcPr>
          <w:p w14:paraId="061E47BD">
            <w:pPr>
              <w:pStyle w:val="57"/>
              <w:jc w:val="center"/>
              <w:rPr>
                <w:sz w:val="22"/>
                <w:szCs w:val="22"/>
              </w:rPr>
            </w:pPr>
            <w:r>
              <w:rPr>
                <w:sz w:val="22"/>
                <w:szCs w:val="22"/>
              </w:rPr>
              <w:t>蔡港</w:t>
            </w:r>
          </w:p>
        </w:tc>
        <w:tc>
          <w:tcPr>
            <w:tcW w:w="1641" w:type="pct"/>
            <w:vAlign w:val="center"/>
          </w:tcPr>
          <w:p w14:paraId="58FDB7F0">
            <w:pPr>
              <w:pStyle w:val="57"/>
              <w:jc w:val="center"/>
              <w:rPr>
                <w:sz w:val="22"/>
                <w:szCs w:val="22"/>
              </w:rPr>
            </w:pPr>
            <w:r>
              <w:t>泰州</w:t>
            </w:r>
            <w:r>
              <w:rPr>
                <w:sz w:val="22"/>
                <w:szCs w:val="22"/>
              </w:rPr>
              <w:t>泰兴市</w:t>
            </w:r>
          </w:p>
        </w:tc>
        <w:tc>
          <w:tcPr>
            <w:tcW w:w="992" w:type="pct"/>
            <w:vAlign w:val="center"/>
          </w:tcPr>
          <w:p w14:paraId="127FB2F6">
            <w:pPr>
              <w:pStyle w:val="57"/>
              <w:jc w:val="center"/>
              <w:rPr>
                <w:sz w:val="22"/>
                <w:szCs w:val="22"/>
              </w:rPr>
            </w:pPr>
            <w:r>
              <w:rPr>
                <w:sz w:val="22"/>
                <w:szCs w:val="22"/>
              </w:rPr>
              <w:t>29.4</w:t>
            </w:r>
          </w:p>
        </w:tc>
        <w:tc>
          <w:tcPr>
            <w:tcW w:w="755" w:type="pct"/>
            <w:shd w:val="clear" w:color="auto" w:fill="auto"/>
            <w:noWrap/>
            <w:vAlign w:val="center"/>
          </w:tcPr>
          <w:p w14:paraId="3DCA4D65">
            <w:pPr>
              <w:pStyle w:val="57"/>
              <w:jc w:val="center"/>
              <w:rPr>
                <w:sz w:val="22"/>
                <w:szCs w:val="22"/>
              </w:rPr>
            </w:pPr>
            <w:r>
              <w:rPr>
                <w:sz w:val="22"/>
                <w:szCs w:val="22"/>
              </w:rPr>
              <w:t>县级河流</w:t>
            </w:r>
          </w:p>
        </w:tc>
      </w:tr>
      <w:tr w14:paraId="79B50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 w:type="pct"/>
            <w:shd w:val="clear" w:color="auto" w:fill="auto"/>
            <w:noWrap/>
            <w:vAlign w:val="center"/>
          </w:tcPr>
          <w:p w14:paraId="3524E76B">
            <w:pPr>
              <w:pStyle w:val="57"/>
              <w:jc w:val="center"/>
              <w:rPr>
                <w:sz w:val="22"/>
                <w:szCs w:val="22"/>
              </w:rPr>
            </w:pPr>
            <w:r>
              <w:rPr>
                <w:sz w:val="22"/>
                <w:szCs w:val="22"/>
              </w:rPr>
              <w:t>152</w:t>
            </w:r>
          </w:p>
        </w:tc>
        <w:tc>
          <w:tcPr>
            <w:tcW w:w="1212" w:type="pct"/>
            <w:shd w:val="clear" w:color="auto" w:fill="auto"/>
            <w:noWrap/>
            <w:vAlign w:val="center"/>
          </w:tcPr>
          <w:p w14:paraId="1C1EC717">
            <w:pPr>
              <w:pStyle w:val="57"/>
              <w:jc w:val="center"/>
              <w:rPr>
                <w:sz w:val="22"/>
                <w:szCs w:val="22"/>
              </w:rPr>
            </w:pPr>
            <w:r>
              <w:rPr>
                <w:sz w:val="22"/>
                <w:szCs w:val="22"/>
              </w:rPr>
              <w:t>新曲河</w:t>
            </w:r>
          </w:p>
        </w:tc>
        <w:tc>
          <w:tcPr>
            <w:tcW w:w="1641" w:type="pct"/>
            <w:vAlign w:val="center"/>
          </w:tcPr>
          <w:p w14:paraId="1730F385">
            <w:pPr>
              <w:pStyle w:val="57"/>
              <w:jc w:val="center"/>
              <w:rPr>
                <w:sz w:val="22"/>
                <w:szCs w:val="22"/>
              </w:rPr>
            </w:pPr>
            <w:r>
              <w:t>泰州</w:t>
            </w:r>
            <w:r>
              <w:rPr>
                <w:sz w:val="22"/>
                <w:szCs w:val="22"/>
              </w:rPr>
              <w:t>泰兴市</w:t>
            </w:r>
          </w:p>
        </w:tc>
        <w:tc>
          <w:tcPr>
            <w:tcW w:w="992" w:type="pct"/>
            <w:vAlign w:val="center"/>
          </w:tcPr>
          <w:p w14:paraId="4E0457AC">
            <w:pPr>
              <w:pStyle w:val="57"/>
              <w:jc w:val="center"/>
              <w:rPr>
                <w:sz w:val="22"/>
                <w:szCs w:val="22"/>
              </w:rPr>
            </w:pPr>
            <w:r>
              <w:rPr>
                <w:sz w:val="22"/>
                <w:szCs w:val="22"/>
              </w:rPr>
              <w:t>24.1</w:t>
            </w:r>
          </w:p>
        </w:tc>
        <w:tc>
          <w:tcPr>
            <w:tcW w:w="755" w:type="pct"/>
            <w:shd w:val="clear" w:color="auto" w:fill="auto"/>
            <w:noWrap/>
            <w:vAlign w:val="center"/>
          </w:tcPr>
          <w:p w14:paraId="240D5484">
            <w:pPr>
              <w:pStyle w:val="57"/>
              <w:jc w:val="center"/>
              <w:rPr>
                <w:sz w:val="22"/>
                <w:szCs w:val="22"/>
              </w:rPr>
            </w:pPr>
            <w:r>
              <w:rPr>
                <w:sz w:val="22"/>
                <w:szCs w:val="22"/>
              </w:rPr>
              <w:t>县级河流</w:t>
            </w:r>
          </w:p>
        </w:tc>
      </w:tr>
    </w:tbl>
    <w:p w14:paraId="58264252">
      <w:pPr>
        <w:ind w:firstLine="480"/>
        <w:rPr>
          <w:rFonts w:cs="Times New Roman"/>
        </w:rPr>
      </w:pPr>
    </w:p>
    <w:p w14:paraId="2645D82B">
      <w:pPr>
        <w:ind w:firstLine="480"/>
        <w:rPr>
          <w:rFonts w:cs="Times New Roman"/>
        </w:rPr>
      </w:pPr>
      <w:r>
        <w:rPr>
          <w:rFonts w:cs="Times New Roman"/>
        </w:rPr>
        <w:br w:type="page"/>
      </w:r>
    </w:p>
    <w:p w14:paraId="5700065A">
      <w:pPr>
        <w:pStyle w:val="64"/>
      </w:pPr>
      <w:r>
        <w:rPr>
          <w:rFonts w:hint="eastAsia"/>
        </w:rPr>
        <w:t>附表</w:t>
      </w:r>
      <w:r>
        <w:t>2</w:t>
      </w:r>
      <w:r>
        <w:rPr>
          <w:rFonts w:hint="eastAsia"/>
        </w:rPr>
        <w:t xml:space="preserve"> 泰州市级以上湖泊湖荡名录</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1903"/>
        <w:gridCol w:w="2465"/>
        <w:gridCol w:w="1908"/>
        <w:gridCol w:w="2095"/>
      </w:tblGrid>
      <w:tr w14:paraId="4A1C8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33" w:type="pct"/>
            <w:noWrap/>
          </w:tcPr>
          <w:p w14:paraId="67877D4A">
            <w:pPr>
              <w:pStyle w:val="57"/>
              <w:rPr>
                <w:b/>
              </w:rPr>
            </w:pPr>
            <w:r>
              <w:rPr>
                <w:rFonts w:hint="eastAsia"/>
                <w:b/>
              </w:rPr>
              <w:t>序号</w:t>
            </w:r>
          </w:p>
        </w:tc>
        <w:tc>
          <w:tcPr>
            <w:tcW w:w="881" w:type="pct"/>
            <w:noWrap/>
          </w:tcPr>
          <w:p w14:paraId="0703A2A6">
            <w:pPr>
              <w:pStyle w:val="57"/>
              <w:rPr>
                <w:b/>
              </w:rPr>
            </w:pPr>
            <w:r>
              <w:rPr>
                <w:rFonts w:hint="eastAsia"/>
                <w:b/>
              </w:rPr>
              <w:t>湖泊（荡）名称</w:t>
            </w:r>
          </w:p>
        </w:tc>
        <w:tc>
          <w:tcPr>
            <w:tcW w:w="1399" w:type="pct"/>
            <w:noWrap/>
          </w:tcPr>
          <w:p w14:paraId="0E1415A0">
            <w:pPr>
              <w:pStyle w:val="57"/>
              <w:rPr>
                <w:b/>
              </w:rPr>
            </w:pPr>
            <w:r>
              <w:rPr>
                <w:rFonts w:hint="eastAsia"/>
                <w:b/>
              </w:rPr>
              <w:t>所属县区</w:t>
            </w:r>
          </w:p>
        </w:tc>
        <w:tc>
          <w:tcPr>
            <w:tcW w:w="1092" w:type="pct"/>
            <w:noWrap/>
          </w:tcPr>
          <w:p w14:paraId="53183D50">
            <w:pPr>
              <w:pStyle w:val="57"/>
              <w:rPr>
                <w:b/>
              </w:rPr>
            </w:pPr>
            <w:r>
              <w:rPr>
                <w:rFonts w:hint="eastAsia"/>
                <w:b/>
              </w:rPr>
              <w:t>湖泊分类</w:t>
            </w:r>
          </w:p>
        </w:tc>
        <w:tc>
          <w:tcPr>
            <w:tcW w:w="1195" w:type="pct"/>
          </w:tcPr>
          <w:p w14:paraId="19EC59E7">
            <w:pPr>
              <w:pStyle w:val="57"/>
              <w:rPr>
                <w:b/>
              </w:rPr>
            </w:pPr>
            <w:r>
              <w:rPr>
                <w:rFonts w:hint="eastAsia"/>
                <w:b/>
              </w:rPr>
              <w:t>备注</w:t>
            </w:r>
          </w:p>
        </w:tc>
      </w:tr>
      <w:tr w14:paraId="53FF3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33" w:type="pct"/>
            <w:noWrap/>
          </w:tcPr>
          <w:p w14:paraId="1D8D9C9E">
            <w:pPr>
              <w:pStyle w:val="57"/>
            </w:pPr>
            <w:r>
              <w:rPr>
                <w:rFonts w:hint="eastAsia"/>
              </w:rPr>
              <w:t>1</w:t>
            </w:r>
          </w:p>
        </w:tc>
        <w:tc>
          <w:tcPr>
            <w:tcW w:w="881" w:type="pct"/>
            <w:noWrap/>
          </w:tcPr>
          <w:p w14:paraId="21FAAE12">
            <w:pPr>
              <w:pStyle w:val="57"/>
            </w:pPr>
            <w:r>
              <w:rPr>
                <w:rFonts w:hint="eastAsia"/>
              </w:rPr>
              <w:t>菜花荡</w:t>
            </w:r>
          </w:p>
        </w:tc>
        <w:tc>
          <w:tcPr>
            <w:tcW w:w="1399" w:type="pct"/>
            <w:noWrap/>
          </w:tcPr>
          <w:p w14:paraId="22BDC3D4">
            <w:pPr>
              <w:pStyle w:val="57"/>
            </w:pPr>
            <w:r>
              <w:rPr>
                <w:rFonts w:hint="eastAsia"/>
              </w:rPr>
              <w:t>泰州兴化市及外市</w:t>
            </w:r>
          </w:p>
        </w:tc>
        <w:tc>
          <w:tcPr>
            <w:tcW w:w="1092" w:type="pct"/>
            <w:noWrap/>
          </w:tcPr>
          <w:p w14:paraId="021456B0">
            <w:pPr>
              <w:pStyle w:val="57"/>
            </w:pPr>
            <w:r>
              <w:rPr>
                <w:rFonts w:hint="eastAsia"/>
              </w:rPr>
              <w:t>省级以上管理</w:t>
            </w:r>
          </w:p>
        </w:tc>
        <w:tc>
          <w:tcPr>
            <w:tcW w:w="1195" w:type="pct"/>
            <w:vMerge w:val="restart"/>
            <w:vAlign w:val="center"/>
          </w:tcPr>
          <w:p w14:paraId="2B36A78E">
            <w:pPr>
              <w:pStyle w:val="57"/>
              <w:jc w:val="both"/>
            </w:pPr>
            <w:r>
              <w:rPr>
                <w:rFonts w:hint="eastAsia"/>
              </w:rPr>
              <w:t>江苏省里下河湖</w:t>
            </w:r>
          </w:p>
          <w:p w14:paraId="66BAF41A">
            <w:pPr>
              <w:pStyle w:val="57"/>
              <w:jc w:val="both"/>
            </w:pPr>
            <w:r>
              <w:rPr>
                <w:rFonts w:hint="eastAsia"/>
              </w:rPr>
              <w:t>泊群合计2</w:t>
            </w:r>
            <w:r>
              <w:t>4个湖</w:t>
            </w:r>
          </w:p>
          <w:p w14:paraId="2C6F0E39">
            <w:pPr>
              <w:pStyle w:val="57"/>
              <w:jc w:val="both"/>
            </w:pPr>
            <w:r>
              <w:t>泊，其中</w:t>
            </w:r>
            <w:r>
              <w:rPr>
                <w:rFonts w:hint="eastAsia"/>
              </w:rPr>
              <w:t>1</w:t>
            </w:r>
            <w:r>
              <w:t>4个涉</w:t>
            </w:r>
          </w:p>
          <w:p w14:paraId="356D2F7D">
            <w:pPr>
              <w:pStyle w:val="57"/>
              <w:jc w:val="both"/>
            </w:pPr>
            <w:r>
              <w:t>及泰州</w:t>
            </w:r>
          </w:p>
        </w:tc>
      </w:tr>
      <w:tr w14:paraId="5B12C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33" w:type="pct"/>
            <w:noWrap/>
          </w:tcPr>
          <w:p w14:paraId="6D97554A">
            <w:pPr>
              <w:pStyle w:val="57"/>
            </w:pPr>
            <w:r>
              <w:rPr>
                <w:rFonts w:hint="eastAsia"/>
              </w:rPr>
              <w:t>2</w:t>
            </w:r>
          </w:p>
        </w:tc>
        <w:tc>
          <w:tcPr>
            <w:tcW w:w="881" w:type="pct"/>
            <w:noWrap/>
          </w:tcPr>
          <w:p w14:paraId="21E295C3">
            <w:pPr>
              <w:pStyle w:val="57"/>
            </w:pPr>
            <w:r>
              <w:rPr>
                <w:rFonts w:hint="eastAsia"/>
              </w:rPr>
              <w:t>陈堡草荡</w:t>
            </w:r>
          </w:p>
        </w:tc>
        <w:tc>
          <w:tcPr>
            <w:tcW w:w="1399" w:type="pct"/>
            <w:noWrap/>
          </w:tcPr>
          <w:p w14:paraId="341D366A">
            <w:pPr>
              <w:pStyle w:val="57"/>
            </w:pPr>
            <w:r>
              <w:rPr>
                <w:rFonts w:hint="eastAsia"/>
              </w:rPr>
              <w:t>泰州兴化市及外市</w:t>
            </w:r>
          </w:p>
        </w:tc>
        <w:tc>
          <w:tcPr>
            <w:tcW w:w="1092" w:type="pct"/>
            <w:noWrap/>
          </w:tcPr>
          <w:p w14:paraId="774D0B88">
            <w:pPr>
              <w:pStyle w:val="57"/>
            </w:pPr>
            <w:r>
              <w:rPr>
                <w:rFonts w:hint="eastAsia"/>
              </w:rPr>
              <w:t>省级以上管理</w:t>
            </w:r>
          </w:p>
        </w:tc>
        <w:tc>
          <w:tcPr>
            <w:tcW w:w="1195" w:type="pct"/>
            <w:vMerge w:val="continue"/>
          </w:tcPr>
          <w:p w14:paraId="10E2FF81">
            <w:pPr>
              <w:pStyle w:val="57"/>
            </w:pPr>
          </w:p>
        </w:tc>
      </w:tr>
      <w:tr w14:paraId="5B5EA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33" w:type="pct"/>
            <w:noWrap/>
          </w:tcPr>
          <w:p w14:paraId="770B94D4">
            <w:pPr>
              <w:pStyle w:val="57"/>
            </w:pPr>
            <w:r>
              <w:rPr>
                <w:rFonts w:hint="eastAsia"/>
              </w:rPr>
              <w:t>3</w:t>
            </w:r>
          </w:p>
        </w:tc>
        <w:tc>
          <w:tcPr>
            <w:tcW w:w="881" w:type="pct"/>
            <w:noWrap/>
          </w:tcPr>
          <w:p w14:paraId="580A0F01">
            <w:pPr>
              <w:pStyle w:val="57"/>
            </w:pPr>
            <w:r>
              <w:rPr>
                <w:rFonts w:hint="eastAsia"/>
              </w:rPr>
              <w:t>东潭</w:t>
            </w:r>
          </w:p>
        </w:tc>
        <w:tc>
          <w:tcPr>
            <w:tcW w:w="1399" w:type="pct"/>
            <w:noWrap/>
          </w:tcPr>
          <w:p w14:paraId="0D3E7A03">
            <w:pPr>
              <w:pStyle w:val="57"/>
            </w:pPr>
            <w:r>
              <w:rPr>
                <w:rFonts w:hint="eastAsia"/>
              </w:rPr>
              <w:t>泰州兴化市</w:t>
            </w:r>
          </w:p>
        </w:tc>
        <w:tc>
          <w:tcPr>
            <w:tcW w:w="1092" w:type="pct"/>
            <w:noWrap/>
          </w:tcPr>
          <w:p w14:paraId="799708DA">
            <w:pPr>
              <w:pStyle w:val="57"/>
            </w:pPr>
            <w:r>
              <w:rPr>
                <w:rFonts w:hint="eastAsia"/>
              </w:rPr>
              <w:t>省级以上管理</w:t>
            </w:r>
          </w:p>
        </w:tc>
        <w:tc>
          <w:tcPr>
            <w:tcW w:w="1195" w:type="pct"/>
            <w:vMerge w:val="continue"/>
          </w:tcPr>
          <w:p w14:paraId="42EA6E2D">
            <w:pPr>
              <w:pStyle w:val="57"/>
            </w:pPr>
          </w:p>
        </w:tc>
      </w:tr>
      <w:tr w14:paraId="5583C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33" w:type="pct"/>
            <w:noWrap/>
          </w:tcPr>
          <w:p w14:paraId="0F08183B">
            <w:pPr>
              <w:pStyle w:val="57"/>
            </w:pPr>
            <w:r>
              <w:rPr>
                <w:rFonts w:hint="eastAsia"/>
              </w:rPr>
              <w:t>4</w:t>
            </w:r>
          </w:p>
        </w:tc>
        <w:tc>
          <w:tcPr>
            <w:tcW w:w="881" w:type="pct"/>
            <w:noWrap/>
          </w:tcPr>
          <w:p w14:paraId="27795888">
            <w:pPr>
              <w:pStyle w:val="57"/>
            </w:pPr>
            <w:r>
              <w:rPr>
                <w:rFonts w:hint="eastAsia"/>
              </w:rPr>
              <w:t>耿家荡</w:t>
            </w:r>
          </w:p>
        </w:tc>
        <w:tc>
          <w:tcPr>
            <w:tcW w:w="1399" w:type="pct"/>
            <w:noWrap/>
          </w:tcPr>
          <w:p w14:paraId="768A8411">
            <w:pPr>
              <w:pStyle w:val="57"/>
            </w:pPr>
            <w:r>
              <w:rPr>
                <w:rFonts w:hint="eastAsia"/>
              </w:rPr>
              <w:t>泰州兴化市及外市</w:t>
            </w:r>
          </w:p>
        </w:tc>
        <w:tc>
          <w:tcPr>
            <w:tcW w:w="1092" w:type="pct"/>
            <w:noWrap/>
          </w:tcPr>
          <w:p w14:paraId="0D48AA15">
            <w:pPr>
              <w:pStyle w:val="57"/>
            </w:pPr>
            <w:r>
              <w:rPr>
                <w:rFonts w:hint="eastAsia"/>
              </w:rPr>
              <w:t>省级以上管理</w:t>
            </w:r>
          </w:p>
        </w:tc>
        <w:tc>
          <w:tcPr>
            <w:tcW w:w="1195" w:type="pct"/>
            <w:vMerge w:val="continue"/>
          </w:tcPr>
          <w:p w14:paraId="10AF9ADF">
            <w:pPr>
              <w:pStyle w:val="57"/>
            </w:pPr>
          </w:p>
        </w:tc>
      </w:tr>
      <w:tr w14:paraId="43437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33" w:type="pct"/>
            <w:noWrap/>
          </w:tcPr>
          <w:p w14:paraId="5653F0AE">
            <w:pPr>
              <w:pStyle w:val="57"/>
            </w:pPr>
            <w:r>
              <w:rPr>
                <w:rFonts w:hint="eastAsia"/>
              </w:rPr>
              <w:t>5</w:t>
            </w:r>
          </w:p>
        </w:tc>
        <w:tc>
          <w:tcPr>
            <w:tcW w:w="881" w:type="pct"/>
            <w:noWrap/>
          </w:tcPr>
          <w:p w14:paraId="5BCBF884">
            <w:pPr>
              <w:pStyle w:val="57"/>
            </w:pPr>
            <w:r>
              <w:rPr>
                <w:rFonts w:hint="eastAsia"/>
              </w:rPr>
              <w:t>郭正湖</w:t>
            </w:r>
          </w:p>
        </w:tc>
        <w:tc>
          <w:tcPr>
            <w:tcW w:w="1399" w:type="pct"/>
            <w:noWrap/>
          </w:tcPr>
          <w:p w14:paraId="2A395D34">
            <w:pPr>
              <w:pStyle w:val="57"/>
            </w:pPr>
            <w:r>
              <w:rPr>
                <w:rFonts w:hint="eastAsia"/>
              </w:rPr>
              <w:t>泰州兴化市</w:t>
            </w:r>
          </w:p>
        </w:tc>
        <w:tc>
          <w:tcPr>
            <w:tcW w:w="1092" w:type="pct"/>
            <w:noWrap/>
          </w:tcPr>
          <w:p w14:paraId="79226E6D">
            <w:pPr>
              <w:pStyle w:val="57"/>
            </w:pPr>
            <w:r>
              <w:rPr>
                <w:rFonts w:hint="eastAsia"/>
              </w:rPr>
              <w:t>省级以上管理</w:t>
            </w:r>
          </w:p>
        </w:tc>
        <w:tc>
          <w:tcPr>
            <w:tcW w:w="1195" w:type="pct"/>
            <w:vMerge w:val="continue"/>
          </w:tcPr>
          <w:p w14:paraId="6806C1EA">
            <w:pPr>
              <w:pStyle w:val="57"/>
            </w:pPr>
          </w:p>
        </w:tc>
      </w:tr>
      <w:tr w14:paraId="69607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33" w:type="pct"/>
            <w:noWrap/>
          </w:tcPr>
          <w:p w14:paraId="0B59CF8E">
            <w:pPr>
              <w:pStyle w:val="57"/>
            </w:pPr>
            <w:r>
              <w:rPr>
                <w:rFonts w:hint="eastAsia"/>
              </w:rPr>
              <w:t>6</w:t>
            </w:r>
          </w:p>
        </w:tc>
        <w:tc>
          <w:tcPr>
            <w:tcW w:w="881" w:type="pct"/>
            <w:noWrap/>
          </w:tcPr>
          <w:p w14:paraId="0D02E124">
            <w:pPr>
              <w:pStyle w:val="57"/>
            </w:pPr>
            <w:r>
              <w:rPr>
                <w:rFonts w:hint="eastAsia"/>
              </w:rPr>
              <w:t>花粉荡</w:t>
            </w:r>
          </w:p>
        </w:tc>
        <w:tc>
          <w:tcPr>
            <w:tcW w:w="1399" w:type="pct"/>
            <w:noWrap/>
          </w:tcPr>
          <w:p w14:paraId="4631CCF7">
            <w:pPr>
              <w:pStyle w:val="57"/>
            </w:pPr>
            <w:r>
              <w:rPr>
                <w:rFonts w:hint="eastAsia"/>
              </w:rPr>
              <w:t>泰州兴化市</w:t>
            </w:r>
          </w:p>
        </w:tc>
        <w:tc>
          <w:tcPr>
            <w:tcW w:w="1092" w:type="pct"/>
            <w:noWrap/>
          </w:tcPr>
          <w:p w14:paraId="0C75FB56">
            <w:pPr>
              <w:pStyle w:val="57"/>
            </w:pPr>
            <w:r>
              <w:rPr>
                <w:rFonts w:hint="eastAsia"/>
              </w:rPr>
              <w:t>省级以上管理</w:t>
            </w:r>
          </w:p>
        </w:tc>
        <w:tc>
          <w:tcPr>
            <w:tcW w:w="1195" w:type="pct"/>
            <w:vMerge w:val="continue"/>
          </w:tcPr>
          <w:p w14:paraId="410D0B5A">
            <w:pPr>
              <w:pStyle w:val="57"/>
            </w:pPr>
          </w:p>
        </w:tc>
      </w:tr>
      <w:tr w14:paraId="4E02C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33" w:type="pct"/>
            <w:noWrap/>
          </w:tcPr>
          <w:p w14:paraId="62E2BA6D">
            <w:pPr>
              <w:pStyle w:val="57"/>
            </w:pPr>
            <w:r>
              <w:rPr>
                <w:rFonts w:hint="eastAsia"/>
              </w:rPr>
              <w:t>7</w:t>
            </w:r>
          </w:p>
        </w:tc>
        <w:tc>
          <w:tcPr>
            <w:tcW w:w="881" w:type="pct"/>
            <w:noWrap/>
          </w:tcPr>
          <w:p w14:paraId="2DBF4F22">
            <w:pPr>
              <w:pStyle w:val="57"/>
            </w:pPr>
            <w:r>
              <w:rPr>
                <w:rFonts w:hint="eastAsia"/>
              </w:rPr>
              <w:t>官庄荡</w:t>
            </w:r>
          </w:p>
        </w:tc>
        <w:tc>
          <w:tcPr>
            <w:tcW w:w="1399" w:type="pct"/>
            <w:noWrap/>
          </w:tcPr>
          <w:p w14:paraId="1D5D038B">
            <w:pPr>
              <w:pStyle w:val="57"/>
            </w:pPr>
            <w:r>
              <w:rPr>
                <w:rFonts w:hint="eastAsia"/>
              </w:rPr>
              <w:t>泰州兴化市</w:t>
            </w:r>
          </w:p>
        </w:tc>
        <w:tc>
          <w:tcPr>
            <w:tcW w:w="1092" w:type="pct"/>
            <w:noWrap/>
          </w:tcPr>
          <w:p w14:paraId="7443773E">
            <w:pPr>
              <w:pStyle w:val="57"/>
            </w:pPr>
            <w:r>
              <w:rPr>
                <w:rFonts w:hint="eastAsia"/>
              </w:rPr>
              <w:t>省级以上管理</w:t>
            </w:r>
          </w:p>
        </w:tc>
        <w:tc>
          <w:tcPr>
            <w:tcW w:w="1195" w:type="pct"/>
            <w:vMerge w:val="continue"/>
          </w:tcPr>
          <w:p w14:paraId="4D1DA069">
            <w:pPr>
              <w:pStyle w:val="57"/>
            </w:pPr>
          </w:p>
        </w:tc>
      </w:tr>
      <w:tr w14:paraId="66789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33" w:type="pct"/>
            <w:noWrap/>
          </w:tcPr>
          <w:p w14:paraId="61110E68">
            <w:pPr>
              <w:pStyle w:val="57"/>
            </w:pPr>
            <w:r>
              <w:rPr>
                <w:rFonts w:hint="eastAsia"/>
              </w:rPr>
              <w:t>8</w:t>
            </w:r>
          </w:p>
        </w:tc>
        <w:tc>
          <w:tcPr>
            <w:tcW w:w="881" w:type="pct"/>
            <w:noWrap/>
          </w:tcPr>
          <w:p w14:paraId="3D09B138">
            <w:pPr>
              <w:pStyle w:val="57"/>
            </w:pPr>
            <w:r>
              <w:rPr>
                <w:rFonts w:hint="eastAsia"/>
              </w:rPr>
              <w:t>龙溪港</w:t>
            </w:r>
          </w:p>
        </w:tc>
        <w:tc>
          <w:tcPr>
            <w:tcW w:w="1399" w:type="pct"/>
            <w:noWrap/>
          </w:tcPr>
          <w:p w14:paraId="48151720">
            <w:pPr>
              <w:pStyle w:val="57"/>
            </w:pPr>
            <w:r>
              <w:rPr>
                <w:rFonts w:hint="eastAsia"/>
              </w:rPr>
              <w:t>泰州姜堰区</w:t>
            </w:r>
          </w:p>
        </w:tc>
        <w:tc>
          <w:tcPr>
            <w:tcW w:w="1092" w:type="pct"/>
            <w:noWrap/>
          </w:tcPr>
          <w:p w14:paraId="0694A147">
            <w:pPr>
              <w:pStyle w:val="57"/>
            </w:pPr>
            <w:r>
              <w:rPr>
                <w:rFonts w:hint="eastAsia"/>
              </w:rPr>
              <w:t>省级以上管理</w:t>
            </w:r>
          </w:p>
        </w:tc>
        <w:tc>
          <w:tcPr>
            <w:tcW w:w="1195" w:type="pct"/>
            <w:vMerge w:val="continue"/>
          </w:tcPr>
          <w:p w14:paraId="6AEA11E1">
            <w:pPr>
              <w:pStyle w:val="57"/>
            </w:pPr>
          </w:p>
        </w:tc>
      </w:tr>
      <w:tr w14:paraId="25304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33" w:type="pct"/>
            <w:noWrap/>
          </w:tcPr>
          <w:p w14:paraId="563D8947">
            <w:pPr>
              <w:pStyle w:val="57"/>
            </w:pPr>
            <w:r>
              <w:rPr>
                <w:rFonts w:hint="eastAsia"/>
              </w:rPr>
              <w:t>9</w:t>
            </w:r>
          </w:p>
        </w:tc>
        <w:tc>
          <w:tcPr>
            <w:tcW w:w="881" w:type="pct"/>
            <w:noWrap/>
          </w:tcPr>
          <w:p w14:paraId="55898C01">
            <w:pPr>
              <w:pStyle w:val="57"/>
            </w:pPr>
            <w:r>
              <w:rPr>
                <w:rFonts w:hint="eastAsia"/>
              </w:rPr>
              <w:t>平旺湖</w:t>
            </w:r>
          </w:p>
        </w:tc>
        <w:tc>
          <w:tcPr>
            <w:tcW w:w="1399" w:type="pct"/>
            <w:noWrap/>
          </w:tcPr>
          <w:p w14:paraId="6760C8B4">
            <w:pPr>
              <w:pStyle w:val="57"/>
            </w:pPr>
            <w:r>
              <w:rPr>
                <w:rFonts w:hint="eastAsia"/>
              </w:rPr>
              <w:t>泰州兴化市</w:t>
            </w:r>
          </w:p>
        </w:tc>
        <w:tc>
          <w:tcPr>
            <w:tcW w:w="1092" w:type="pct"/>
            <w:noWrap/>
          </w:tcPr>
          <w:p w14:paraId="549EE481">
            <w:pPr>
              <w:pStyle w:val="57"/>
            </w:pPr>
            <w:r>
              <w:rPr>
                <w:rFonts w:hint="eastAsia"/>
              </w:rPr>
              <w:t>省级以上管理</w:t>
            </w:r>
          </w:p>
        </w:tc>
        <w:tc>
          <w:tcPr>
            <w:tcW w:w="1195" w:type="pct"/>
            <w:vMerge w:val="continue"/>
          </w:tcPr>
          <w:p w14:paraId="7CAAE6B6">
            <w:pPr>
              <w:pStyle w:val="57"/>
            </w:pPr>
          </w:p>
        </w:tc>
      </w:tr>
      <w:tr w14:paraId="2DA19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33" w:type="pct"/>
            <w:noWrap/>
          </w:tcPr>
          <w:p w14:paraId="6F2F178E">
            <w:pPr>
              <w:pStyle w:val="57"/>
            </w:pPr>
            <w:r>
              <w:rPr>
                <w:rFonts w:hint="eastAsia"/>
              </w:rPr>
              <w:t>10</w:t>
            </w:r>
          </w:p>
        </w:tc>
        <w:tc>
          <w:tcPr>
            <w:tcW w:w="881" w:type="pct"/>
            <w:noWrap/>
          </w:tcPr>
          <w:p w14:paraId="5D0C635A">
            <w:pPr>
              <w:pStyle w:val="57"/>
            </w:pPr>
            <w:r>
              <w:rPr>
                <w:rFonts w:hint="eastAsia"/>
              </w:rPr>
              <w:t>沙沟南荡</w:t>
            </w:r>
          </w:p>
        </w:tc>
        <w:tc>
          <w:tcPr>
            <w:tcW w:w="1399" w:type="pct"/>
            <w:noWrap/>
          </w:tcPr>
          <w:p w14:paraId="3AC9497F">
            <w:pPr>
              <w:pStyle w:val="57"/>
            </w:pPr>
            <w:r>
              <w:rPr>
                <w:rFonts w:hint="eastAsia"/>
              </w:rPr>
              <w:t>泰州兴化市及外市</w:t>
            </w:r>
          </w:p>
        </w:tc>
        <w:tc>
          <w:tcPr>
            <w:tcW w:w="1092" w:type="pct"/>
            <w:noWrap/>
          </w:tcPr>
          <w:p w14:paraId="3AD65B3C">
            <w:pPr>
              <w:pStyle w:val="57"/>
            </w:pPr>
            <w:r>
              <w:rPr>
                <w:rFonts w:hint="eastAsia"/>
              </w:rPr>
              <w:t>省级以上管理</w:t>
            </w:r>
          </w:p>
        </w:tc>
        <w:tc>
          <w:tcPr>
            <w:tcW w:w="1195" w:type="pct"/>
            <w:vMerge w:val="continue"/>
          </w:tcPr>
          <w:p w14:paraId="603604F9">
            <w:pPr>
              <w:pStyle w:val="57"/>
            </w:pPr>
          </w:p>
        </w:tc>
      </w:tr>
      <w:tr w14:paraId="70D20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33" w:type="pct"/>
            <w:noWrap/>
          </w:tcPr>
          <w:p w14:paraId="6C544FAC">
            <w:pPr>
              <w:pStyle w:val="57"/>
            </w:pPr>
            <w:r>
              <w:rPr>
                <w:rFonts w:hint="eastAsia"/>
              </w:rPr>
              <w:t>11</w:t>
            </w:r>
          </w:p>
        </w:tc>
        <w:tc>
          <w:tcPr>
            <w:tcW w:w="881" w:type="pct"/>
            <w:noWrap/>
          </w:tcPr>
          <w:p w14:paraId="4D9C1A82">
            <w:pPr>
              <w:pStyle w:val="57"/>
            </w:pPr>
            <w:r>
              <w:rPr>
                <w:rFonts w:hint="eastAsia"/>
              </w:rPr>
              <w:t>乌巾荡</w:t>
            </w:r>
          </w:p>
        </w:tc>
        <w:tc>
          <w:tcPr>
            <w:tcW w:w="1399" w:type="pct"/>
            <w:noWrap/>
          </w:tcPr>
          <w:p w14:paraId="58F687DF">
            <w:pPr>
              <w:pStyle w:val="57"/>
            </w:pPr>
            <w:r>
              <w:rPr>
                <w:rFonts w:hint="eastAsia"/>
              </w:rPr>
              <w:t>泰州兴化市</w:t>
            </w:r>
          </w:p>
        </w:tc>
        <w:tc>
          <w:tcPr>
            <w:tcW w:w="1092" w:type="pct"/>
            <w:noWrap/>
          </w:tcPr>
          <w:p w14:paraId="1B02D84D">
            <w:pPr>
              <w:pStyle w:val="57"/>
            </w:pPr>
            <w:r>
              <w:rPr>
                <w:rFonts w:hint="eastAsia"/>
              </w:rPr>
              <w:t>省级以上管理</w:t>
            </w:r>
          </w:p>
        </w:tc>
        <w:tc>
          <w:tcPr>
            <w:tcW w:w="1195" w:type="pct"/>
            <w:vMerge w:val="continue"/>
          </w:tcPr>
          <w:p w14:paraId="106903A9">
            <w:pPr>
              <w:pStyle w:val="57"/>
            </w:pPr>
          </w:p>
        </w:tc>
      </w:tr>
      <w:tr w14:paraId="2EE79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33" w:type="pct"/>
            <w:noWrap/>
          </w:tcPr>
          <w:p w14:paraId="3D5D38FB">
            <w:pPr>
              <w:pStyle w:val="57"/>
            </w:pPr>
            <w:r>
              <w:rPr>
                <w:rFonts w:hint="eastAsia"/>
              </w:rPr>
              <w:t>12</w:t>
            </w:r>
          </w:p>
        </w:tc>
        <w:tc>
          <w:tcPr>
            <w:tcW w:w="881" w:type="pct"/>
            <w:noWrap/>
          </w:tcPr>
          <w:p w14:paraId="4CF4E64D">
            <w:pPr>
              <w:pStyle w:val="57"/>
            </w:pPr>
            <w:r>
              <w:rPr>
                <w:rFonts w:hint="eastAsia"/>
              </w:rPr>
              <w:t>喜鹊湖</w:t>
            </w:r>
          </w:p>
        </w:tc>
        <w:tc>
          <w:tcPr>
            <w:tcW w:w="1399" w:type="pct"/>
            <w:noWrap/>
          </w:tcPr>
          <w:p w14:paraId="40EBB81A">
            <w:pPr>
              <w:pStyle w:val="57"/>
            </w:pPr>
            <w:r>
              <w:rPr>
                <w:rFonts w:hint="eastAsia"/>
              </w:rPr>
              <w:t>泰州姜堰区</w:t>
            </w:r>
          </w:p>
        </w:tc>
        <w:tc>
          <w:tcPr>
            <w:tcW w:w="1092" w:type="pct"/>
            <w:noWrap/>
          </w:tcPr>
          <w:p w14:paraId="3363327F">
            <w:pPr>
              <w:pStyle w:val="57"/>
            </w:pPr>
            <w:r>
              <w:rPr>
                <w:rFonts w:hint="eastAsia"/>
              </w:rPr>
              <w:t>省级以上管理</w:t>
            </w:r>
          </w:p>
        </w:tc>
        <w:tc>
          <w:tcPr>
            <w:tcW w:w="1195" w:type="pct"/>
            <w:vMerge w:val="continue"/>
          </w:tcPr>
          <w:p w14:paraId="461B2981">
            <w:pPr>
              <w:pStyle w:val="57"/>
            </w:pPr>
          </w:p>
        </w:tc>
      </w:tr>
      <w:tr w14:paraId="0EFAC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33" w:type="pct"/>
            <w:noWrap/>
          </w:tcPr>
          <w:p w14:paraId="5B38A958">
            <w:pPr>
              <w:pStyle w:val="57"/>
            </w:pPr>
            <w:r>
              <w:rPr>
                <w:rFonts w:hint="eastAsia"/>
              </w:rPr>
              <w:t>13</w:t>
            </w:r>
          </w:p>
        </w:tc>
        <w:tc>
          <w:tcPr>
            <w:tcW w:w="881" w:type="pct"/>
            <w:noWrap/>
          </w:tcPr>
          <w:p w14:paraId="2CFC6149">
            <w:pPr>
              <w:pStyle w:val="57"/>
            </w:pPr>
            <w:r>
              <w:rPr>
                <w:rFonts w:hint="eastAsia"/>
              </w:rPr>
              <w:t>夏家汪</w:t>
            </w:r>
          </w:p>
        </w:tc>
        <w:tc>
          <w:tcPr>
            <w:tcW w:w="1399" w:type="pct"/>
            <w:noWrap/>
          </w:tcPr>
          <w:p w14:paraId="276E7A5D">
            <w:pPr>
              <w:pStyle w:val="57"/>
            </w:pPr>
            <w:r>
              <w:rPr>
                <w:rFonts w:hint="eastAsia"/>
              </w:rPr>
              <w:t>泰州姜堰区</w:t>
            </w:r>
          </w:p>
        </w:tc>
        <w:tc>
          <w:tcPr>
            <w:tcW w:w="1092" w:type="pct"/>
            <w:noWrap/>
          </w:tcPr>
          <w:p w14:paraId="335E6A2E">
            <w:pPr>
              <w:pStyle w:val="57"/>
            </w:pPr>
            <w:r>
              <w:rPr>
                <w:rFonts w:hint="eastAsia"/>
              </w:rPr>
              <w:t>省级以上管理</w:t>
            </w:r>
          </w:p>
        </w:tc>
        <w:tc>
          <w:tcPr>
            <w:tcW w:w="1195" w:type="pct"/>
            <w:vMerge w:val="continue"/>
          </w:tcPr>
          <w:p w14:paraId="4075B215">
            <w:pPr>
              <w:pStyle w:val="57"/>
            </w:pPr>
          </w:p>
        </w:tc>
      </w:tr>
      <w:tr w14:paraId="32D30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33" w:type="pct"/>
            <w:noWrap/>
          </w:tcPr>
          <w:p w14:paraId="666479FC">
            <w:pPr>
              <w:pStyle w:val="57"/>
            </w:pPr>
            <w:r>
              <w:rPr>
                <w:rFonts w:hint="eastAsia"/>
              </w:rPr>
              <w:t>14</w:t>
            </w:r>
          </w:p>
        </w:tc>
        <w:tc>
          <w:tcPr>
            <w:tcW w:w="881" w:type="pct"/>
            <w:noWrap/>
          </w:tcPr>
          <w:p w14:paraId="63637A41">
            <w:pPr>
              <w:pStyle w:val="57"/>
            </w:pPr>
            <w:r>
              <w:rPr>
                <w:rFonts w:hint="eastAsia"/>
              </w:rPr>
              <w:t>兴盛荡</w:t>
            </w:r>
          </w:p>
        </w:tc>
        <w:tc>
          <w:tcPr>
            <w:tcW w:w="1399" w:type="pct"/>
            <w:noWrap/>
          </w:tcPr>
          <w:p w14:paraId="34873FC1">
            <w:pPr>
              <w:pStyle w:val="57"/>
            </w:pPr>
            <w:r>
              <w:rPr>
                <w:rFonts w:hint="eastAsia"/>
              </w:rPr>
              <w:t>泰州兴化市及外市</w:t>
            </w:r>
          </w:p>
        </w:tc>
        <w:tc>
          <w:tcPr>
            <w:tcW w:w="1092" w:type="pct"/>
            <w:noWrap/>
          </w:tcPr>
          <w:p w14:paraId="43A9ADD7">
            <w:pPr>
              <w:pStyle w:val="57"/>
            </w:pPr>
            <w:r>
              <w:rPr>
                <w:rFonts w:hint="eastAsia"/>
              </w:rPr>
              <w:t>省级以上管理</w:t>
            </w:r>
          </w:p>
        </w:tc>
        <w:tc>
          <w:tcPr>
            <w:tcW w:w="1195" w:type="pct"/>
            <w:vMerge w:val="continue"/>
          </w:tcPr>
          <w:p w14:paraId="43DEA312">
            <w:pPr>
              <w:pStyle w:val="57"/>
            </w:pPr>
          </w:p>
        </w:tc>
      </w:tr>
      <w:tr w14:paraId="76AAF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33" w:type="pct"/>
            <w:noWrap/>
          </w:tcPr>
          <w:p w14:paraId="6DF76113">
            <w:pPr>
              <w:pStyle w:val="57"/>
            </w:pPr>
            <w:r>
              <w:rPr>
                <w:rFonts w:hint="eastAsia"/>
              </w:rPr>
              <w:t>15</w:t>
            </w:r>
          </w:p>
        </w:tc>
        <w:tc>
          <w:tcPr>
            <w:tcW w:w="881" w:type="pct"/>
            <w:noWrap/>
          </w:tcPr>
          <w:p w14:paraId="2BECB524">
            <w:pPr>
              <w:pStyle w:val="57"/>
            </w:pPr>
            <w:r>
              <w:rPr>
                <w:rFonts w:hint="eastAsia"/>
              </w:rPr>
              <w:t>大纵湖</w:t>
            </w:r>
          </w:p>
        </w:tc>
        <w:tc>
          <w:tcPr>
            <w:tcW w:w="1399" w:type="pct"/>
            <w:noWrap/>
          </w:tcPr>
          <w:p w14:paraId="42F62854">
            <w:pPr>
              <w:pStyle w:val="57"/>
            </w:pPr>
            <w:r>
              <w:rPr>
                <w:rFonts w:hint="eastAsia"/>
              </w:rPr>
              <w:t>泰州兴化市及外市</w:t>
            </w:r>
          </w:p>
        </w:tc>
        <w:tc>
          <w:tcPr>
            <w:tcW w:w="1092" w:type="pct"/>
            <w:noWrap/>
          </w:tcPr>
          <w:p w14:paraId="6FA5423D">
            <w:pPr>
              <w:pStyle w:val="57"/>
            </w:pPr>
            <w:r>
              <w:rPr>
                <w:rFonts w:hint="eastAsia"/>
              </w:rPr>
              <w:t>省级以上管理</w:t>
            </w:r>
          </w:p>
        </w:tc>
        <w:tc>
          <w:tcPr>
            <w:tcW w:w="1195" w:type="pct"/>
          </w:tcPr>
          <w:p w14:paraId="306DDB66">
            <w:pPr>
              <w:pStyle w:val="57"/>
            </w:pPr>
          </w:p>
        </w:tc>
      </w:tr>
      <w:tr w14:paraId="604A9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33" w:type="pct"/>
            <w:noWrap/>
          </w:tcPr>
          <w:p w14:paraId="7EC0F24D">
            <w:pPr>
              <w:pStyle w:val="57"/>
            </w:pPr>
            <w:r>
              <w:rPr>
                <w:rFonts w:hint="eastAsia"/>
              </w:rPr>
              <w:t>16</w:t>
            </w:r>
          </w:p>
        </w:tc>
        <w:tc>
          <w:tcPr>
            <w:tcW w:w="881" w:type="pct"/>
            <w:noWrap/>
          </w:tcPr>
          <w:p w14:paraId="72CBAB7C">
            <w:pPr>
              <w:pStyle w:val="57"/>
            </w:pPr>
            <w:r>
              <w:rPr>
                <w:rFonts w:hint="eastAsia"/>
              </w:rPr>
              <w:t>得胜湖</w:t>
            </w:r>
          </w:p>
        </w:tc>
        <w:tc>
          <w:tcPr>
            <w:tcW w:w="1399" w:type="pct"/>
            <w:noWrap/>
          </w:tcPr>
          <w:p w14:paraId="22947F99">
            <w:pPr>
              <w:pStyle w:val="57"/>
            </w:pPr>
            <w:r>
              <w:rPr>
                <w:rFonts w:hint="eastAsia"/>
              </w:rPr>
              <w:t>泰州兴化市</w:t>
            </w:r>
          </w:p>
        </w:tc>
        <w:tc>
          <w:tcPr>
            <w:tcW w:w="1092" w:type="pct"/>
            <w:noWrap/>
          </w:tcPr>
          <w:p w14:paraId="31BE2A93">
            <w:pPr>
              <w:pStyle w:val="57"/>
            </w:pPr>
            <w:r>
              <w:rPr>
                <w:rFonts w:hint="eastAsia"/>
              </w:rPr>
              <w:t>省级以上管理</w:t>
            </w:r>
          </w:p>
        </w:tc>
        <w:tc>
          <w:tcPr>
            <w:tcW w:w="1195" w:type="pct"/>
          </w:tcPr>
          <w:p w14:paraId="21328CAA">
            <w:pPr>
              <w:pStyle w:val="57"/>
            </w:pPr>
          </w:p>
        </w:tc>
      </w:tr>
      <w:tr w14:paraId="0A318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33" w:type="pct"/>
            <w:noWrap/>
          </w:tcPr>
          <w:p w14:paraId="7836AB0A">
            <w:pPr>
              <w:pStyle w:val="57"/>
            </w:pPr>
            <w:r>
              <w:rPr>
                <w:rFonts w:hint="eastAsia"/>
              </w:rPr>
              <w:t>17</w:t>
            </w:r>
          </w:p>
        </w:tc>
        <w:tc>
          <w:tcPr>
            <w:tcW w:w="881" w:type="pct"/>
            <w:noWrap/>
          </w:tcPr>
          <w:p w14:paraId="7893EE72">
            <w:pPr>
              <w:pStyle w:val="57"/>
            </w:pPr>
            <w:r>
              <w:rPr>
                <w:rFonts w:hint="eastAsia"/>
              </w:rPr>
              <w:t>广洋湖</w:t>
            </w:r>
          </w:p>
        </w:tc>
        <w:tc>
          <w:tcPr>
            <w:tcW w:w="1399" w:type="pct"/>
            <w:noWrap/>
          </w:tcPr>
          <w:p w14:paraId="23796BA1">
            <w:pPr>
              <w:pStyle w:val="57"/>
            </w:pPr>
            <w:r>
              <w:rPr>
                <w:rFonts w:hint="eastAsia"/>
              </w:rPr>
              <w:t>泰州兴化市及外市</w:t>
            </w:r>
          </w:p>
        </w:tc>
        <w:tc>
          <w:tcPr>
            <w:tcW w:w="1092" w:type="pct"/>
            <w:noWrap/>
          </w:tcPr>
          <w:p w14:paraId="1FD4E44E">
            <w:pPr>
              <w:pStyle w:val="57"/>
            </w:pPr>
            <w:r>
              <w:rPr>
                <w:rFonts w:hint="eastAsia"/>
              </w:rPr>
              <w:t>省级以上管理</w:t>
            </w:r>
          </w:p>
        </w:tc>
        <w:tc>
          <w:tcPr>
            <w:tcW w:w="1195" w:type="pct"/>
          </w:tcPr>
          <w:p w14:paraId="4C02A9D4">
            <w:pPr>
              <w:pStyle w:val="57"/>
            </w:pPr>
          </w:p>
        </w:tc>
      </w:tr>
      <w:tr w14:paraId="5BBAD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33" w:type="pct"/>
            <w:noWrap/>
          </w:tcPr>
          <w:p w14:paraId="4A93FEDD">
            <w:pPr>
              <w:pStyle w:val="57"/>
            </w:pPr>
            <w:r>
              <w:rPr>
                <w:rFonts w:hint="eastAsia"/>
              </w:rPr>
              <w:t>18</w:t>
            </w:r>
          </w:p>
        </w:tc>
        <w:tc>
          <w:tcPr>
            <w:tcW w:w="881" w:type="pct"/>
            <w:noWrap/>
          </w:tcPr>
          <w:p w14:paraId="6EB21962">
            <w:pPr>
              <w:pStyle w:val="57"/>
            </w:pPr>
            <w:r>
              <w:rPr>
                <w:rFonts w:hint="eastAsia"/>
              </w:rPr>
              <w:t>癞子荡</w:t>
            </w:r>
          </w:p>
        </w:tc>
        <w:tc>
          <w:tcPr>
            <w:tcW w:w="1399" w:type="pct"/>
            <w:noWrap/>
          </w:tcPr>
          <w:p w14:paraId="5C7CF414">
            <w:pPr>
              <w:pStyle w:val="57"/>
            </w:pPr>
            <w:r>
              <w:rPr>
                <w:rFonts w:hint="eastAsia"/>
              </w:rPr>
              <w:t>泰州兴化市</w:t>
            </w:r>
          </w:p>
        </w:tc>
        <w:tc>
          <w:tcPr>
            <w:tcW w:w="1092" w:type="pct"/>
            <w:noWrap/>
          </w:tcPr>
          <w:p w14:paraId="7179D679">
            <w:pPr>
              <w:pStyle w:val="57"/>
            </w:pPr>
            <w:r>
              <w:rPr>
                <w:rFonts w:hint="eastAsia"/>
              </w:rPr>
              <w:t>省级以上管理</w:t>
            </w:r>
          </w:p>
        </w:tc>
        <w:tc>
          <w:tcPr>
            <w:tcW w:w="1195" w:type="pct"/>
          </w:tcPr>
          <w:p w14:paraId="2076B190">
            <w:pPr>
              <w:pStyle w:val="57"/>
            </w:pPr>
          </w:p>
        </w:tc>
      </w:tr>
      <w:tr w14:paraId="588C9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33" w:type="pct"/>
            <w:noWrap/>
          </w:tcPr>
          <w:p w14:paraId="366F5984">
            <w:pPr>
              <w:pStyle w:val="57"/>
            </w:pPr>
            <w:r>
              <w:rPr>
                <w:rFonts w:hint="eastAsia"/>
              </w:rPr>
              <w:t>19</w:t>
            </w:r>
          </w:p>
        </w:tc>
        <w:tc>
          <w:tcPr>
            <w:tcW w:w="881" w:type="pct"/>
            <w:noWrap/>
          </w:tcPr>
          <w:p w14:paraId="495D6498">
            <w:pPr>
              <w:pStyle w:val="57"/>
            </w:pPr>
            <w:r>
              <w:rPr>
                <w:rFonts w:hint="eastAsia"/>
              </w:rPr>
              <w:t>林湖</w:t>
            </w:r>
          </w:p>
        </w:tc>
        <w:tc>
          <w:tcPr>
            <w:tcW w:w="1399" w:type="pct"/>
            <w:noWrap/>
          </w:tcPr>
          <w:p w14:paraId="383C1F79">
            <w:pPr>
              <w:pStyle w:val="57"/>
            </w:pPr>
            <w:r>
              <w:rPr>
                <w:rFonts w:hint="eastAsia"/>
              </w:rPr>
              <w:t>泰州兴化市</w:t>
            </w:r>
          </w:p>
        </w:tc>
        <w:tc>
          <w:tcPr>
            <w:tcW w:w="1092" w:type="pct"/>
            <w:noWrap/>
          </w:tcPr>
          <w:p w14:paraId="4C741474">
            <w:pPr>
              <w:pStyle w:val="57"/>
            </w:pPr>
            <w:r>
              <w:rPr>
                <w:rFonts w:hint="eastAsia"/>
              </w:rPr>
              <w:t>省级以上管理</w:t>
            </w:r>
          </w:p>
        </w:tc>
        <w:tc>
          <w:tcPr>
            <w:tcW w:w="1195" w:type="pct"/>
          </w:tcPr>
          <w:p w14:paraId="55B0BE42">
            <w:pPr>
              <w:pStyle w:val="57"/>
            </w:pPr>
          </w:p>
        </w:tc>
      </w:tr>
      <w:tr w14:paraId="30A11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33" w:type="pct"/>
            <w:noWrap/>
          </w:tcPr>
          <w:p w14:paraId="27EE8CAD">
            <w:pPr>
              <w:pStyle w:val="57"/>
            </w:pPr>
            <w:r>
              <w:rPr>
                <w:rFonts w:hint="eastAsia"/>
              </w:rPr>
              <w:t>20</w:t>
            </w:r>
          </w:p>
        </w:tc>
        <w:tc>
          <w:tcPr>
            <w:tcW w:w="881" w:type="pct"/>
            <w:noWrap/>
          </w:tcPr>
          <w:p w14:paraId="4C629266">
            <w:pPr>
              <w:pStyle w:val="57"/>
            </w:pPr>
            <w:r>
              <w:rPr>
                <w:rFonts w:hint="eastAsia"/>
              </w:rPr>
              <w:t>王庄荡</w:t>
            </w:r>
          </w:p>
        </w:tc>
        <w:tc>
          <w:tcPr>
            <w:tcW w:w="1399" w:type="pct"/>
            <w:noWrap/>
          </w:tcPr>
          <w:p w14:paraId="69D99B25">
            <w:pPr>
              <w:pStyle w:val="57"/>
            </w:pPr>
            <w:r>
              <w:rPr>
                <w:rFonts w:hint="eastAsia"/>
              </w:rPr>
              <w:t>泰州兴化市</w:t>
            </w:r>
          </w:p>
        </w:tc>
        <w:tc>
          <w:tcPr>
            <w:tcW w:w="1092" w:type="pct"/>
            <w:noWrap/>
          </w:tcPr>
          <w:p w14:paraId="3EC16B14">
            <w:pPr>
              <w:pStyle w:val="57"/>
            </w:pPr>
            <w:r>
              <w:rPr>
                <w:rFonts w:hint="eastAsia"/>
              </w:rPr>
              <w:t>省级以上管理</w:t>
            </w:r>
          </w:p>
        </w:tc>
        <w:tc>
          <w:tcPr>
            <w:tcW w:w="1195" w:type="pct"/>
          </w:tcPr>
          <w:p w14:paraId="69D662CC">
            <w:pPr>
              <w:pStyle w:val="57"/>
            </w:pPr>
          </w:p>
        </w:tc>
      </w:tr>
      <w:tr w14:paraId="15961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33" w:type="pct"/>
            <w:noWrap/>
          </w:tcPr>
          <w:p w14:paraId="38DA5BF5">
            <w:pPr>
              <w:pStyle w:val="57"/>
            </w:pPr>
            <w:r>
              <w:rPr>
                <w:rFonts w:hint="eastAsia"/>
              </w:rPr>
              <w:t>21</w:t>
            </w:r>
          </w:p>
        </w:tc>
        <w:tc>
          <w:tcPr>
            <w:tcW w:w="881" w:type="pct"/>
            <w:noWrap/>
          </w:tcPr>
          <w:p w14:paraId="4E7BB892">
            <w:pPr>
              <w:pStyle w:val="57"/>
            </w:pPr>
            <w:r>
              <w:rPr>
                <w:rFonts w:hint="eastAsia"/>
              </w:rPr>
              <w:t>蜈蚣湖</w:t>
            </w:r>
          </w:p>
        </w:tc>
        <w:tc>
          <w:tcPr>
            <w:tcW w:w="1399" w:type="pct"/>
            <w:noWrap/>
          </w:tcPr>
          <w:p w14:paraId="0C062A9C">
            <w:pPr>
              <w:pStyle w:val="57"/>
            </w:pPr>
            <w:r>
              <w:rPr>
                <w:rFonts w:hint="eastAsia"/>
              </w:rPr>
              <w:t>泰州兴化市</w:t>
            </w:r>
          </w:p>
        </w:tc>
        <w:tc>
          <w:tcPr>
            <w:tcW w:w="1092" w:type="pct"/>
            <w:noWrap/>
          </w:tcPr>
          <w:p w14:paraId="263B93BF">
            <w:pPr>
              <w:pStyle w:val="57"/>
            </w:pPr>
            <w:r>
              <w:rPr>
                <w:rFonts w:hint="eastAsia"/>
              </w:rPr>
              <w:t>省级以上管理</w:t>
            </w:r>
          </w:p>
        </w:tc>
        <w:tc>
          <w:tcPr>
            <w:tcW w:w="1195" w:type="pct"/>
            <w:vMerge w:val="restart"/>
            <w:vAlign w:val="center"/>
          </w:tcPr>
          <w:p w14:paraId="121226BC">
            <w:pPr>
              <w:pStyle w:val="57"/>
              <w:jc w:val="both"/>
            </w:pPr>
            <w:r>
              <w:rPr>
                <w:rFonts w:hint="eastAsia"/>
              </w:rPr>
              <w:t>也合称“蜈蚣湖、</w:t>
            </w:r>
          </w:p>
          <w:p w14:paraId="64467FD3">
            <w:pPr>
              <w:pStyle w:val="57"/>
              <w:jc w:val="both"/>
            </w:pPr>
            <w:r>
              <w:rPr>
                <w:rFonts w:hint="eastAsia"/>
              </w:rPr>
              <w:t>蜈蚣湖南荡”</w:t>
            </w:r>
          </w:p>
        </w:tc>
      </w:tr>
      <w:tr w14:paraId="24373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33" w:type="pct"/>
            <w:noWrap/>
          </w:tcPr>
          <w:p w14:paraId="299786AF">
            <w:pPr>
              <w:pStyle w:val="57"/>
            </w:pPr>
            <w:r>
              <w:rPr>
                <w:rFonts w:hint="eastAsia"/>
              </w:rPr>
              <w:t>22</w:t>
            </w:r>
          </w:p>
        </w:tc>
        <w:tc>
          <w:tcPr>
            <w:tcW w:w="881" w:type="pct"/>
            <w:noWrap/>
          </w:tcPr>
          <w:p w14:paraId="76AE12FC">
            <w:pPr>
              <w:pStyle w:val="57"/>
            </w:pPr>
            <w:r>
              <w:rPr>
                <w:rFonts w:hint="eastAsia"/>
              </w:rPr>
              <w:t>蜈蚣湖南荡</w:t>
            </w:r>
          </w:p>
        </w:tc>
        <w:tc>
          <w:tcPr>
            <w:tcW w:w="1399" w:type="pct"/>
            <w:noWrap/>
          </w:tcPr>
          <w:p w14:paraId="395FC533">
            <w:pPr>
              <w:pStyle w:val="57"/>
            </w:pPr>
            <w:r>
              <w:rPr>
                <w:rFonts w:hint="eastAsia"/>
              </w:rPr>
              <w:t>泰州兴化市</w:t>
            </w:r>
          </w:p>
        </w:tc>
        <w:tc>
          <w:tcPr>
            <w:tcW w:w="1092" w:type="pct"/>
            <w:noWrap/>
          </w:tcPr>
          <w:p w14:paraId="12B32796">
            <w:pPr>
              <w:pStyle w:val="57"/>
            </w:pPr>
            <w:r>
              <w:rPr>
                <w:rFonts w:hint="eastAsia"/>
              </w:rPr>
              <w:t>省级以上管理</w:t>
            </w:r>
          </w:p>
        </w:tc>
        <w:tc>
          <w:tcPr>
            <w:tcW w:w="1195" w:type="pct"/>
            <w:vMerge w:val="continue"/>
          </w:tcPr>
          <w:p w14:paraId="36495523">
            <w:pPr>
              <w:pStyle w:val="57"/>
            </w:pPr>
          </w:p>
        </w:tc>
      </w:tr>
      <w:tr w14:paraId="577AF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33" w:type="pct"/>
            <w:noWrap/>
          </w:tcPr>
          <w:p w14:paraId="7EA0A46B">
            <w:pPr>
              <w:pStyle w:val="57"/>
            </w:pPr>
            <w:r>
              <w:rPr>
                <w:rFonts w:hint="eastAsia"/>
              </w:rPr>
              <w:t>23</w:t>
            </w:r>
          </w:p>
        </w:tc>
        <w:tc>
          <w:tcPr>
            <w:tcW w:w="881" w:type="pct"/>
            <w:noWrap/>
          </w:tcPr>
          <w:p w14:paraId="174F5730">
            <w:pPr>
              <w:pStyle w:val="57"/>
            </w:pPr>
            <w:r>
              <w:rPr>
                <w:rFonts w:hint="eastAsia"/>
              </w:rPr>
              <w:t>洋汊荡</w:t>
            </w:r>
          </w:p>
        </w:tc>
        <w:tc>
          <w:tcPr>
            <w:tcW w:w="1399" w:type="pct"/>
            <w:noWrap/>
          </w:tcPr>
          <w:p w14:paraId="43C3194A">
            <w:pPr>
              <w:pStyle w:val="57"/>
            </w:pPr>
            <w:r>
              <w:rPr>
                <w:rFonts w:hint="eastAsia"/>
              </w:rPr>
              <w:t>泰州兴化市及外市</w:t>
            </w:r>
          </w:p>
        </w:tc>
        <w:tc>
          <w:tcPr>
            <w:tcW w:w="1092" w:type="pct"/>
            <w:noWrap/>
          </w:tcPr>
          <w:p w14:paraId="0DF9EFC2">
            <w:pPr>
              <w:pStyle w:val="57"/>
            </w:pPr>
            <w:r>
              <w:rPr>
                <w:rFonts w:hint="eastAsia"/>
              </w:rPr>
              <w:t>省级以上管理</w:t>
            </w:r>
          </w:p>
        </w:tc>
        <w:tc>
          <w:tcPr>
            <w:tcW w:w="1195" w:type="pct"/>
          </w:tcPr>
          <w:p w14:paraId="18EA5695">
            <w:pPr>
              <w:pStyle w:val="57"/>
            </w:pPr>
          </w:p>
        </w:tc>
      </w:tr>
      <w:tr w14:paraId="06B28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33" w:type="pct"/>
            <w:noWrap/>
          </w:tcPr>
          <w:p w14:paraId="49657D44">
            <w:pPr>
              <w:pStyle w:val="57"/>
            </w:pPr>
            <w:r>
              <w:rPr>
                <w:rFonts w:hint="eastAsia"/>
              </w:rPr>
              <w:t>24</w:t>
            </w:r>
          </w:p>
        </w:tc>
        <w:tc>
          <w:tcPr>
            <w:tcW w:w="881" w:type="pct"/>
            <w:noWrap/>
          </w:tcPr>
          <w:p w14:paraId="226475CC">
            <w:pPr>
              <w:pStyle w:val="57"/>
            </w:pPr>
            <w:r>
              <w:rPr>
                <w:rFonts w:hint="eastAsia"/>
              </w:rPr>
              <w:t>凤栖湖</w:t>
            </w:r>
          </w:p>
        </w:tc>
        <w:tc>
          <w:tcPr>
            <w:tcW w:w="1399" w:type="pct"/>
            <w:noWrap/>
          </w:tcPr>
          <w:p w14:paraId="7443D880">
            <w:pPr>
              <w:pStyle w:val="57"/>
            </w:pPr>
            <w:r>
              <w:rPr>
                <w:rFonts w:hint="eastAsia"/>
              </w:rPr>
              <w:t>泰州高港区</w:t>
            </w:r>
          </w:p>
        </w:tc>
        <w:tc>
          <w:tcPr>
            <w:tcW w:w="1092" w:type="pct"/>
            <w:noWrap/>
          </w:tcPr>
          <w:p w14:paraId="2A7E11F6">
            <w:pPr>
              <w:pStyle w:val="57"/>
            </w:pPr>
            <w:r>
              <w:rPr>
                <w:rFonts w:hint="eastAsia"/>
              </w:rPr>
              <w:t>泰州市管理</w:t>
            </w:r>
          </w:p>
        </w:tc>
        <w:tc>
          <w:tcPr>
            <w:tcW w:w="1195" w:type="pct"/>
          </w:tcPr>
          <w:p w14:paraId="44FE87C9">
            <w:pPr>
              <w:pStyle w:val="57"/>
            </w:pPr>
          </w:p>
        </w:tc>
      </w:tr>
      <w:tr w14:paraId="49EC8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33" w:type="pct"/>
            <w:noWrap/>
          </w:tcPr>
          <w:p w14:paraId="62BE5CA0">
            <w:pPr>
              <w:pStyle w:val="57"/>
            </w:pPr>
            <w:r>
              <w:rPr>
                <w:rFonts w:hint="eastAsia"/>
              </w:rPr>
              <w:t>25</w:t>
            </w:r>
          </w:p>
        </w:tc>
        <w:tc>
          <w:tcPr>
            <w:tcW w:w="881" w:type="pct"/>
            <w:noWrap/>
          </w:tcPr>
          <w:p w14:paraId="7853DA7B">
            <w:pPr>
              <w:pStyle w:val="57"/>
            </w:pPr>
            <w:r>
              <w:rPr>
                <w:rFonts w:hint="eastAsia"/>
              </w:rPr>
              <w:t>天德湖</w:t>
            </w:r>
          </w:p>
        </w:tc>
        <w:tc>
          <w:tcPr>
            <w:tcW w:w="1399" w:type="pct"/>
            <w:noWrap/>
          </w:tcPr>
          <w:p w14:paraId="199DC5CF">
            <w:pPr>
              <w:pStyle w:val="57"/>
            </w:pPr>
            <w:r>
              <w:rPr>
                <w:rFonts w:hint="eastAsia"/>
              </w:rPr>
              <w:t>泰州海陵区</w:t>
            </w:r>
          </w:p>
        </w:tc>
        <w:tc>
          <w:tcPr>
            <w:tcW w:w="1092" w:type="pct"/>
            <w:noWrap/>
          </w:tcPr>
          <w:p w14:paraId="680B14A9">
            <w:pPr>
              <w:pStyle w:val="57"/>
            </w:pPr>
            <w:r>
              <w:rPr>
                <w:rFonts w:hint="eastAsia"/>
              </w:rPr>
              <w:t>泰州市管理</w:t>
            </w:r>
          </w:p>
        </w:tc>
        <w:tc>
          <w:tcPr>
            <w:tcW w:w="1195" w:type="pct"/>
          </w:tcPr>
          <w:p w14:paraId="189D6283">
            <w:pPr>
              <w:pStyle w:val="57"/>
            </w:pPr>
          </w:p>
        </w:tc>
      </w:tr>
    </w:tbl>
    <w:p w14:paraId="216E3EF0">
      <w:pPr>
        <w:pStyle w:val="57"/>
      </w:pPr>
      <w:r>
        <w:t>注：表中名录基于《</w:t>
      </w:r>
      <w:r>
        <w:rPr>
          <w:rFonts w:hint="eastAsia"/>
        </w:rPr>
        <w:t>江苏省湖泊保护名录（</w:t>
      </w:r>
      <w:r>
        <w:t>2021</w:t>
      </w:r>
      <w:r>
        <w:rPr>
          <w:rFonts w:hint="eastAsia"/>
        </w:rPr>
        <w:t>修编）</w:t>
      </w:r>
      <w:r>
        <w:t>》（苏政办发</w:t>
      </w:r>
      <w:r>
        <w:rPr>
          <w:rFonts w:hint="eastAsia"/>
        </w:rPr>
        <w:t>〔2</w:t>
      </w:r>
      <w:r>
        <w:t>021</w:t>
      </w:r>
      <w:r>
        <w:rPr>
          <w:rFonts w:hint="eastAsia"/>
        </w:rPr>
        <w:t>〕1</w:t>
      </w:r>
      <w:r>
        <w:t>5号）</w:t>
      </w:r>
      <w:r>
        <w:rPr>
          <w:rFonts w:hint="eastAsia"/>
        </w:rPr>
        <w:t>。</w:t>
      </w:r>
    </w:p>
    <w:p w14:paraId="46E7C7BB">
      <w:pPr>
        <w:ind w:firstLine="480"/>
        <w:rPr>
          <w:rFonts w:cs="Times New Roman"/>
        </w:rPr>
      </w:pPr>
    </w:p>
    <w:p w14:paraId="4528DCDE">
      <w:pPr>
        <w:ind w:firstLine="480"/>
        <w:rPr>
          <w:rFonts w:cs="Times New Roman"/>
        </w:rPr>
      </w:pPr>
    </w:p>
    <w:p w14:paraId="2BF1C7A9">
      <w:pPr>
        <w:ind w:firstLine="480"/>
        <w:rPr>
          <w:rFonts w:cs="Times New Roman"/>
        </w:rPr>
      </w:pPr>
      <w:r>
        <w:rPr>
          <w:rFonts w:cs="Times New Roman"/>
        </w:rPr>
        <w:br w:type="page"/>
      </w:r>
    </w:p>
    <w:p w14:paraId="3041AA3F">
      <w:pPr>
        <w:pStyle w:val="64"/>
      </w:pPr>
      <w:r>
        <w:rPr>
          <w:rFonts w:hint="eastAsia"/>
        </w:rPr>
        <w:t>附表</w:t>
      </w:r>
      <w:r>
        <w:t>3</w:t>
      </w:r>
      <w:r>
        <w:rPr>
          <w:rFonts w:hint="eastAsia"/>
        </w:rPr>
        <w:t xml:space="preserve"> 泰州重要水闸、泵站名录</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82"/>
      </w:tblGrid>
      <w:tr w14:paraId="70B8B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6" w:hRule="atLeast"/>
        </w:trPr>
        <w:tc>
          <w:tcPr>
            <w:tcW w:w="0" w:type="auto"/>
            <w:noWrap/>
          </w:tcPr>
          <w:p w14:paraId="7330B807">
            <w:pPr>
              <w:pStyle w:val="57"/>
              <w:rPr>
                <w:b/>
              </w:rPr>
            </w:pPr>
            <w:r>
              <w:rPr>
                <w:rFonts w:hint="eastAsia"/>
                <w:b/>
              </w:rPr>
              <w:t>一、长江沿线控制性建筑物（1</w:t>
            </w:r>
            <w:r>
              <w:rPr>
                <w:b/>
              </w:rPr>
              <w:t>11座</w:t>
            </w:r>
            <w:r>
              <w:rPr>
                <w:rFonts w:hint="eastAsia"/>
                <w:b/>
              </w:rPr>
              <w:t>）</w:t>
            </w:r>
          </w:p>
          <w:p w14:paraId="4FF3D026">
            <w:pPr>
              <w:pStyle w:val="57"/>
            </w:pPr>
            <w:r>
              <w:rPr>
                <w:rFonts w:hint="eastAsia"/>
              </w:rPr>
              <w:t>（一）通江节制闸（51座）</w:t>
            </w:r>
          </w:p>
          <w:p w14:paraId="225388AB">
            <w:pPr>
              <w:pStyle w:val="57"/>
            </w:pPr>
            <w:r>
              <w:rPr>
                <w:rFonts w:hint="eastAsia"/>
              </w:rPr>
              <w:t>医药高新区（高港区）（5座）：口岸闸、友谊闸、龙窝闸、幸福闸、同兴闸。</w:t>
            </w:r>
          </w:p>
          <w:p w14:paraId="34CB1FDE">
            <w:pPr>
              <w:pStyle w:val="57"/>
            </w:pPr>
            <w:r>
              <w:rPr>
                <w:rFonts w:hint="eastAsia"/>
              </w:rPr>
              <w:t>泰兴市（14座）：马甸小闸、西江闸、当铺闸、过船港闸、新段港闸、天星港闸、二桥闸、焦土港闸、连福闸、六圩闸、七圩闸、九圩闸、靖泰界河闸、马甸节制闸。</w:t>
            </w:r>
          </w:p>
          <w:p w14:paraId="468D65DB">
            <w:pPr>
              <w:pStyle w:val="57"/>
            </w:pPr>
            <w:r>
              <w:rPr>
                <w:rFonts w:hint="eastAsia"/>
              </w:rPr>
              <w:t>靖江市（32座）：大掘港闸、联兴港闸、上青龙港闸、合兴港闸、上九圩闸、文东港闸、夹港闸、川心港闸、上四圩港闸、美人港闸、上五圩闸、上六圩闸、下二圩闸、下三圩闸、下四圩闸、下五圩闸、七圩闸、八圩港闸、十圩节制闸、天生港闸、小桥港闸、蟛蜞港闸、罗家桥港闸、旺桥港闸、六助港闸、安宁港闸、夏仕港节制闸、丹华港闸、下青龙港闸、永济港闸、塌港闸、友谊闸。</w:t>
            </w:r>
          </w:p>
          <w:p w14:paraId="474C2A0C">
            <w:pPr>
              <w:pStyle w:val="57"/>
            </w:pPr>
            <w:r>
              <w:rPr>
                <w:rFonts w:hint="eastAsia"/>
              </w:rPr>
              <w:t>（二）沿江闸站结合工程（21座）</w:t>
            </w:r>
          </w:p>
          <w:p w14:paraId="75D32AC9">
            <w:pPr>
              <w:pStyle w:val="57"/>
            </w:pPr>
            <w:r>
              <w:rPr>
                <w:rFonts w:hint="eastAsia"/>
              </w:rPr>
              <w:t>医药高新区（高港区）（4座）：高港闸、永安闸、福利闸、天雨闸。</w:t>
            </w:r>
          </w:p>
          <w:p w14:paraId="5A3998E6">
            <w:pPr>
              <w:pStyle w:val="57"/>
            </w:pPr>
            <w:r>
              <w:rPr>
                <w:rFonts w:hint="eastAsia"/>
              </w:rPr>
              <w:t>泰兴市（13座）：马甸泵站、洋思港闸站、东夹江闸站、团结河闸站、排涝二站、排涝一站、芦坝港闸站、包港闸站、解圩闸站、头桥排涝站、三桥排涝站、四圩闸站、四桥闸站。</w:t>
            </w:r>
          </w:p>
          <w:p w14:paraId="0453D961">
            <w:pPr>
              <w:pStyle w:val="57"/>
            </w:pPr>
            <w:r>
              <w:rPr>
                <w:rFonts w:hint="eastAsia"/>
              </w:rPr>
              <w:t>靖江市（4座）：下六圩水利枢纽、下九圩港闸站、新小桥港闸站、和尚港闸站。</w:t>
            </w:r>
          </w:p>
          <w:p w14:paraId="1E40D6C7">
            <w:pPr>
              <w:pStyle w:val="57"/>
            </w:pPr>
            <w:r>
              <w:rPr>
                <w:rFonts w:hint="eastAsia"/>
              </w:rPr>
              <w:t>（三）沿江排涝站（39座）</w:t>
            </w:r>
          </w:p>
          <w:p w14:paraId="6566A291">
            <w:pPr>
              <w:pStyle w:val="57"/>
            </w:pPr>
            <w:r>
              <w:rPr>
                <w:rFonts w:hint="eastAsia"/>
              </w:rPr>
              <w:t>医药高新区（高港区）（12座）：永长圩泵站、友谊排涝站、龙窝排涝站、双新排涝站、小四圩排涝站、小明沟排涝站、引江排涝站、同联排涝站、盘头排涝站、胜利排涝站、同兴七队排涝站、北沙排涝站。</w:t>
            </w:r>
          </w:p>
          <w:p w14:paraId="655C777A">
            <w:pPr>
              <w:pStyle w:val="57"/>
            </w:pPr>
            <w:r>
              <w:rPr>
                <w:rFonts w:hint="eastAsia"/>
              </w:rPr>
              <w:t>泰兴市（15座）：西江排涝站、当铺排涝站、老段港排涝站、友联排涝站、新街排涝站、老口排涝站、新星排涝站、二桥北排涝站、二桥南排涝站、刘高排涝站、养殖场排涝站、五圩排涝站、念三排涝站、七圩排涝站、八圩排涝站。</w:t>
            </w:r>
          </w:p>
          <w:p w14:paraId="46E10097">
            <w:pPr>
              <w:pStyle w:val="57"/>
            </w:pPr>
            <w:r>
              <w:rPr>
                <w:rFonts w:hint="eastAsia"/>
              </w:rPr>
              <w:t>靖江市（12座）：界河圩排涝站、双龙港排涝站、文东排涝站、滨江1站、上九圩港泵站、43#排涝站、新十圩港排涝站、江阴大桥排涝站、天生港排涝站、蟛蜞港西侧排涝站、靖安排涝站、丰产2#排涝站。</w:t>
            </w:r>
          </w:p>
        </w:tc>
      </w:tr>
      <w:tr w14:paraId="39513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3" w:hRule="atLeast"/>
        </w:trPr>
        <w:tc>
          <w:tcPr>
            <w:tcW w:w="0" w:type="auto"/>
            <w:noWrap/>
          </w:tcPr>
          <w:p w14:paraId="696FB521">
            <w:pPr>
              <w:pStyle w:val="57"/>
              <w:rPr>
                <w:b/>
              </w:rPr>
            </w:pPr>
            <w:r>
              <w:rPr>
                <w:rFonts w:hint="eastAsia"/>
                <w:b/>
              </w:rPr>
              <w:t>二、老328国道流域控制性建筑物（41座）</w:t>
            </w:r>
          </w:p>
          <w:p w14:paraId="1CCC843F">
            <w:pPr>
              <w:pStyle w:val="57"/>
            </w:pPr>
            <w:r>
              <w:rPr>
                <w:rFonts w:hint="eastAsia"/>
              </w:rPr>
              <w:t>海陵区（21座）:界沟闸、后塘河涵闸、大寨河涵闸、老通扬运河东闸、老通扬运河西闸、九里沟涵闸、泰州闸、景庄河西闸、鲍坝闸、玻璃厂涵闸、草河涵闸、大浦头涵闸、老西河涵闸、智堡河涵闸、新宫涵闸、五里河闸、七里河闸、九里河闸、茶庵桥河闸、孔桥河闸、大冯闸。</w:t>
            </w:r>
          </w:p>
          <w:p w14:paraId="643648E4">
            <w:pPr>
              <w:pStyle w:val="57"/>
            </w:pPr>
            <w:r>
              <w:rPr>
                <w:rFonts w:hint="eastAsia"/>
              </w:rPr>
              <w:t>姜堰区（19座）：马宁闸、黄村闸、许陆闸、中心闸、姜堰翻水站、姜堰套闸、三水闸、罗塘河闸站、鹿鸣闸、砖桥闸、城东涵闸、朱家涵闸、储家涵闸、曹洪喜涵闸、杨家涵闸、双涵闸、丁家巷涵闸、白米闸、西郭家涵闸。</w:t>
            </w:r>
          </w:p>
          <w:p w14:paraId="605B38DF">
            <w:pPr>
              <w:pStyle w:val="57"/>
            </w:pPr>
            <w:r>
              <w:rPr>
                <w:rFonts w:hint="eastAsia"/>
              </w:rPr>
              <w:t>医药高新区（高港区）（1座）：周山河套闸。</w:t>
            </w:r>
          </w:p>
        </w:tc>
      </w:tr>
      <w:tr w14:paraId="2F2B5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4" w:hRule="atLeast"/>
        </w:trPr>
        <w:tc>
          <w:tcPr>
            <w:tcW w:w="0" w:type="auto"/>
            <w:noWrap/>
          </w:tcPr>
          <w:p w14:paraId="18A9CBE3">
            <w:pPr>
              <w:pStyle w:val="57"/>
              <w:rPr>
                <w:b/>
              </w:rPr>
            </w:pPr>
            <w:r>
              <w:rPr>
                <w:rFonts w:hint="eastAsia"/>
                <w:b/>
              </w:rPr>
              <w:t>三、通南保水控制工程（69座）</w:t>
            </w:r>
          </w:p>
          <w:p w14:paraId="23EB3CD1">
            <w:pPr>
              <w:pStyle w:val="57"/>
            </w:pPr>
            <w:r>
              <w:rPr>
                <w:rFonts w:hint="eastAsia"/>
              </w:rPr>
              <w:t>（一）老328国道流域控制性建筑物（41座，同上）</w:t>
            </w:r>
          </w:p>
          <w:p w14:paraId="258B4A2C">
            <w:pPr>
              <w:pStyle w:val="57"/>
            </w:pPr>
            <w:r>
              <w:rPr>
                <w:rFonts w:hint="eastAsia"/>
              </w:rPr>
              <w:t>（二）与南通交界处保水控制工程（26座）</w:t>
            </w:r>
          </w:p>
          <w:p w14:paraId="5388BE49">
            <w:pPr>
              <w:pStyle w:val="57"/>
            </w:pPr>
            <w:r>
              <w:rPr>
                <w:rFonts w:hint="eastAsia"/>
              </w:rPr>
              <w:t>泰兴市（17座）：东姜黄河成庄村闸、私盐港闸、古同港河古同港闸、尹垛中沟尹垛闸、古钱老河振兴闸、肖桥中沟涵洞、光明中沟涵洞、跃进中沟涵洞、二号生产河涵洞、沿河居民涵洞、扒头港涵洞、镇前引水河涵洞、古周老河节制闸、封桥中沟涵洞、古溪中沟支沟涵洞、周庄中沟支沟涵洞、周庄中沟（鸭湾）涵洞。</w:t>
            </w:r>
          </w:p>
          <w:p w14:paraId="39475A35">
            <w:pPr>
              <w:pStyle w:val="57"/>
            </w:pPr>
            <w:r>
              <w:rPr>
                <w:rFonts w:hint="eastAsia"/>
              </w:rPr>
              <w:t>姜堰区（9座）：南干河南港套闸、周山河周山套闸、老通扬运河闸、老生产河太平闸、生产河朱宣闸、新河涵洞、沐南河涵洞、二港河涵洞、朱高河涵洞。</w:t>
            </w:r>
          </w:p>
          <w:p w14:paraId="6B112F8F">
            <w:pPr>
              <w:pStyle w:val="57"/>
            </w:pPr>
            <w:r>
              <w:rPr>
                <w:rFonts w:hint="eastAsia"/>
              </w:rPr>
              <w:t>（三）其它</w:t>
            </w:r>
          </w:p>
          <w:p w14:paraId="1ADB31D4">
            <w:pPr>
              <w:pStyle w:val="57"/>
            </w:pPr>
            <w:r>
              <w:rPr>
                <w:rFonts w:hint="eastAsia"/>
              </w:rPr>
              <w:t>医药高新区（2座）：宣堡港闸、许庄河闸</w:t>
            </w:r>
          </w:p>
        </w:tc>
      </w:tr>
    </w:tbl>
    <w:p w14:paraId="37BFC11E">
      <w:pPr>
        <w:ind w:firstLine="480"/>
      </w:pPr>
    </w:p>
    <w:p w14:paraId="19B439CB">
      <w:pPr>
        <w:pStyle w:val="64"/>
      </w:pPr>
      <w:r>
        <w:rPr>
          <w:rFonts w:hint="eastAsia"/>
        </w:rPr>
        <w:t>附表3</w:t>
      </w:r>
      <w:r>
        <w:t xml:space="preserve">-1 </w:t>
      </w:r>
      <w:r>
        <w:rPr>
          <w:rFonts w:hint="eastAsia"/>
        </w:rPr>
        <w:t>泰州市通江节制闸名录表</w:t>
      </w:r>
    </w:p>
    <w:tbl>
      <w:tblPr>
        <w:tblStyle w:val="29"/>
        <w:tblW w:w="5000" w:type="pct"/>
        <w:tblInd w:w="0" w:type="dxa"/>
        <w:tblLayout w:type="autofit"/>
        <w:tblCellMar>
          <w:top w:w="0" w:type="dxa"/>
          <w:left w:w="108" w:type="dxa"/>
          <w:bottom w:w="0" w:type="dxa"/>
          <w:right w:w="108" w:type="dxa"/>
        </w:tblCellMar>
      </w:tblPr>
      <w:tblGrid>
        <w:gridCol w:w="924"/>
        <w:gridCol w:w="1880"/>
        <w:gridCol w:w="2200"/>
        <w:gridCol w:w="1720"/>
        <w:gridCol w:w="2358"/>
      </w:tblGrid>
      <w:tr w14:paraId="238E4F57">
        <w:tblPrEx>
          <w:tblCellMar>
            <w:top w:w="0" w:type="dxa"/>
            <w:left w:w="108" w:type="dxa"/>
            <w:bottom w:w="0" w:type="dxa"/>
            <w:right w:w="108" w:type="dxa"/>
          </w:tblCellMar>
        </w:tblPrEx>
        <w:trPr>
          <w:trHeight w:val="359" w:hRule="atLeast"/>
          <w:tblHeader/>
        </w:trPr>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E5345C">
            <w:pPr>
              <w:pStyle w:val="57"/>
              <w:jc w:val="center"/>
              <w:rPr>
                <w:rFonts w:ascii="Times New Roman" w:cs="Times New Roman"/>
                <w:b/>
              </w:rPr>
            </w:pPr>
            <w:r>
              <w:rPr>
                <w:rFonts w:ascii="Times New Roman" w:cs="Times New Roman"/>
                <w:b/>
              </w:rPr>
              <w:t>序号</w:t>
            </w:r>
          </w:p>
        </w:tc>
        <w:tc>
          <w:tcPr>
            <w:tcW w:w="10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0BE52E">
            <w:pPr>
              <w:pStyle w:val="57"/>
              <w:jc w:val="center"/>
              <w:rPr>
                <w:rFonts w:ascii="Times New Roman" w:cs="Times New Roman"/>
                <w:b/>
              </w:rPr>
            </w:pPr>
            <w:r>
              <w:rPr>
                <w:rFonts w:ascii="Times New Roman" w:cs="Times New Roman"/>
                <w:b/>
              </w:rPr>
              <w:t>市（区）</w:t>
            </w:r>
          </w:p>
        </w:tc>
        <w:tc>
          <w:tcPr>
            <w:tcW w:w="12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A1F682">
            <w:pPr>
              <w:pStyle w:val="57"/>
              <w:jc w:val="center"/>
              <w:rPr>
                <w:rFonts w:ascii="Times New Roman" w:cs="Times New Roman"/>
                <w:b/>
              </w:rPr>
            </w:pPr>
            <w:r>
              <w:rPr>
                <w:rFonts w:ascii="Times New Roman" w:cs="Times New Roman"/>
                <w:b/>
              </w:rPr>
              <w:t>水闸名称</w:t>
            </w:r>
          </w:p>
        </w:tc>
        <w:tc>
          <w:tcPr>
            <w:tcW w:w="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3123CB">
            <w:pPr>
              <w:pStyle w:val="57"/>
              <w:jc w:val="center"/>
              <w:rPr>
                <w:rFonts w:ascii="Times New Roman" w:cs="Times New Roman"/>
                <w:b/>
              </w:rPr>
            </w:pPr>
            <w:r>
              <w:rPr>
                <w:rFonts w:ascii="Times New Roman" w:cs="Times New Roman"/>
                <w:b/>
              </w:rPr>
              <w:t>桩号</w:t>
            </w:r>
          </w:p>
        </w:tc>
        <w:tc>
          <w:tcPr>
            <w:tcW w:w="12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FEE2D9">
            <w:pPr>
              <w:pStyle w:val="57"/>
              <w:jc w:val="center"/>
              <w:rPr>
                <w:rFonts w:ascii="Times New Roman" w:cs="Times New Roman"/>
                <w:b/>
              </w:rPr>
            </w:pPr>
            <w:r>
              <w:rPr>
                <w:rFonts w:ascii="Times New Roman" w:cs="Times New Roman"/>
                <w:b/>
              </w:rPr>
              <w:t>流量(m</w:t>
            </w:r>
            <w:r>
              <w:rPr>
                <w:rFonts w:ascii="Times New Roman" w:cs="Times New Roman"/>
                <w:b/>
                <w:vertAlign w:val="superscript"/>
              </w:rPr>
              <w:t>3</w:t>
            </w:r>
            <w:r>
              <w:rPr>
                <w:rFonts w:ascii="Times New Roman" w:cs="Times New Roman"/>
                <w:b/>
              </w:rPr>
              <w:t>/s)</w:t>
            </w:r>
          </w:p>
        </w:tc>
      </w:tr>
      <w:tr w14:paraId="05567DFB">
        <w:tblPrEx>
          <w:tblCellMar>
            <w:top w:w="0" w:type="dxa"/>
            <w:left w:w="108" w:type="dxa"/>
            <w:bottom w:w="0" w:type="dxa"/>
            <w:right w:w="108" w:type="dxa"/>
          </w:tblCellMar>
        </w:tblPrEx>
        <w:trPr>
          <w:trHeight w:val="20" w:hRule="atLeast"/>
        </w:trPr>
        <w:tc>
          <w:tcPr>
            <w:tcW w:w="509" w:type="pct"/>
            <w:tcBorders>
              <w:top w:val="nil"/>
              <w:left w:val="single" w:color="000000" w:sz="4" w:space="0"/>
              <w:bottom w:val="single" w:color="000000" w:sz="4" w:space="0"/>
              <w:right w:val="single" w:color="000000" w:sz="4" w:space="0"/>
            </w:tcBorders>
            <w:shd w:val="clear" w:color="auto" w:fill="auto"/>
            <w:vAlign w:val="center"/>
          </w:tcPr>
          <w:p w14:paraId="3DDD4C38">
            <w:pPr>
              <w:pStyle w:val="57"/>
              <w:rPr>
                <w:rFonts w:ascii="Times New Roman" w:cs="Times New Roman"/>
              </w:rPr>
            </w:pPr>
            <w:r>
              <w:rPr>
                <w:rFonts w:ascii="Times New Roman" w:cs="Times New Roman"/>
              </w:rPr>
              <w:t>1</w:t>
            </w:r>
          </w:p>
        </w:tc>
        <w:tc>
          <w:tcPr>
            <w:tcW w:w="1035" w:type="pct"/>
            <w:tcBorders>
              <w:top w:val="nil"/>
              <w:left w:val="nil"/>
              <w:bottom w:val="single" w:color="000000" w:sz="4" w:space="0"/>
              <w:right w:val="single" w:color="000000" w:sz="4" w:space="0"/>
            </w:tcBorders>
            <w:shd w:val="clear" w:color="auto" w:fill="auto"/>
            <w:vAlign w:val="center"/>
          </w:tcPr>
          <w:p w14:paraId="15BF3A2B">
            <w:pPr>
              <w:pStyle w:val="57"/>
              <w:rPr>
                <w:rFonts w:ascii="Times New Roman" w:cs="Times New Roman"/>
              </w:rPr>
            </w:pPr>
            <w:r>
              <w:rPr>
                <w:rFonts w:ascii="Times New Roman" w:cs="Times New Roman"/>
              </w:rPr>
              <w:t>医药高新区</w:t>
            </w:r>
          </w:p>
          <w:p w14:paraId="6C6A7DF7">
            <w:pPr>
              <w:pStyle w:val="57"/>
              <w:rPr>
                <w:rFonts w:ascii="Times New Roman" w:cs="Times New Roman"/>
              </w:rPr>
            </w:pPr>
            <w:r>
              <w:rPr>
                <w:rFonts w:ascii="Times New Roman" w:cs="Times New Roman"/>
              </w:rPr>
              <w:t>（高港区）</w:t>
            </w:r>
          </w:p>
        </w:tc>
        <w:tc>
          <w:tcPr>
            <w:tcW w:w="1211" w:type="pct"/>
            <w:tcBorders>
              <w:top w:val="nil"/>
              <w:left w:val="nil"/>
              <w:bottom w:val="single" w:color="000000" w:sz="4" w:space="0"/>
              <w:right w:val="single" w:color="000000" w:sz="4" w:space="0"/>
            </w:tcBorders>
            <w:shd w:val="clear" w:color="auto" w:fill="auto"/>
            <w:vAlign w:val="center"/>
          </w:tcPr>
          <w:p w14:paraId="04530688">
            <w:pPr>
              <w:pStyle w:val="57"/>
              <w:rPr>
                <w:rFonts w:ascii="Times New Roman" w:cs="Times New Roman"/>
              </w:rPr>
            </w:pPr>
            <w:r>
              <w:rPr>
                <w:rFonts w:ascii="Times New Roman" w:cs="Times New Roman"/>
              </w:rPr>
              <w:t>口岸闸</w:t>
            </w:r>
          </w:p>
        </w:tc>
        <w:tc>
          <w:tcPr>
            <w:tcW w:w="947" w:type="pct"/>
            <w:tcBorders>
              <w:top w:val="nil"/>
              <w:left w:val="nil"/>
              <w:bottom w:val="single" w:color="000000" w:sz="4" w:space="0"/>
              <w:right w:val="single" w:color="000000" w:sz="4" w:space="0"/>
            </w:tcBorders>
            <w:shd w:val="clear" w:color="auto" w:fill="auto"/>
            <w:vAlign w:val="center"/>
          </w:tcPr>
          <w:p w14:paraId="338DF86C">
            <w:pPr>
              <w:pStyle w:val="57"/>
              <w:rPr>
                <w:rFonts w:ascii="Times New Roman" w:cs="Times New Roman"/>
              </w:rPr>
            </w:pPr>
            <w:r>
              <w:rPr>
                <w:rFonts w:ascii="Times New Roman" w:cs="Times New Roman"/>
              </w:rPr>
              <w:t>200+445</w:t>
            </w:r>
          </w:p>
          <w:p w14:paraId="4FAEB4E8">
            <w:pPr>
              <w:pStyle w:val="57"/>
              <w:rPr>
                <w:rFonts w:ascii="Times New Roman" w:cs="Times New Roman"/>
              </w:rPr>
            </w:pPr>
            <w:r>
              <w:rPr>
                <w:rFonts w:ascii="Times New Roman" w:cs="Times New Roman"/>
              </w:rPr>
              <w:t>北1580米</w:t>
            </w:r>
          </w:p>
        </w:tc>
        <w:tc>
          <w:tcPr>
            <w:tcW w:w="1298" w:type="pct"/>
            <w:tcBorders>
              <w:top w:val="nil"/>
              <w:left w:val="nil"/>
              <w:bottom w:val="single" w:color="000000" w:sz="4" w:space="0"/>
              <w:right w:val="single" w:color="000000" w:sz="4" w:space="0"/>
            </w:tcBorders>
            <w:shd w:val="clear" w:color="auto" w:fill="auto"/>
            <w:vAlign w:val="center"/>
          </w:tcPr>
          <w:p w14:paraId="2534CB1A">
            <w:pPr>
              <w:pStyle w:val="57"/>
              <w:rPr>
                <w:rFonts w:ascii="Times New Roman" w:cs="Times New Roman"/>
              </w:rPr>
            </w:pPr>
            <w:r>
              <w:rPr>
                <w:rFonts w:ascii="Times New Roman" w:cs="Times New Roman"/>
              </w:rPr>
              <w:t>引150，排200</w:t>
            </w:r>
          </w:p>
        </w:tc>
      </w:tr>
      <w:tr w14:paraId="21D6346D">
        <w:tblPrEx>
          <w:tblCellMar>
            <w:top w:w="0" w:type="dxa"/>
            <w:left w:w="108" w:type="dxa"/>
            <w:bottom w:w="0" w:type="dxa"/>
            <w:right w:w="108" w:type="dxa"/>
          </w:tblCellMar>
        </w:tblPrEx>
        <w:trPr>
          <w:trHeight w:val="20" w:hRule="atLeast"/>
        </w:trPr>
        <w:tc>
          <w:tcPr>
            <w:tcW w:w="509" w:type="pct"/>
            <w:tcBorders>
              <w:top w:val="nil"/>
              <w:left w:val="single" w:color="000000" w:sz="4" w:space="0"/>
              <w:bottom w:val="single" w:color="000000" w:sz="4" w:space="0"/>
              <w:right w:val="single" w:color="000000" w:sz="4" w:space="0"/>
            </w:tcBorders>
            <w:shd w:val="clear" w:color="auto" w:fill="auto"/>
            <w:vAlign w:val="center"/>
          </w:tcPr>
          <w:p w14:paraId="64437C87">
            <w:pPr>
              <w:pStyle w:val="57"/>
              <w:rPr>
                <w:rFonts w:ascii="Times New Roman" w:cs="Times New Roman"/>
              </w:rPr>
            </w:pPr>
            <w:r>
              <w:rPr>
                <w:rFonts w:ascii="Times New Roman" w:cs="Times New Roman"/>
              </w:rPr>
              <w:t>2</w:t>
            </w:r>
          </w:p>
        </w:tc>
        <w:tc>
          <w:tcPr>
            <w:tcW w:w="1035" w:type="pct"/>
            <w:tcBorders>
              <w:top w:val="nil"/>
              <w:left w:val="nil"/>
              <w:bottom w:val="single" w:color="000000" w:sz="4" w:space="0"/>
              <w:right w:val="single" w:color="000000" w:sz="4" w:space="0"/>
            </w:tcBorders>
            <w:shd w:val="clear" w:color="auto" w:fill="auto"/>
            <w:vAlign w:val="center"/>
          </w:tcPr>
          <w:p w14:paraId="47BAC2BD">
            <w:pPr>
              <w:pStyle w:val="57"/>
              <w:rPr>
                <w:rFonts w:ascii="Times New Roman" w:cs="Times New Roman"/>
              </w:rPr>
            </w:pPr>
            <w:r>
              <w:rPr>
                <w:rFonts w:ascii="Times New Roman" w:cs="Times New Roman"/>
              </w:rPr>
              <w:t>医药高新区</w:t>
            </w:r>
          </w:p>
          <w:p w14:paraId="12745D45">
            <w:pPr>
              <w:pStyle w:val="57"/>
              <w:rPr>
                <w:rFonts w:ascii="Times New Roman" w:cs="Times New Roman"/>
              </w:rPr>
            </w:pPr>
            <w:r>
              <w:rPr>
                <w:rFonts w:ascii="Times New Roman" w:cs="Times New Roman"/>
              </w:rPr>
              <w:t>（高港区）</w:t>
            </w:r>
          </w:p>
        </w:tc>
        <w:tc>
          <w:tcPr>
            <w:tcW w:w="1211" w:type="pct"/>
            <w:tcBorders>
              <w:top w:val="nil"/>
              <w:left w:val="nil"/>
              <w:bottom w:val="single" w:color="000000" w:sz="4" w:space="0"/>
              <w:right w:val="single" w:color="000000" w:sz="4" w:space="0"/>
            </w:tcBorders>
            <w:shd w:val="clear" w:color="auto" w:fill="auto"/>
            <w:vAlign w:val="center"/>
          </w:tcPr>
          <w:p w14:paraId="35FD18F2">
            <w:pPr>
              <w:pStyle w:val="57"/>
              <w:rPr>
                <w:rFonts w:ascii="Times New Roman" w:cs="Times New Roman"/>
              </w:rPr>
            </w:pPr>
            <w:r>
              <w:rPr>
                <w:rFonts w:ascii="Times New Roman" w:cs="Times New Roman"/>
              </w:rPr>
              <w:t>友谊闸</w:t>
            </w:r>
          </w:p>
        </w:tc>
        <w:tc>
          <w:tcPr>
            <w:tcW w:w="947" w:type="pct"/>
            <w:tcBorders>
              <w:top w:val="nil"/>
              <w:left w:val="nil"/>
              <w:bottom w:val="single" w:color="000000" w:sz="4" w:space="0"/>
              <w:right w:val="single" w:color="000000" w:sz="4" w:space="0"/>
            </w:tcBorders>
            <w:shd w:val="clear" w:color="auto" w:fill="auto"/>
            <w:vAlign w:val="center"/>
          </w:tcPr>
          <w:p w14:paraId="03DCCC08">
            <w:pPr>
              <w:pStyle w:val="57"/>
              <w:rPr>
                <w:rFonts w:ascii="Times New Roman" w:cs="Times New Roman"/>
              </w:rPr>
            </w:pPr>
            <w:r>
              <w:rPr>
                <w:rFonts w:ascii="Times New Roman" w:cs="Times New Roman"/>
              </w:rPr>
              <w:t>200+445</w:t>
            </w:r>
          </w:p>
          <w:p w14:paraId="3F8690AC">
            <w:pPr>
              <w:pStyle w:val="57"/>
              <w:rPr>
                <w:rFonts w:ascii="Times New Roman" w:cs="Times New Roman"/>
              </w:rPr>
            </w:pPr>
            <w:r>
              <w:rPr>
                <w:rFonts w:ascii="Times New Roman" w:cs="Times New Roman"/>
              </w:rPr>
              <w:t>北1320米</w:t>
            </w:r>
          </w:p>
        </w:tc>
        <w:tc>
          <w:tcPr>
            <w:tcW w:w="1298" w:type="pct"/>
            <w:tcBorders>
              <w:top w:val="nil"/>
              <w:left w:val="nil"/>
              <w:bottom w:val="single" w:color="000000" w:sz="4" w:space="0"/>
              <w:right w:val="single" w:color="000000" w:sz="4" w:space="0"/>
            </w:tcBorders>
            <w:shd w:val="clear" w:color="auto" w:fill="auto"/>
            <w:vAlign w:val="center"/>
          </w:tcPr>
          <w:p w14:paraId="1DAD3F46">
            <w:pPr>
              <w:pStyle w:val="57"/>
              <w:rPr>
                <w:rFonts w:ascii="Times New Roman" w:cs="Times New Roman"/>
              </w:rPr>
            </w:pPr>
            <w:r>
              <w:rPr>
                <w:rFonts w:ascii="Times New Roman" w:cs="Times New Roman"/>
              </w:rPr>
              <w:t>6</w:t>
            </w:r>
          </w:p>
        </w:tc>
      </w:tr>
      <w:tr w14:paraId="75587A9D">
        <w:tblPrEx>
          <w:tblCellMar>
            <w:top w:w="0" w:type="dxa"/>
            <w:left w:w="108" w:type="dxa"/>
            <w:bottom w:w="0" w:type="dxa"/>
            <w:right w:w="108" w:type="dxa"/>
          </w:tblCellMar>
        </w:tblPrEx>
        <w:trPr>
          <w:trHeight w:val="20" w:hRule="atLeast"/>
        </w:trPr>
        <w:tc>
          <w:tcPr>
            <w:tcW w:w="509" w:type="pct"/>
            <w:tcBorders>
              <w:top w:val="nil"/>
              <w:left w:val="single" w:color="000000" w:sz="4" w:space="0"/>
              <w:bottom w:val="single" w:color="000000" w:sz="4" w:space="0"/>
              <w:right w:val="single" w:color="000000" w:sz="4" w:space="0"/>
            </w:tcBorders>
            <w:shd w:val="clear" w:color="auto" w:fill="auto"/>
            <w:vAlign w:val="center"/>
          </w:tcPr>
          <w:p w14:paraId="7F01E1A4">
            <w:pPr>
              <w:pStyle w:val="57"/>
              <w:rPr>
                <w:rFonts w:ascii="Times New Roman" w:cs="Times New Roman"/>
              </w:rPr>
            </w:pPr>
            <w:r>
              <w:rPr>
                <w:rFonts w:ascii="Times New Roman" w:cs="Times New Roman"/>
              </w:rPr>
              <w:t>3</w:t>
            </w:r>
          </w:p>
        </w:tc>
        <w:tc>
          <w:tcPr>
            <w:tcW w:w="1035" w:type="pct"/>
            <w:tcBorders>
              <w:top w:val="nil"/>
              <w:left w:val="nil"/>
              <w:bottom w:val="single" w:color="000000" w:sz="4" w:space="0"/>
              <w:right w:val="single" w:color="000000" w:sz="4" w:space="0"/>
            </w:tcBorders>
            <w:shd w:val="clear" w:color="auto" w:fill="auto"/>
            <w:vAlign w:val="center"/>
          </w:tcPr>
          <w:p w14:paraId="04B715AA">
            <w:pPr>
              <w:pStyle w:val="57"/>
              <w:rPr>
                <w:rFonts w:ascii="Times New Roman" w:cs="Times New Roman"/>
              </w:rPr>
            </w:pPr>
            <w:r>
              <w:rPr>
                <w:rFonts w:ascii="Times New Roman" w:cs="Times New Roman"/>
              </w:rPr>
              <w:t>医药高新区</w:t>
            </w:r>
          </w:p>
          <w:p w14:paraId="36944C95">
            <w:pPr>
              <w:pStyle w:val="57"/>
              <w:rPr>
                <w:rFonts w:ascii="Times New Roman" w:cs="Times New Roman"/>
              </w:rPr>
            </w:pPr>
            <w:r>
              <w:rPr>
                <w:rFonts w:ascii="Times New Roman" w:cs="Times New Roman"/>
              </w:rPr>
              <w:t>（高港区）</w:t>
            </w:r>
          </w:p>
        </w:tc>
        <w:tc>
          <w:tcPr>
            <w:tcW w:w="1211" w:type="pct"/>
            <w:tcBorders>
              <w:top w:val="nil"/>
              <w:left w:val="nil"/>
              <w:bottom w:val="single" w:color="000000" w:sz="4" w:space="0"/>
              <w:right w:val="single" w:color="000000" w:sz="4" w:space="0"/>
            </w:tcBorders>
            <w:shd w:val="clear" w:color="auto" w:fill="auto"/>
            <w:vAlign w:val="center"/>
          </w:tcPr>
          <w:p w14:paraId="43B03459">
            <w:pPr>
              <w:pStyle w:val="57"/>
              <w:rPr>
                <w:rFonts w:ascii="Times New Roman" w:cs="Times New Roman"/>
              </w:rPr>
            </w:pPr>
            <w:r>
              <w:rPr>
                <w:rFonts w:ascii="Times New Roman" w:cs="Times New Roman"/>
              </w:rPr>
              <w:t>龙窝闸</w:t>
            </w:r>
          </w:p>
        </w:tc>
        <w:tc>
          <w:tcPr>
            <w:tcW w:w="947" w:type="pct"/>
            <w:tcBorders>
              <w:top w:val="nil"/>
              <w:left w:val="nil"/>
              <w:bottom w:val="single" w:color="000000" w:sz="4" w:space="0"/>
              <w:right w:val="single" w:color="000000" w:sz="4" w:space="0"/>
            </w:tcBorders>
            <w:shd w:val="clear" w:color="auto" w:fill="auto"/>
            <w:vAlign w:val="center"/>
          </w:tcPr>
          <w:p w14:paraId="651EA72B">
            <w:pPr>
              <w:pStyle w:val="57"/>
              <w:rPr>
                <w:rFonts w:ascii="Times New Roman" w:cs="Times New Roman"/>
              </w:rPr>
            </w:pPr>
            <w:r>
              <w:rPr>
                <w:rFonts w:ascii="Times New Roman" w:cs="Times New Roman"/>
              </w:rPr>
              <w:t>202+148</w:t>
            </w:r>
          </w:p>
          <w:p w14:paraId="02E8131A">
            <w:pPr>
              <w:pStyle w:val="57"/>
              <w:rPr>
                <w:rFonts w:ascii="Times New Roman" w:cs="Times New Roman"/>
              </w:rPr>
            </w:pPr>
            <w:r>
              <w:rPr>
                <w:rFonts w:ascii="Times New Roman" w:cs="Times New Roman"/>
              </w:rPr>
              <w:t>北250米</w:t>
            </w:r>
          </w:p>
        </w:tc>
        <w:tc>
          <w:tcPr>
            <w:tcW w:w="1298" w:type="pct"/>
            <w:tcBorders>
              <w:top w:val="nil"/>
              <w:left w:val="nil"/>
              <w:bottom w:val="single" w:color="000000" w:sz="4" w:space="0"/>
              <w:right w:val="single" w:color="000000" w:sz="4" w:space="0"/>
            </w:tcBorders>
            <w:shd w:val="clear" w:color="auto" w:fill="auto"/>
            <w:vAlign w:val="center"/>
          </w:tcPr>
          <w:p w14:paraId="240ED339">
            <w:pPr>
              <w:pStyle w:val="57"/>
              <w:rPr>
                <w:rFonts w:ascii="Times New Roman" w:cs="Times New Roman"/>
              </w:rPr>
            </w:pPr>
            <w:r>
              <w:rPr>
                <w:rFonts w:ascii="Times New Roman" w:cs="Times New Roman"/>
              </w:rPr>
              <w:t>10</w:t>
            </w:r>
          </w:p>
        </w:tc>
      </w:tr>
      <w:tr w14:paraId="48B5BD23">
        <w:tblPrEx>
          <w:tblCellMar>
            <w:top w:w="0" w:type="dxa"/>
            <w:left w:w="108" w:type="dxa"/>
            <w:bottom w:w="0" w:type="dxa"/>
            <w:right w:w="108" w:type="dxa"/>
          </w:tblCellMar>
        </w:tblPrEx>
        <w:trPr>
          <w:trHeight w:val="20" w:hRule="atLeast"/>
        </w:trPr>
        <w:tc>
          <w:tcPr>
            <w:tcW w:w="509" w:type="pct"/>
            <w:tcBorders>
              <w:top w:val="nil"/>
              <w:left w:val="single" w:color="000000" w:sz="4" w:space="0"/>
              <w:bottom w:val="single" w:color="000000" w:sz="4" w:space="0"/>
              <w:right w:val="single" w:color="000000" w:sz="4" w:space="0"/>
            </w:tcBorders>
            <w:shd w:val="clear" w:color="auto" w:fill="auto"/>
            <w:vAlign w:val="center"/>
          </w:tcPr>
          <w:p w14:paraId="5E580CF5">
            <w:pPr>
              <w:pStyle w:val="57"/>
              <w:rPr>
                <w:rFonts w:ascii="Times New Roman" w:cs="Times New Roman"/>
              </w:rPr>
            </w:pPr>
            <w:r>
              <w:rPr>
                <w:rFonts w:ascii="Times New Roman" w:cs="Times New Roman"/>
              </w:rPr>
              <w:t>4</w:t>
            </w:r>
          </w:p>
        </w:tc>
        <w:tc>
          <w:tcPr>
            <w:tcW w:w="1035" w:type="pct"/>
            <w:tcBorders>
              <w:top w:val="nil"/>
              <w:left w:val="nil"/>
              <w:bottom w:val="single" w:color="000000" w:sz="4" w:space="0"/>
              <w:right w:val="single" w:color="000000" w:sz="4" w:space="0"/>
            </w:tcBorders>
            <w:shd w:val="clear" w:color="auto" w:fill="auto"/>
            <w:vAlign w:val="center"/>
          </w:tcPr>
          <w:p w14:paraId="4EA59C03">
            <w:pPr>
              <w:pStyle w:val="57"/>
              <w:rPr>
                <w:rFonts w:ascii="Times New Roman" w:cs="Times New Roman"/>
              </w:rPr>
            </w:pPr>
            <w:r>
              <w:rPr>
                <w:rFonts w:ascii="Times New Roman" w:cs="Times New Roman"/>
              </w:rPr>
              <w:t>医药高新区</w:t>
            </w:r>
          </w:p>
          <w:p w14:paraId="2CAD7128">
            <w:pPr>
              <w:pStyle w:val="57"/>
              <w:rPr>
                <w:rFonts w:ascii="Times New Roman" w:cs="Times New Roman"/>
              </w:rPr>
            </w:pPr>
            <w:r>
              <w:rPr>
                <w:rFonts w:ascii="Times New Roman" w:cs="Times New Roman"/>
              </w:rPr>
              <w:t>（高港区）</w:t>
            </w:r>
          </w:p>
        </w:tc>
        <w:tc>
          <w:tcPr>
            <w:tcW w:w="1211" w:type="pct"/>
            <w:tcBorders>
              <w:top w:val="nil"/>
              <w:left w:val="nil"/>
              <w:bottom w:val="single" w:color="000000" w:sz="4" w:space="0"/>
              <w:right w:val="single" w:color="000000" w:sz="4" w:space="0"/>
            </w:tcBorders>
            <w:shd w:val="clear" w:color="auto" w:fill="auto"/>
            <w:vAlign w:val="center"/>
          </w:tcPr>
          <w:p w14:paraId="56AA29C4">
            <w:pPr>
              <w:pStyle w:val="57"/>
              <w:rPr>
                <w:rFonts w:ascii="Times New Roman" w:cs="Times New Roman"/>
              </w:rPr>
            </w:pPr>
            <w:r>
              <w:rPr>
                <w:rFonts w:ascii="Times New Roman" w:cs="Times New Roman"/>
              </w:rPr>
              <w:t>幸福闸</w:t>
            </w:r>
          </w:p>
        </w:tc>
        <w:tc>
          <w:tcPr>
            <w:tcW w:w="947" w:type="pct"/>
            <w:tcBorders>
              <w:top w:val="nil"/>
              <w:left w:val="nil"/>
              <w:bottom w:val="single" w:color="000000" w:sz="4" w:space="0"/>
              <w:right w:val="single" w:color="000000" w:sz="4" w:space="0"/>
            </w:tcBorders>
            <w:shd w:val="clear" w:color="auto" w:fill="auto"/>
            <w:vAlign w:val="center"/>
          </w:tcPr>
          <w:p w14:paraId="447BDB41">
            <w:pPr>
              <w:pStyle w:val="57"/>
              <w:rPr>
                <w:rFonts w:ascii="Times New Roman" w:cs="Times New Roman"/>
              </w:rPr>
            </w:pPr>
            <w:r>
              <w:rPr>
                <w:rFonts w:ascii="Times New Roman" w:cs="Times New Roman"/>
              </w:rPr>
              <w:t>203+050</w:t>
            </w:r>
          </w:p>
        </w:tc>
        <w:tc>
          <w:tcPr>
            <w:tcW w:w="1298" w:type="pct"/>
            <w:tcBorders>
              <w:top w:val="nil"/>
              <w:left w:val="nil"/>
              <w:bottom w:val="single" w:color="000000" w:sz="4" w:space="0"/>
              <w:right w:val="single" w:color="000000" w:sz="4" w:space="0"/>
            </w:tcBorders>
            <w:shd w:val="clear" w:color="auto" w:fill="auto"/>
            <w:vAlign w:val="center"/>
          </w:tcPr>
          <w:p w14:paraId="775EB1D2">
            <w:pPr>
              <w:pStyle w:val="57"/>
              <w:rPr>
                <w:rFonts w:ascii="Times New Roman" w:cs="Times New Roman"/>
              </w:rPr>
            </w:pPr>
            <w:r>
              <w:rPr>
                <w:rFonts w:ascii="Times New Roman" w:cs="Times New Roman"/>
              </w:rPr>
              <w:t>12</w:t>
            </w:r>
          </w:p>
        </w:tc>
      </w:tr>
      <w:tr w14:paraId="19DBF5FD">
        <w:tblPrEx>
          <w:tblCellMar>
            <w:top w:w="0" w:type="dxa"/>
            <w:left w:w="108" w:type="dxa"/>
            <w:bottom w:w="0" w:type="dxa"/>
            <w:right w:w="108" w:type="dxa"/>
          </w:tblCellMar>
        </w:tblPrEx>
        <w:trPr>
          <w:trHeight w:val="20" w:hRule="atLeast"/>
        </w:trPr>
        <w:tc>
          <w:tcPr>
            <w:tcW w:w="509" w:type="pct"/>
            <w:tcBorders>
              <w:top w:val="nil"/>
              <w:left w:val="single" w:color="000000" w:sz="4" w:space="0"/>
              <w:bottom w:val="single" w:color="000000" w:sz="4" w:space="0"/>
              <w:right w:val="single" w:color="000000" w:sz="4" w:space="0"/>
            </w:tcBorders>
            <w:shd w:val="clear" w:color="auto" w:fill="auto"/>
            <w:vAlign w:val="center"/>
          </w:tcPr>
          <w:p w14:paraId="68AB17A9">
            <w:pPr>
              <w:pStyle w:val="57"/>
              <w:rPr>
                <w:rFonts w:ascii="Times New Roman" w:cs="Times New Roman"/>
              </w:rPr>
            </w:pPr>
            <w:r>
              <w:rPr>
                <w:rFonts w:ascii="Times New Roman" w:cs="Times New Roman"/>
              </w:rPr>
              <w:t>5</w:t>
            </w:r>
          </w:p>
        </w:tc>
        <w:tc>
          <w:tcPr>
            <w:tcW w:w="1035" w:type="pct"/>
            <w:tcBorders>
              <w:top w:val="nil"/>
              <w:left w:val="nil"/>
              <w:bottom w:val="single" w:color="000000" w:sz="4" w:space="0"/>
              <w:right w:val="single" w:color="000000" w:sz="4" w:space="0"/>
            </w:tcBorders>
            <w:shd w:val="clear" w:color="auto" w:fill="auto"/>
            <w:vAlign w:val="center"/>
          </w:tcPr>
          <w:p w14:paraId="2F006D25">
            <w:pPr>
              <w:pStyle w:val="57"/>
              <w:rPr>
                <w:rFonts w:ascii="Times New Roman" w:cs="Times New Roman"/>
              </w:rPr>
            </w:pPr>
            <w:r>
              <w:rPr>
                <w:rFonts w:ascii="Times New Roman" w:cs="Times New Roman"/>
              </w:rPr>
              <w:t>医药高新区</w:t>
            </w:r>
          </w:p>
          <w:p w14:paraId="05853EAF">
            <w:pPr>
              <w:pStyle w:val="57"/>
              <w:rPr>
                <w:rFonts w:ascii="Times New Roman" w:cs="Times New Roman"/>
              </w:rPr>
            </w:pPr>
            <w:r>
              <w:rPr>
                <w:rFonts w:ascii="Times New Roman" w:cs="Times New Roman"/>
              </w:rPr>
              <w:t>（高港区）</w:t>
            </w:r>
          </w:p>
        </w:tc>
        <w:tc>
          <w:tcPr>
            <w:tcW w:w="1211" w:type="pct"/>
            <w:tcBorders>
              <w:top w:val="nil"/>
              <w:left w:val="nil"/>
              <w:bottom w:val="single" w:color="000000" w:sz="4" w:space="0"/>
              <w:right w:val="single" w:color="000000" w:sz="4" w:space="0"/>
            </w:tcBorders>
            <w:shd w:val="clear" w:color="auto" w:fill="auto"/>
            <w:vAlign w:val="center"/>
          </w:tcPr>
          <w:p w14:paraId="4662E832">
            <w:pPr>
              <w:pStyle w:val="57"/>
              <w:rPr>
                <w:rFonts w:ascii="Times New Roman" w:cs="Times New Roman"/>
              </w:rPr>
            </w:pPr>
            <w:r>
              <w:rPr>
                <w:rFonts w:ascii="Times New Roman" w:cs="Times New Roman"/>
              </w:rPr>
              <w:t>同兴闸</w:t>
            </w:r>
          </w:p>
        </w:tc>
        <w:tc>
          <w:tcPr>
            <w:tcW w:w="947" w:type="pct"/>
            <w:tcBorders>
              <w:top w:val="nil"/>
              <w:left w:val="nil"/>
              <w:bottom w:val="single" w:color="000000" w:sz="4" w:space="0"/>
              <w:right w:val="single" w:color="000000" w:sz="4" w:space="0"/>
            </w:tcBorders>
            <w:shd w:val="clear" w:color="auto" w:fill="auto"/>
            <w:vAlign w:val="center"/>
          </w:tcPr>
          <w:p w14:paraId="14F58B91">
            <w:pPr>
              <w:pStyle w:val="57"/>
              <w:rPr>
                <w:rFonts w:ascii="Times New Roman" w:cs="Times New Roman"/>
              </w:rPr>
            </w:pPr>
            <w:r>
              <w:rPr>
                <w:rFonts w:ascii="Times New Roman" w:cs="Times New Roman"/>
              </w:rPr>
              <w:t>211+647</w:t>
            </w:r>
          </w:p>
          <w:p w14:paraId="3A0DFD99">
            <w:pPr>
              <w:pStyle w:val="57"/>
              <w:rPr>
                <w:rFonts w:ascii="Times New Roman" w:cs="Times New Roman"/>
              </w:rPr>
            </w:pPr>
            <w:r>
              <w:rPr>
                <w:rFonts w:ascii="Times New Roman" w:cs="Times New Roman"/>
              </w:rPr>
              <w:t>东300米</w:t>
            </w:r>
          </w:p>
        </w:tc>
        <w:tc>
          <w:tcPr>
            <w:tcW w:w="1298" w:type="pct"/>
            <w:tcBorders>
              <w:top w:val="nil"/>
              <w:left w:val="nil"/>
              <w:bottom w:val="single" w:color="000000" w:sz="4" w:space="0"/>
              <w:right w:val="single" w:color="000000" w:sz="4" w:space="0"/>
            </w:tcBorders>
            <w:shd w:val="clear" w:color="auto" w:fill="auto"/>
            <w:vAlign w:val="center"/>
          </w:tcPr>
          <w:p w14:paraId="1FF422A4">
            <w:pPr>
              <w:pStyle w:val="57"/>
              <w:rPr>
                <w:rFonts w:ascii="Times New Roman" w:cs="Times New Roman"/>
              </w:rPr>
            </w:pPr>
            <w:r>
              <w:rPr>
                <w:rFonts w:ascii="Times New Roman" w:cs="Times New Roman"/>
              </w:rPr>
              <w:t>12</w:t>
            </w:r>
          </w:p>
        </w:tc>
      </w:tr>
      <w:tr w14:paraId="3FFBFC2D">
        <w:tblPrEx>
          <w:tblCellMar>
            <w:top w:w="0" w:type="dxa"/>
            <w:left w:w="108" w:type="dxa"/>
            <w:bottom w:w="0" w:type="dxa"/>
            <w:right w:w="108" w:type="dxa"/>
          </w:tblCellMar>
        </w:tblPrEx>
        <w:trPr>
          <w:trHeight w:val="20" w:hRule="atLeast"/>
        </w:trPr>
        <w:tc>
          <w:tcPr>
            <w:tcW w:w="509" w:type="pct"/>
            <w:tcBorders>
              <w:top w:val="nil"/>
              <w:left w:val="single" w:color="000000" w:sz="4" w:space="0"/>
              <w:bottom w:val="single" w:color="000000" w:sz="4" w:space="0"/>
              <w:right w:val="single" w:color="000000" w:sz="4" w:space="0"/>
            </w:tcBorders>
            <w:shd w:val="clear" w:color="auto" w:fill="auto"/>
            <w:vAlign w:val="center"/>
          </w:tcPr>
          <w:p w14:paraId="489B9166">
            <w:pPr>
              <w:pStyle w:val="57"/>
              <w:rPr>
                <w:rFonts w:ascii="Times New Roman" w:cs="Times New Roman"/>
              </w:rPr>
            </w:pPr>
            <w:r>
              <w:rPr>
                <w:rFonts w:ascii="Times New Roman" w:cs="Times New Roman"/>
              </w:rPr>
              <w:t>6</w:t>
            </w:r>
          </w:p>
        </w:tc>
        <w:tc>
          <w:tcPr>
            <w:tcW w:w="1035" w:type="pct"/>
            <w:tcBorders>
              <w:top w:val="nil"/>
              <w:left w:val="nil"/>
              <w:bottom w:val="single" w:color="000000" w:sz="4" w:space="0"/>
              <w:right w:val="single" w:color="000000" w:sz="4" w:space="0"/>
            </w:tcBorders>
            <w:shd w:val="clear" w:color="auto" w:fill="auto"/>
            <w:vAlign w:val="center"/>
          </w:tcPr>
          <w:p w14:paraId="26D83653">
            <w:pPr>
              <w:pStyle w:val="57"/>
              <w:rPr>
                <w:rFonts w:ascii="Times New Roman" w:cs="Times New Roman"/>
              </w:rPr>
            </w:pPr>
            <w:r>
              <w:rPr>
                <w:rFonts w:ascii="Times New Roman" w:cs="Times New Roman"/>
              </w:rPr>
              <w:t>泰兴市</w:t>
            </w:r>
          </w:p>
        </w:tc>
        <w:tc>
          <w:tcPr>
            <w:tcW w:w="1211" w:type="pct"/>
            <w:tcBorders>
              <w:top w:val="nil"/>
              <w:left w:val="nil"/>
              <w:bottom w:val="single" w:color="000000" w:sz="4" w:space="0"/>
              <w:right w:val="single" w:color="000000" w:sz="4" w:space="0"/>
            </w:tcBorders>
            <w:shd w:val="clear" w:color="auto" w:fill="auto"/>
            <w:vAlign w:val="center"/>
          </w:tcPr>
          <w:p w14:paraId="1DB1941B">
            <w:pPr>
              <w:pStyle w:val="57"/>
              <w:rPr>
                <w:rFonts w:ascii="Times New Roman" w:cs="Times New Roman"/>
              </w:rPr>
            </w:pPr>
            <w:r>
              <w:rPr>
                <w:rFonts w:ascii="Times New Roman" w:cs="Times New Roman"/>
              </w:rPr>
              <w:t>马甸小闸</w:t>
            </w:r>
          </w:p>
        </w:tc>
        <w:tc>
          <w:tcPr>
            <w:tcW w:w="947" w:type="pct"/>
            <w:tcBorders>
              <w:top w:val="nil"/>
              <w:left w:val="nil"/>
              <w:bottom w:val="single" w:color="000000" w:sz="4" w:space="0"/>
              <w:right w:val="single" w:color="000000" w:sz="4" w:space="0"/>
            </w:tcBorders>
            <w:shd w:val="clear" w:color="auto" w:fill="auto"/>
            <w:vAlign w:val="center"/>
          </w:tcPr>
          <w:p w14:paraId="0BC461D9">
            <w:pPr>
              <w:pStyle w:val="57"/>
              <w:rPr>
                <w:rFonts w:ascii="Times New Roman" w:cs="Times New Roman"/>
              </w:rPr>
            </w:pPr>
            <w:r>
              <w:rPr>
                <w:rFonts w:ascii="Times New Roman" w:cs="Times New Roman"/>
              </w:rPr>
              <w:t>G0+722</w:t>
            </w:r>
          </w:p>
        </w:tc>
        <w:tc>
          <w:tcPr>
            <w:tcW w:w="1298" w:type="pct"/>
            <w:tcBorders>
              <w:top w:val="nil"/>
              <w:left w:val="nil"/>
              <w:bottom w:val="single" w:color="000000" w:sz="4" w:space="0"/>
              <w:right w:val="single" w:color="000000" w:sz="4" w:space="0"/>
            </w:tcBorders>
            <w:shd w:val="clear" w:color="auto" w:fill="auto"/>
            <w:vAlign w:val="center"/>
          </w:tcPr>
          <w:p w14:paraId="36F96883">
            <w:pPr>
              <w:pStyle w:val="57"/>
              <w:rPr>
                <w:rFonts w:ascii="Times New Roman" w:cs="Times New Roman"/>
              </w:rPr>
            </w:pPr>
            <w:r>
              <w:rPr>
                <w:rFonts w:ascii="Times New Roman" w:cs="Times New Roman"/>
              </w:rPr>
              <w:t>10</w:t>
            </w:r>
          </w:p>
        </w:tc>
      </w:tr>
      <w:tr w14:paraId="777AF3DE">
        <w:tblPrEx>
          <w:tblCellMar>
            <w:top w:w="0" w:type="dxa"/>
            <w:left w:w="108" w:type="dxa"/>
            <w:bottom w:w="0" w:type="dxa"/>
            <w:right w:w="108" w:type="dxa"/>
          </w:tblCellMar>
        </w:tblPrEx>
        <w:trPr>
          <w:trHeight w:val="20" w:hRule="atLeast"/>
        </w:trPr>
        <w:tc>
          <w:tcPr>
            <w:tcW w:w="509" w:type="pct"/>
            <w:tcBorders>
              <w:top w:val="nil"/>
              <w:left w:val="single" w:color="000000" w:sz="4" w:space="0"/>
              <w:bottom w:val="single" w:color="000000" w:sz="4" w:space="0"/>
              <w:right w:val="single" w:color="000000" w:sz="4" w:space="0"/>
            </w:tcBorders>
            <w:shd w:val="clear" w:color="auto" w:fill="auto"/>
            <w:vAlign w:val="center"/>
          </w:tcPr>
          <w:p w14:paraId="17B05B4C">
            <w:pPr>
              <w:pStyle w:val="57"/>
              <w:rPr>
                <w:rFonts w:ascii="Times New Roman" w:cs="Times New Roman"/>
              </w:rPr>
            </w:pPr>
            <w:r>
              <w:rPr>
                <w:rFonts w:ascii="Times New Roman" w:cs="Times New Roman"/>
              </w:rPr>
              <w:t>7</w:t>
            </w:r>
          </w:p>
        </w:tc>
        <w:tc>
          <w:tcPr>
            <w:tcW w:w="1035" w:type="pct"/>
            <w:tcBorders>
              <w:top w:val="nil"/>
              <w:left w:val="nil"/>
              <w:bottom w:val="single" w:color="000000" w:sz="4" w:space="0"/>
              <w:right w:val="single" w:color="000000" w:sz="4" w:space="0"/>
            </w:tcBorders>
            <w:shd w:val="clear" w:color="auto" w:fill="auto"/>
            <w:vAlign w:val="center"/>
          </w:tcPr>
          <w:p w14:paraId="32EEB743">
            <w:pPr>
              <w:pStyle w:val="57"/>
              <w:rPr>
                <w:rFonts w:ascii="Times New Roman" w:cs="Times New Roman"/>
              </w:rPr>
            </w:pPr>
            <w:r>
              <w:rPr>
                <w:rFonts w:ascii="Times New Roman" w:cs="Times New Roman"/>
              </w:rPr>
              <w:t>泰兴市</w:t>
            </w:r>
          </w:p>
        </w:tc>
        <w:tc>
          <w:tcPr>
            <w:tcW w:w="1211" w:type="pct"/>
            <w:tcBorders>
              <w:top w:val="nil"/>
              <w:left w:val="nil"/>
              <w:bottom w:val="single" w:color="000000" w:sz="4" w:space="0"/>
              <w:right w:val="single" w:color="000000" w:sz="4" w:space="0"/>
            </w:tcBorders>
            <w:shd w:val="clear" w:color="auto" w:fill="auto"/>
            <w:vAlign w:val="center"/>
          </w:tcPr>
          <w:p w14:paraId="540AE0CA">
            <w:pPr>
              <w:pStyle w:val="57"/>
              <w:rPr>
                <w:rFonts w:ascii="Times New Roman" w:cs="Times New Roman"/>
              </w:rPr>
            </w:pPr>
            <w:r>
              <w:rPr>
                <w:rFonts w:ascii="Times New Roman" w:cs="Times New Roman"/>
              </w:rPr>
              <w:t>西江闸</w:t>
            </w:r>
          </w:p>
        </w:tc>
        <w:tc>
          <w:tcPr>
            <w:tcW w:w="947" w:type="pct"/>
            <w:tcBorders>
              <w:top w:val="nil"/>
              <w:left w:val="nil"/>
              <w:bottom w:val="single" w:color="000000" w:sz="4" w:space="0"/>
              <w:right w:val="single" w:color="000000" w:sz="4" w:space="0"/>
            </w:tcBorders>
            <w:shd w:val="clear" w:color="auto" w:fill="auto"/>
            <w:vAlign w:val="center"/>
          </w:tcPr>
          <w:p w14:paraId="6233CBAC">
            <w:pPr>
              <w:pStyle w:val="57"/>
              <w:rPr>
                <w:rFonts w:ascii="Times New Roman" w:cs="Times New Roman"/>
              </w:rPr>
            </w:pPr>
            <w:r>
              <w:rPr>
                <w:rFonts w:ascii="Times New Roman" w:cs="Times New Roman"/>
              </w:rPr>
              <w:t>G1+710</w:t>
            </w:r>
          </w:p>
        </w:tc>
        <w:tc>
          <w:tcPr>
            <w:tcW w:w="1298" w:type="pct"/>
            <w:tcBorders>
              <w:top w:val="nil"/>
              <w:left w:val="nil"/>
              <w:bottom w:val="single" w:color="000000" w:sz="4" w:space="0"/>
              <w:right w:val="single" w:color="000000" w:sz="4" w:space="0"/>
            </w:tcBorders>
            <w:shd w:val="clear" w:color="auto" w:fill="auto"/>
            <w:vAlign w:val="center"/>
          </w:tcPr>
          <w:p w14:paraId="2289FFC0">
            <w:pPr>
              <w:pStyle w:val="57"/>
              <w:rPr>
                <w:rFonts w:ascii="Times New Roman" w:cs="Times New Roman"/>
              </w:rPr>
            </w:pPr>
            <w:r>
              <w:rPr>
                <w:rFonts w:ascii="Times New Roman" w:cs="Times New Roman"/>
              </w:rPr>
              <w:t>7.5</w:t>
            </w:r>
          </w:p>
        </w:tc>
      </w:tr>
      <w:tr w14:paraId="04638512">
        <w:tblPrEx>
          <w:tblCellMar>
            <w:top w:w="0" w:type="dxa"/>
            <w:left w:w="108" w:type="dxa"/>
            <w:bottom w:w="0" w:type="dxa"/>
            <w:right w:w="108" w:type="dxa"/>
          </w:tblCellMar>
        </w:tblPrEx>
        <w:trPr>
          <w:trHeight w:val="20" w:hRule="atLeast"/>
        </w:trPr>
        <w:tc>
          <w:tcPr>
            <w:tcW w:w="509" w:type="pct"/>
            <w:tcBorders>
              <w:top w:val="nil"/>
              <w:left w:val="single" w:color="000000" w:sz="4" w:space="0"/>
              <w:bottom w:val="single" w:color="000000" w:sz="4" w:space="0"/>
              <w:right w:val="single" w:color="000000" w:sz="4" w:space="0"/>
            </w:tcBorders>
            <w:shd w:val="clear" w:color="auto" w:fill="auto"/>
            <w:vAlign w:val="center"/>
          </w:tcPr>
          <w:p w14:paraId="44A9E84B">
            <w:pPr>
              <w:pStyle w:val="57"/>
              <w:rPr>
                <w:rFonts w:ascii="Times New Roman" w:cs="Times New Roman"/>
              </w:rPr>
            </w:pPr>
            <w:r>
              <w:rPr>
                <w:rFonts w:ascii="Times New Roman" w:cs="Times New Roman"/>
              </w:rPr>
              <w:t>8</w:t>
            </w:r>
          </w:p>
        </w:tc>
        <w:tc>
          <w:tcPr>
            <w:tcW w:w="1035" w:type="pct"/>
            <w:tcBorders>
              <w:top w:val="nil"/>
              <w:left w:val="nil"/>
              <w:bottom w:val="single" w:color="000000" w:sz="4" w:space="0"/>
              <w:right w:val="single" w:color="000000" w:sz="4" w:space="0"/>
            </w:tcBorders>
            <w:shd w:val="clear" w:color="auto" w:fill="auto"/>
            <w:vAlign w:val="center"/>
          </w:tcPr>
          <w:p w14:paraId="0789FA92">
            <w:pPr>
              <w:pStyle w:val="57"/>
              <w:rPr>
                <w:rFonts w:ascii="Times New Roman" w:cs="Times New Roman"/>
              </w:rPr>
            </w:pPr>
            <w:r>
              <w:rPr>
                <w:rFonts w:ascii="Times New Roman" w:cs="Times New Roman"/>
              </w:rPr>
              <w:t>泰兴市</w:t>
            </w:r>
          </w:p>
        </w:tc>
        <w:tc>
          <w:tcPr>
            <w:tcW w:w="1211" w:type="pct"/>
            <w:tcBorders>
              <w:top w:val="nil"/>
              <w:left w:val="nil"/>
              <w:bottom w:val="single" w:color="000000" w:sz="4" w:space="0"/>
              <w:right w:val="single" w:color="000000" w:sz="4" w:space="0"/>
            </w:tcBorders>
            <w:shd w:val="clear" w:color="auto" w:fill="auto"/>
            <w:vAlign w:val="center"/>
          </w:tcPr>
          <w:p w14:paraId="7DB16CDA">
            <w:pPr>
              <w:pStyle w:val="57"/>
              <w:rPr>
                <w:rFonts w:ascii="Times New Roman" w:cs="Times New Roman"/>
              </w:rPr>
            </w:pPr>
            <w:r>
              <w:rPr>
                <w:rFonts w:ascii="Times New Roman" w:cs="Times New Roman"/>
              </w:rPr>
              <w:t>当铺闸</w:t>
            </w:r>
          </w:p>
        </w:tc>
        <w:tc>
          <w:tcPr>
            <w:tcW w:w="947" w:type="pct"/>
            <w:tcBorders>
              <w:top w:val="nil"/>
              <w:left w:val="nil"/>
              <w:bottom w:val="single" w:color="000000" w:sz="4" w:space="0"/>
              <w:right w:val="single" w:color="000000" w:sz="4" w:space="0"/>
            </w:tcBorders>
            <w:shd w:val="clear" w:color="auto" w:fill="auto"/>
            <w:vAlign w:val="center"/>
          </w:tcPr>
          <w:p w14:paraId="37032A7D">
            <w:pPr>
              <w:pStyle w:val="57"/>
              <w:rPr>
                <w:rFonts w:ascii="Times New Roman" w:cs="Times New Roman"/>
              </w:rPr>
            </w:pPr>
            <w:r>
              <w:rPr>
                <w:rFonts w:ascii="Times New Roman" w:cs="Times New Roman"/>
              </w:rPr>
              <w:t>G2+185</w:t>
            </w:r>
          </w:p>
        </w:tc>
        <w:tc>
          <w:tcPr>
            <w:tcW w:w="1298" w:type="pct"/>
            <w:tcBorders>
              <w:top w:val="nil"/>
              <w:left w:val="nil"/>
              <w:bottom w:val="single" w:color="000000" w:sz="4" w:space="0"/>
              <w:right w:val="single" w:color="000000" w:sz="4" w:space="0"/>
            </w:tcBorders>
            <w:shd w:val="clear" w:color="auto" w:fill="auto"/>
            <w:vAlign w:val="center"/>
          </w:tcPr>
          <w:p w14:paraId="1589B034">
            <w:pPr>
              <w:pStyle w:val="57"/>
              <w:rPr>
                <w:rFonts w:ascii="Times New Roman" w:cs="Times New Roman"/>
              </w:rPr>
            </w:pPr>
            <w:r>
              <w:rPr>
                <w:rFonts w:ascii="Times New Roman" w:cs="Times New Roman"/>
              </w:rPr>
              <w:t>7.5</w:t>
            </w:r>
          </w:p>
        </w:tc>
      </w:tr>
      <w:tr w14:paraId="6CEA566B">
        <w:tblPrEx>
          <w:tblCellMar>
            <w:top w:w="0" w:type="dxa"/>
            <w:left w:w="108" w:type="dxa"/>
            <w:bottom w:w="0" w:type="dxa"/>
            <w:right w:w="108" w:type="dxa"/>
          </w:tblCellMar>
        </w:tblPrEx>
        <w:trPr>
          <w:trHeight w:val="20" w:hRule="atLeast"/>
        </w:trPr>
        <w:tc>
          <w:tcPr>
            <w:tcW w:w="509" w:type="pct"/>
            <w:tcBorders>
              <w:top w:val="nil"/>
              <w:left w:val="single" w:color="000000" w:sz="4" w:space="0"/>
              <w:bottom w:val="single" w:color="000000" w:sz="4" w:space="0"/>
              <w:right w:val="single" w:color="000000" w:sz="4" w:space="0"/>
            </w:tcBorders>
            <w:shd w:val="clear" w:color="auto" w:fill="auto"/>
            <w:vAlign w:val="center"/>
          </w:tcPr>
          <w:p w14:paraId="79C0E23C">
            <w:pPr>
              <w:pStyle w:val="57"/>
              <w:rPr>
                <w:rFonts w:ascii="Times New Roman" w:cs="Times New Roman"/>
              </w:rPr>
            </w:pPr>
            <w:r>
              <w:rPr>
                <w:rFonts w:ascii="Times New Roman" w:cs="Times New Roman"/>
              </w:rPr>
              <w:t>9</w:t>
            </w:r>
          </w:p>
        </w:tc>
        <w:tc>
          <w:tcPr>
            <w:tcW w:w="1035" w:type="pct"/>
            <w:tcBorders>
              <w:top w:val="nil"/>
              <w:left w:val="nil"/>
              <w:bottom w:val="single" w:color="000000" w:sz="4" w:space="0"/>
              <w:right w:val="single" w:color="000000" w:sz="4" w:space="0"/>
            </w:tcBorders>
            <w:shd w:val="clear" w:color="auto" w:fill="auto"/>
            <w:vAlign w:val="center"/>
          </w:tcPr>
          <w:p w14:paraId="3986B4C1">
            <w:pPr>
              <w:pStyle w:val="57"/>
              <w:rPr>
                <w:rFonts w:ascii="Times New Roman" w:cs="Times New Roman"/>
              </w:rPr>
            </w:pPr>
            <w:r>
              <w:rPr>
                <w:rFonts w:ascii="Times New Roman" w:cs="Times New Roman"/>
              </w:rPr>
              <w:t>泰兴市</w:t>
            </w:r>
          </w:p>
        </w:tc>
        <w:tc>
          <w:tcPr>
            <w:tcW w:w="1211" w:type="pct"/>
            <w:tcBorders>
              <w:top w:val="nil"/>
              <w:left w:val="nil"/>
              <w:bottom w:val="single" w:color="auto" w:sz="4" w:space="0"/>
              <w:right w:val="single" w:color="auto" w:sz="4" w:space="0"/>
            </w:tcBorders>
            <w:shd w:val="clear" w:color="auto" w:fill="auto"/>
            <w:vAlign w:val="center"/>
          </w:tcPr>
          <w:p w14:paraId="7BE0215A">
            <w:pPr>
              <w:pStyle w:val="57"/>
              <w:rPr>
                <w:rFonts w:ascii="Times New Roman" w:cs="Times New Roman"/>
              </w:rPr>
            </w:pPr>
            <w:r>
              <w:rPr>
                <w:rFonts w:ascii="Times New Roman" w:cs="Times New Roman"/>
              </w:rPr>
              <w:t>过船港闸</w:t>
            </w:r>
          </w:p>
        </w:tc>
        <w:tc>
          <w:tcPr>
            <w:tcW w:w="947" w:type="pct"/>
            <w:tcBorders>
              <w:top w:val="nil"/>
              <w:left w:val="nil"/>
              <w:bottom w:val="single" w:color="auto" w:sz="4" w:space="0"/>
              <w:right w:val="single" w:color="auto" w:sz="4" w:space="0"/>
            </w:tcBorders>
            <w:shd w:val="clear" w:color="auto" w:fill="auto"/>
            <w:vAlign w:val="center"/>
          </w:tcPr>
          <w:p w14:paraId="3DED536D">
            <w:pPr>
              <w:pStyle w:val="57"/>
              <w:rPr>
                <w:rFonts w:ascii="Times New Roman" w:cs="Times New Roman"/>
              </w:rPr>
            </w:pPr>
            <w:r>
              <w:rPr>
                <w:rFonts w:ascii="Times New Roman" w:cs="Times New Roman"/>
              </w:rPr>
              <w:t>港堤</w:t>
            </w:r>
          </w:p>
        </w:tc>
        <w:tc>
          <w:tcPr>
            <w:tcW w:w="1298" w:type="pct"/>
            <w:tcBorders>
              <w:top w:val="nil"/>
              <w:left w:val="nil"/>
              <w:bottom w:val="single" w:color="000000" w:sz="4" w:space="0"/>
              <w:right w:val="single" w:color="000000" w:sz="4" w:space="0"/>
            </w:tcBorders>
            <w:shd w:val="clear" w:color="auto" w:fill="auto"/>
            <w:vAlign w:val="center"/>
          </w:tcPr>
          <w:p w14:paraId="720A0A7D">
            <w:pPr>
              <w:pStyle w:val="57"/>
              <w:rPr>
                <w:rFonts w:ascii="Times New Roman" w:cs="Times New Roman"/>
              </w:rPr>
            </w:pPr>
            <w:r>
              <w:rPr>
                <w:rFonts w:ascii="Times New Roman" w:cs="Times New Roman"/>
              </w:rPr>
              <w:t>引48，排94</w:t>
            </w:r>
          </w:p>
        </w:tc>
      </w:tr>
      <w:tr w14:paraId="52620149">
        <w:tblPrEx>
          <w:tblCellMar>
            <w:top w:w="0" w:type="dxa"/>
            <w:left w:w="108" w:type="dxa"/>
            <w:bottom w:w="0" w:type="dxa"/>
            <w:right w:w="108" w:type="dxa"/>
          </w:tblCellMar>
        </w:tblPrEx>
        <w:trPr>
          <w:trHeight w:val="20" w:hRule="atLeast"/>
        </w:trPr>
        <w:tc>
          <w:tcPr>
            <w:tcW w:w="509" w:type="pct"/>
            <w:tcBorders>
              <w:top w:val="nil"/>
              <w:left w:val="single" w:color="000000" w:sz="4" w:space="0"/>
              <w:bottom w:val="single" w:color="000000" w:sz="4" w:space="0"/>
              <w:right w:val="single" w:color="000000" w:sz="4" w:space="0"/>
            </w:tcBorders>
            <w:shd w:val="clear" w:color="auto" w:fill="auto"/>
            <w:vAlign w:val="center"/>
          </w:tcPr>
          <w:p w14:paraId="6E83E460">
            <w:pPr>
              <w:pStyle w:val="57"/>
              <w:rPr>
                <w:rFonts w:ascii="Times New Roman" w:cs="Times New Roman"/>
              </w:rPr>
            </w:pPr>
            <w:r>
              <w:rPr>
                <w:rFonts w:ascii="Times New Roman" w:cs="Times New Roman"/>
              </w:rPr>
              <w:t>10</w:t>
            </w:r>
          </w:p>
        </w:tc>
        <w:tc>
          <w:tcPr>
            <w:tcW w:w="1035" w:type="pct"/>
            <w:tcBorders>
              <w:top w:val="nil"/>
              <w:left w:val="nil"/>
              <w:bottom w:val="single" w:color="000000" w:sz="4" w:space="0"/>
              <w:right w:val="single" w:color="000000" w:sz="4" w:space="0"/>
            </w:tcBorders>
            <w:shd w:val="clear" w:color="auto" w:fill="auto"/>
            <w:vAlign w:val="center"/>
          </w:tcPr>
          <w:p w14:paraId="525FA628">
            <w:pPr>
              <w:pStyle w:val="57"/>
              <w:rPr>
                <w:rFonts w:ascii="Times New Roman" w:cs="Times New Roman"/>
              </w:rPr>
            </w:pPr>
            <w:r>
              <w:rPr>
                <w:rFonts w:ascii="Times New Roman" w:cs="Times New Roman"/>
              </w:rPr>
              <w:t>泰兴市</w:t>
            </w:r>
          </w:p>
        </w:tc>
        <w:tc>
          <w:tcPr>
            <w:tcW w:w="1211" w:type="pct"/>
            <w:tcBorders>
              <w:top w:val="nil"/>
              <w:left w:val="nil"/>
              <w:bottom w:val="single" w:color="000000" w:sz="4" w:space="0"/>
              <w:right w:val="single" w:color="000000" w:sz="4" w:space="0"/>
            </w:tcBorders>
            <w:shd w:val="clear" w:color="auto" w:fill="auto"/>
            <w:vAlign w:val="center"/>
          </w:tcPr>
          <w:p w14:paraId="2775CC15">
            <w:pPr>
              <w:pStyle w:val="57"/>
              <w:rPr>
                <w:rFonts w:ascii="Times New Roman" w:cs="Times New Roman"/>
              </w:rPr>
            </w:pPr>
            <w:r>
              <w:rPr>
                <w:rFonts w:ascii="Times New Roman" w:cs="Times New Roman"/>
              </w:rPr>
              <w:t>新段港闸</w:t>
            </w:r>
          </w:p>
        </w:tc>
        <w:tc>
          <w:tcPr>
            <w:tcW w:w="947" w:type="pct"/>
            <w:tcBorders>
              <w:top w:val="nil"/>
              <w:left w:val="nil"/>
              <w:bottom w:val="single" w:color="000000" w:sz="4" w:space="0"/>
              <w:right w:val="single" w:color="000000" w:sz="4" w:space="0"/>
            </w:tcBorders>
            <w:shd w:val="clear" w:color="auto" w:fill="auto"/>
            <w:vAlign w:val="center"/>
          </w:tcPr>
          <w:p w14:paraId="07110312">
            <w:pPr>
              <w:pStyle w:val="57"/>
              <w:rPr>
                <w:rFonts w:ascii="Times New Roman" w:cs="Times New Roman"/>
              </w:rPr>
            </w:pPr>
            <w:r>
              <w:rPr>
                <w:rFonts w:ascii="Times New Roman" w:cs="Times New Roman"/>
              </w:rPr>
              <w:t>220+500</w:t>
            </w:r>
          </w:p>
        </w:tc>
        <w:tc>
          <w:tcPr>
            <w:tcW w:w="1298" w:type="pct"/>
            <w:tcBorders>
              <w:top w:val="nil"/>
              <w:left w:val="nil"/>
              <w:bottom w:val="single" w:color="000000" w:sz="4" w:space="0"/>
              <w:right w:val="single" w:color="000000" w:sz="4" w:space="0"/>
            </w:tcBorders>
            <w:shd w:val="clear" w:color="auto" w:fill="auto"/>
            <w:vAlign w:val="center"/>
          </w:tcPr>
          <w:p w14:paraId="3AC9EB53">
            <w:pPr>
              <w:pStyle w:val="57"/>
              <w:rPr>
                <w:rFonts w:ascii="Times New Roman" w:cs="Times New Roman"/>
              </w:rPr>
            </w:pPr>
            <w:r>
              <w:rPr>
                <w:rFonts w:ascii="Times New Roman" w:cs="Times New Roman"/>
              </w:rPr>
              <w:t>8</w:t>
            </w:r>
          </w:p>
        </w:tc>
      </w:tr>
      <w:tr w14:paraId="317B72CE">
        <w:tblPrEx>
          <w:tblCellMar>
            <w:top w:w="0" w:type="dxa"/>
            <w:left w:w="108" w:type="dxa"/>
            <w:bottom w:w="0" w:type="dxa"/>
            <w:right w:w="108" w:type="dxa"/>
          </w:tblCellMar>
        </w:tblPrEx>
        <w:trPr>
          <w:trHeight w:val="20" w:hRule="atLeast"/>
        </w:trPr>
        <w:tc>
          <w:tcPr>
            <w:tcW w:w="509" w:type="pct"/>
            <w:tcBorders>
              <w:top w:val="nil"/>
              <w:left w:val="single" w:color="000000" w:sz="4" w:space="0"/>
              <w:bottom w:val="single" w:color="000000" w:sz="4" w:space="0"/>
              <w:right w:val="single" w:color="000000" w:sz="4" w:space="0"/>
            </w:tcBorders>
            <w:shd w:val="clear" w:color="auto" w:fill="auto"/>
            <w:vAlign w:val="center"/>
          </w:tcPr>
          <w:p w14:paraId="44D2232F">
            <w:pPr>
              <w:pStyle w:val="57"/>
              <w:rPr>
                <w:rFonts w:ascii="Times New Roman" w:cs="Times New Roman"/>
              </w:rPr>
            </w:pPr>
            <w:r>
              <w:rPr>
                <w:rFonts w:ascii="Times New Roman" w:cs="Times New Roman"/>
              </w:rPr>
              <w:t>11</w:t>
            </w:r>
          </w:p>
        </w:tc>
        <w:tc>
          <w:tcPr>
            <w:tcW w:w="1035" w:type="pct"/>
            <w:tcBorders>
              <w:top w:val="nil"/>
              <w:left w:val="nil"/>
              <w:bottom w:val="single" w:color="000000" w:sz="4" w:space="0"/>
              <w:right w:val="single" w:color="000000" w:sz="4" w:space="0"/>
            </w:tcBorders>
            <w:shd w:val="clear" w:color="auto" w:fill="auto"/>
            <w:vAlign w:val="center"/>
          </w:tcPr>
          <w:p w14:paraId="2E9E3E62">
            <w:pPr>
              <w:pStyle w:val="57"/>
              <w:rPr>
                <w:rFonts w:ascii="Times New Roman" w:cs="Times New Roman"/>
              </w:rPr>
            </w:pPr>
            <w:r>
              <w:rPr>
                <w:rFonts w:ascii="Times New Roman" w:cs="Times New Roman"/>
              </w:rPr>
              <w:t>泰兴市</w:t>
            </w:r>
          </w:p>
        </w:tc>
        <w:tc>
          <w:tcPr>
            <w:tcW w:w="1211" w:type="pct"/>
            <w:tcBorders>
              <w:top w:val="nil"/>
              <w:left w:val="nil"/>
              <w:bottom w:val="single" w:color="auto" w:sz="4" w:space="0"/>
              <w:right w:val="single" w:color="auto" w:sz="4" w:space="0"/>
            </w:tcBorders>
            <w:shd w:val="clear" w:color="auto" w:fill="auto"/>
            <w:vAlign w:val="center"/>
          </w:tcPr>
          <w:p w14:paraId="3A2282DC">
            <w:pPr>
              <w:pStyle w:val="57"/>
              <w:rPr>
                <w:rFonts w:ascii="Times New Roman" w:cs="Times New Roman"/>
              </w:rPr>
            </w:pPr>
            <w:r>
              <w:rPr>
                <w:rFonts w:ascii="Times New Roman" w:cs="Times New Roman"/>
              </w:rPr>
              <w:t>天星港闸</w:t>
            </w:r>
          </w:p>
        </w:tc>
        <w:tc>
          <w:tcPr>
            <w:tcW w:w="947" w:type="pct"/>
            <w:tcBorders>
              <w:top w:val="nil"/>
              <w:left w:val="nil"/>
              <w:bottom w:val="single" w:color="auto" w:sz="4" w:space="0"/>
              <w:right w:val="single" w:color="auto" w:sz="4" w:space="0"/>
            </w:tcBorders>
            <w:shd w:val="clear" w:color="auto" w:fill="auto"/>
            <w:vAlign w:val="center"/>
          </w:tcPr>
          <w:p w14:paraId="5DFB2B65">
            <w:pPr>
              <w:pStyle w:val="57"/>
              <w:rPr>
                <w:rFonts w:ascii="Times New Roman" w:cs="Times New Roman"/>
              </w:rPr>
            </w:pPr>
            <w:r>
              <w:rPr>
                <w:rFonts w:ascii="Times New Roman" w:cs="Times New Roman"/>
              </w:rPr>
              <w:t>港堤</w:t>
            </w:r>
          </w:p>
        </w:tc>
        <w:tc>
          <w:tcPr>
            <w:tcW w:w="1298" w:type="pct"/>
            <w:tcBorders>
              <w:top w:val="nil"/>
              <w:left w:val="nil"/>
              <w:bottom w:val="single" w:color="000000" w:sz="4" w:space="0"/>
              <w:right w:val="single" w:color="000000" w:sz="4" w:space="0"/>
            </w:tcBorders>
            <w:shd w:val="clear" w:color="auto" w:fill="auto"/>
            <w:vAlign w:val="center"/>
          </w:tcPr>
          <w:p w14:paraId="2B9A185A">
            <w:pPr>
              <w:pStyle w:val="57"/>
              <w:rPr>
                <w:rFonts w:ascii="Times New Roman" w:cs="Times New Roman"/>
              </w:rPr>
            </w:pPr>
            <w:r>
              <w:rPr>
                <w:rFonts w:ascii="Times New Roman" w:cs="Times New Roman"/>
              </w:rPr>
              <w:t>引48，排110</w:t>
            </w:r>
          </w:p>
        </w:tc>
      </w:tr>
      <w:tr w14:paraId="099F6429">
        <w:tblPrEx>
          <w:tblCellMar>
            <w:top w:w="0" w:type="dxa"/>
            <w:left w:w="108" w:type="dxa"/>
            <w:bottom w:w="0" w:type="dxa"/>
            <w:right w:w="108" w:type="dxa"/>
          </w:tblCellMar>
        </w:tblPrEx>
        <w:trPr>
          <w:trHeight w:val="20" w:hRule="atLeast"/>
        </w:trPr>
        <w:tc>
          <w:tcPr>
            <w:tcW w:w="509" w:type="pct"/>
            <w:tcBorders>
              <w:top w:val="nil"/>
              <w:left w:val="single" w:color="000000" w:sz="4" w:space="0"/>
              <w:bottom w:val="single" w:color="000000" w:sz="4" w:space="0"/>
              <w:right w:val="single" w:color="000000" w:sz="4" w:space="0"/>
            </w:tcBorders>
            <w:shd w:val="clear" w:color="auto" w:fill="auto"/>
            <w:vAlign w:val="center"/>
          </w:tcPr>
          <w:p w14:paraId="71406D30">
            <w:pPr>
              <w:pStyle w:val="57"/>
              <w:rPr>
                <w:rFonts w:ascii="Times New Roman" w:cs="Times New Roman"/>
              </w:rPr>
            </w:pPr>
            <w:r>
              <w:rPr>
                <w:rFonts w:ascii="Times New Roman" w:cs="Times New Roman"/>
              </w:rPr>
              <w:t>12</w:t>
            </w:r>
          </w:p>
        </w:tc>
        <w:tc>
          <w:tcPr>
            <w:tcW w:w="1035" w:type="pct"/>
            <w:tcBorders>
              <w:top w:val="nil"/>
              <w:left w:val="nil"/>
              <w:bottom w:val="single" w:color="000000" w:sz="4" w:space="0"/>
              <w:right w:val="single" w:color="000000" w:sz="4" w:space="0"/>
            </w:tcBorders>
            <w:shd w:val="clear" w:color="auto" w:fill="auto"/>
            <w:vAlign w:val="center"/>
          </w:tcPr>
          <w:p w14:paraId="3723B738">
            <w:pPr>
              <w:pStyle w:val="57"/>
              <w:rPr>
                <w:rFonts w:ascii="Times New Roman" w:cs="Times New Roman"/>
              </w:rPr>
            </w:pPr>
            <w:r>
              <w:rPr>
                <w:rFonts w:ascii="Times New Roman" w:cs="Times New Roman"/>
              </w:rPr>
              <w:t>泰兴市</w:t>
            </w:r>
          </w:p>
        </w:tc>
        <w:tc>
          <w:tcPr>
            <w:tcW w:w="1211" w:type="pct"/>
            <w:tcBorders>
              <w:top w:val="nil"/>
              <w:left w:val="nil"/>
              <w:bottom w:val="single" w:color="000000" w:sz="4" w:space="0"/>
              <w:right w:val="single" w:color="000000" w:sz="4" w:space="0"/>
            </w:tcBorders>
            <w:shd w:val="clear" w:color="auto" w:fill="auto"/>
            <w:vAlign w:val="center"/>
          </w:tcPr>
          <w:p w14:paraId="48AF25F9">
            <w:pPr>
              <w:pStyle w:val="57"/>
              <w:rPr>
                <w:rFonts w:ascii="Times New Roman" w:cs="Times New Roman"/>
              </w:rPr>
            </w:pPr>
            <w:r>
              <w:rPr>
                <w:rFonts w:ascii="Times New Roman" w:cs="Times New Roman"/>
              </w:rPr>
              <w:t>二桥闸</w:t>
            </w:r>
          </w:p>
        </w:tc>
        <w:tc>
          <w:tcPr>
            <w:tcW w:w="947" w:type="pct"/>
            <w:tcBorders>
              <w:top w:val="nil"/>
              <w:left w:val="nil"/>
              <w:bottom w:val="single" w:color="000000" w:sz="4" w:space="0"/>
              <w:right w:val="single" w:color="000000" w:sz="4" w:space="0"/>
            </w:tcBorders>
            <w:shd w:val="clear" w:color="auto" w:fill="auto"/>
            <w:vAlign w:val="center"/>
          </w:tcPr>
          <w:p w14:paraId="22E4E0C6">
            <w:pPr>
              <w:pStyle w:val="57"/>
              <w:rPr>
                <w:rFonts w:ascii="Times New Roman" w:cs="Times New Roman"/>
              </w:rPr>
            </w:pPr>
            <w:r>
              <w:rPr>
                <w:rFonts w:ascii="Times New Roman" w:cs="Times New Roman"/>
              </w:rPr>
              <w:t>229+208</w:t>
            </w:r>
          </w:p>
        </w:tc>
        <w:tc>
          <w:tcPr>
            <w:tcW w:w="1298" w:type="pct"/>
            <w:tcBorders>
              <w:top w:val="nil"/>
              <w:left w:val="nil"/>
              <w:bottom w:val="single" w:color="000000" w:sz="4" w:space="0"/>
              <w:right w:val="single" w:color="000000" w:sz="4" w:space="0"/>
            </w:tcBorders>
            <w:shd w:val="clear" w:color="auto" w:fill="auto"/>
            <w:vAlign w:val="center"/>
          </w:tcPr>
          <w:p w14:paraId="48952119">
            <w:pPr>
              <w:pStyle w:val="57"/>
              <w:rPr>
                <w:rFonts w:ascii="Times New Roman" w:cs="Times New Roman"/>
              </w:rPr>
            </w:pPr>
            <w:r>
              <w:rPr>
                <w:rFonts w:ascii="Times New Roman" w:cs="Times New Roman"/>
              </w:rPr>
              <w:t>28</w:t>
            </w:r>
          </w:p>
        </w:tc>
      </w:tr>
      <w:tr w14:paraId="511369C1">
        <w:tblPrEx>
          <w:tblCellMar>
            <w:top w:w="0" w:type="dxa"/>
            <w:left w:w="108" w:type="dxa"/>
            <w:bottom w:w="0" w:type="dxa"/>
            <w:right w:w="108" w:type="dxa"/>
          </w:tblCellMar>
        </w:tblPrEx>
        <w:trPr>
          <w:trHeight w:val="20" w:hRule="atLeast"/>
        </w:trPr>
        <w:tc>
          <w:tcPr>
            <w:tcW w:w="509" w:type="pct"/>
            <w:tcBorders>
              <w:top w:val="nil"/>
              <w:left w:val="single" w:color="000000" w:sz="4" w:space="0"/>
              <w:bottom w:val="single" w:color="000000" w:sz="4" w:space="0"/>
              <w:right w:val="single" w:color="000000" w:sz="4" w:space="0"/>
            </w:tcBorders>
            <w:shd w:val="clear" w:color="auto" w:fill="auto"/>
            <w:vAlign w:val="center"/>
          </w:tcPr>
          <w:p w14:paraId="53B856E9">
            <w:pPr>
              <w:pStyle w:val="57"/>
              <w:rPr>
                <w:rFonts w:ascii="Times New Roman" w:cs="Times New Roman"/>
              </w:rPr>
            </w:pPr>
            <w:r>
              <w:rPr>
                <w:rFonts w:ascii="Times New Roman" w:cs="Times New Roman"/>
              </w:rPr>
              <w:t>13</w:t>
            </w:r>
          </w:p>
        </w:tc>
        <w:tc>
          <w:tcPr>
            <w:tcW w:w="1035" w:type="pct"/>
            <w:tcBorders>
              <w:top w:val="nil"/>
              <w:left w:val="nil"/>
              <w:bottom w:val="single" w:color="000000" w:sz="4" w:space="0"/>
              <w:right w:val="single" w:color="000000" w:sz="4" w:space="0"/>
            </w:tcBorders>
            <w:shd w:val="clear" w:color="auto" w:fill="auto"/>
            <w:vAlign w:val="center"/>
          </w:tcPr>
          <w:p w14:paraId="3B3C186E">
            <w:pPr>
              <w:pStyle w:val="57"/>
              <w:rPr>
                <w:rFonts w:ascii="Times New Roman" w:cs="Times New Roman"/>
              </w:rPr>
            </w:pPr>
            <w:r>
              <w:rPr>
                <w:rFonts w:ascii="Times New Roman" w:cs="Times New Roman"/>
              </w:rPr>
              <w:t>泰兴市</w:t>
            </w:r>
          </w:p>
        </w:tc>
        <w:tc>
          <w:tcPr>
            <w:tcW w:w="1211" w:type="pct"/>
            <w:tcBorders>
              <w:top w:val="nil"/>
              <w:left w:val="nil"/>
              <w:bottom w:val="single" w:color="auto" w:sz="4" w:space="0"/>
              <w:right w:val="single" w:color="auto" w:sz="4" w:space="0"/>
            </w:tcBorders>
            <w:shd w:val="clear" w:color="auto" w:fill="auto"/>
            <w:vAlign w:val="center"/>
          </w:tcPr>
          <w:p w14:paraId="3C82E4B7">
            <w:pPr>
              <w:pStyle w:val="57"/>
              <w:rPr>
                <w:rFonts w:ascii="Times New Roman" w:cs="Times New Roman"/>
              </w:rPr>
            </w:pPr>
            <w:r>
              <w:rPr>
                <w:rFonts w:ascii="Times New Roman" w:cs="Times New Roman"/>
              </w:rPr>
              <w:t>焦土港闸</w:t>
            </w:r>
          </w:p>
        </w:tc>
        <w:tc>
          <w:tcPr>
            <w:tcW w:w="947" w:type="pct"/>
            <w:tcBorders>
              <w:top w:val="nil"/>
              <w:left w:val="nil"/>
              <w:bottom w:val="single" w:color="auto" w:sz="4" w:space="0"/>
              <w:right w:val="single" w:color="auto" w:sz="4" w:space="0"/>
            </w:tcBorders>
            <w:shd w:val="clear" w:color="auto" w:fill="auto"/>
            <w:vAlign w:val="center"/>
          </w:tcPr>
          <w:p w14:paraId="3357A4AF">
            <w:pPr>
              <w:pStyle w:val="57"/>
              <w:rPr>
                <w:rFonts w:ascii="Times New Roman" w:cs="Times New Roman"/>
              </w:rPr>
            </w:pPr>
            <w:r>
              <w:rPr>
                <w:rFonts w:ascii="Times New Roman" w:cs="Times New Roman"/>
              </w:rPr>
              <w:t>港堤</w:t>
            </w:r>
          </w:p>
        </w:tc>
        <w:tc>
          <w:tcPr>
            <w:tcW w:w="1298" w:type="pct"/>
            <w:tcBorders>
              <w:top w:val="nil"/>
              <w:left w:val="nil"/>
              <w:bottom w:val="single" w:color="000000" w:sz="4" w:space="0"/>
              <w:right w:val="single" w:color="000000" w:sz="4" w:space="0"/>
            </w:tcBorders>
            <w:shd w:val="clear" w:color="auto" w:fill="auto"/>
            <w:vAlign w:val="center"/>
          </w:tcPr>
          <w:p w14:paraId="49CDAD9B">
            <w:pPr>
              <w:pStyle w:val="57"/>
              <w:rPr>
                <w:rFonts w:ascii="Times New Roman" w:cs="Times New Roman"/>
              </w:rPr>
            </w:pPr>
            <w:r>
              <w:rPr>
                <w:rFonts w:ascii="Times New Roman" w:cs="Times New Roman"/>
              </w:rPr>
              <w:t>引120，排150</w:t>
            </w:r>
          </w:p>
        </w:tc>
      </w:tr>
      <w:tr w14:paraId="7B63965A">
        <w:tblPrEx>
          <w:tblCellMar>
            <w:top w:w="0" w:type="dxa"/>
            <w:left w:w="108" w:type="dxa"/>
            <w:bottom w:w="0" w:type="dxa"/>
            <w:right w:w="108" w:type="dxa"/>
          </w:tblCellMar>
        </w:tblPrEx>
        <w:trPr>
          <w:trHeight w:val="20" w:hRule="atLeast"/>
        </w:trPr>
        <w:tc>
          <w:tcPr>
            <w:tcW w:w="509" w:type="pct"/>
            <w:tcBorders>
              <w:top w:val="nil"/>
              <w:left w:val="single" w:color="000000" w:sz="4" w:space="0"/>
              <w:bottom w:val="single" w:color="000000" w:sz="4" w:space="0"/>
              <w:right w:val="single" w:color="000000" w:sz="4" w:space="0"/>
            </w:tcBorders>
            <w:shd w:val="clear" w:color="auto" w:fill="auto"/>
            <w:vAlign w:val="center"/>
          </w:tcPr>
          <w:p w14:paraId="2C7DA887">
            <w:pPr>
              <w:pStyle w:val="57"/>
              <w:rPr>
                <w:rFonts w:ascii="Times New Roman" w:cs="Times New Roman"/>
              </w:rPr>
            </w:pPr>
            <w:r>
              <w:rPr>
                <w:rFonts w:ascii="Times New Roman" w:cs="Times New Roman"/>
              </w:rPr>
              <w:t>14</w:t>
            </w:r>
          </w:p>
        </w:tc>
        <w:tc>
          <w:tcPr>
            <w:tcW w:w="1035" w:type="pct"/>
            <w:tcBorders>
              <w:top w:val="nil"/>
              <w:left w:val="nil"/>
              <w:bottom w:val="single" w:color="000000" w:sz="4" w:space="0"/>
              <w:right w:val="single" w:color="000000" w:sz="4" w:space="0"/>
            </w:tcBorders>
            <w:shd w:val="clear" w:color="auto" w:fill="auto"/>
            <w:vAlign w:val="center"/>
          </w:tcPr>
          <w:p w14:paraId="66D590C1">
            <w:pPr>
              <w:pStyle w:val="57"/>
              <w:rPr>
                <w:rFonts w:ascii="Times New Roman" w:cs="Times New Roman"/>
              </w:rPr>
            </w:pPr>
            <w:r>
              <w:rPr>
                <w:rFonts w:ascii="Times New Roman" w:cs="Times New Roman"/>
              </w:rPr>
              <w:t>泰兴市</w:t>
            </w:r>
          </w:p>
        </w:tc>
        <w:tc>
          <w:tcPr>
            <w:tcW w:w="1211" w:type="pct"/>
            <w:tcBorders>
              <w:top w:val="nil"/>
              <w:left w:val="nil"/>
              <w:bottom w:val="single" w:color="000000" w:sz="4" w:space="0"/>
              <w:right w:val="single" w:color="000000" w:sz="4" w:space="0"/>
            </w:tcBorders>
            <w:shd w:val="clear" w:color="auto" w:fill="auto"/>
            <w:vAlign w:val="center"/>
          </w:tcPr>
          <w:p w14:paraId="0C282651">
            <w:pPr>
              <w:pStyle w:val="57"/>
              <w:rPr>
                <w:rFonts w:ascii="Times New Roman" w:cs="Times New Roman"/>
              </w:rPr>
            </w:pPr>
            <w:r>
              <w:rPr>
                <w:rFonts w:ascii="Times New Roman" w:cs="Times New Roman"/>
              </w:rPr>
              <w:t>连福闸</w:t>
            </w:r>
          </w:p>
        </w:tc>
        <w:tc>
          <w:tcPr>
            <w:tcW w:w="947" w:type="pct"/>
            <w:tcBorders>
              <w:top w:val="nil"/>
              <w:left w:val="nil"/>
              <w:bottom w:val="single" w:color="auto" w:sz="4" w:space="0"/>
              <w:right w:val="single" w:color="auto" w:sz="4" w:space="0"/>
            </w:tcBorders>
            <w:shd w:val="clear" w:color="auto" w:fill="auto"/>
            <w:vAlign w:val="center"/>
          </w:tcPr>
          <w:p w14:paraId="6925A5E0">
            <w:pPr>
              <w:pStyle w:val="57"/>
              <w:rPr>
                <w:rFonts w:ascii="Times New Roman" w:cs="Times New Roman"/>
              </w:rPr>
            </w:pPr>
            <w:r>
              <w:rPr>
                <w:rFonts w:ascii="Times New Roman" w:cs="Times New Roman"/>
              </w:rPr>
              <w:t>港堤</w:t>
            </w:r>
          </w:p>
        </w:tc>
        <w:tc>
          <w:tcPr>
            <w:tcW w:w="1298" w:type="pct"/>
            <w:tcBorders>
              <w:top w:val="nil"/>
              <w:left w:val="nil"/>
              <w:bottom w:val="single" w:color="000000" w:sz="4" w:space="0"/>
              <w:right w:val="single" w:color="000000" w:sz="4" w:space="0"/>
            </w:tcBorders>
            <w:shd w:val="clear" w:color="auto" w:fill="auto"/>
            <w:vAlign w:val="center"/>
          </w:tcPr>
          <w:p w14:paraId="7C68859E">
            <w:pPr>
              <w:pStyle w:val="57"/>
              <w:rPr>
                <w:rFonts w:ascii="Times New Roman" w:cs="Times New Roman"/>
              </w:rPr>
            </w:pPr>
            <w:r>
              <w:rPr>
                <w:rFonts w:ascii="Times New Roman" w:cs="Times New Roman"/>
              </w:rPr>
              <w:t>10</w:t>
            </w:r>
          </w:p>
        </w:tc>
      </w:tr>
      <w:tr w14:paraId="3112BBDF">
        <w:tblPrEx>
          <w:tblCellMar>
            <w:top w:w="0" w:type="dxa"/>
            <w:left w:w="108" w:type="dxa"/>
            <w:bottom w:w="0" w:type="dxa"/>
            <w:right w:w="108" w:type="dxa"/>
          </w:tblCellMar>
        </w:tblPrEx>
        <w:trPr>
          <w:trHeight w:val="20" w:hRule="atLeast"/>
        </w:trPr>
        <w:tc>
          <w:tcPr>
            <w:tcW w:w="509" w:type="pct"/>
            <w:tcBorders>
              <w:top w:val="nil"/>
              <w:left w:val="single" w:color="000000" w:sz="4" w:space="0"/>
              <w:bottom w:val="single" w:color="000000" w:sz="4" w:space="0"/>
              <w:right w:val="single" w:color="000000" w:sz="4" w:space="0"/>
            </w:tcBorders>
            <w:shd w:val="clear" w:color="auto" w:fill="auto"/>
            <w:vAlign w:val="center"/>
          </w:tcPr>
          <w:p w14:paraId="036F4BB4">
            <w:pPr>
              <w:pStyle w:val="57"/>
              <w:rPr>
                <w:rFonts w:ascii="Times New Roman" w:cs="Times New Roman"/>
              </w:rPr>
            </w:pPr>
            <w:r>
              <w:rPr>
                <w:rFonts w:ascii="Times New Roman" w:cs="Times New Roman"/>
              </w:rPr>
              <w:t>15</w:t>
            </w:r>
          </w:p>
        </w:tc>
        <w:tc>
          <w:tcPr>
            <w:tcW w:w="1035" w:type="pct"/>
            <w:tcBorders>
              <w:top w:val="nil"/>
              <w:left w:val="nil"/>
              <w:bottom w:val="single" w:color="000000" w:sz="4" w:space="0"/>
              <w:right w:val="single" w:color="000000" w:sz="4" w:space="0"/>
            </w:tcBorders>
            <w:shd w:val="clear" w:color="auto" w:fill="auto"/>
            <w:vAlign w:val="center"/>
          </w:tcPr>
          <w:p w14:paraId="3FDCD8B9">
            <w:pPr>
              <w:pStyle w:val="57"/>
              <w:rPr>
                <w:rFonts w:ascii="Times New Roman" w:cs="Times New Roman"/>
              </w:rPr>
            </w:pPr>
            <w:r>
              <w:rPr>
                <w:rFonts w:ascii="Times New Roman" w:cs="Times New Roman"/>
              </w:rPr>
              <w:t>泰兴市</w:t>
            </w:r>
          </w:p>
        </w:tc>
        <w:tc>
          <w:tcPr>
            <w:tcW w:w="1211" w:type="pct"/>
            <w:tcBorders>
              <w:top w:val="nil"/>
              <w:left w:val="nil"/>
              <w:bottom w:val="single" w:color="auto" w:sz="4" w:space="0"/>
              <w:right w:val="single" w:color="auto" w:sz="4" w:space="0"/>
            </w:tcBorders>
            <w:shd w:val="clear" w:color="auto" w:fill="auto"/>
            <w:vAlign w:val="center"/>
          </w:tcPr>
          <w:p w14:paraId="19BA0A93">
            <w:pPr>
              <w:pStyle w:val="57"/>
              <w:rPr>
                <w:rFonts w:ascii="Times New Roman" w:cs="Times New Roman"/>
              </w:rPr>
            </w:pPr>
            <w:r>
              <w:rPr>
                <w:rFonts w:ascii="Times New Roman" w:cs="Times New Roman"/>
              </w:rPr>
              <w:t>六圩闸</w:t>
            </w:r>
          </w:p>
        </w:tc>
        <w:tc>
          <w:tcPr>
            <w:tcW w:w="947" w:type="pct"/>
            <w:tcBorders>
              <w:top w:val="nil"/>
              <w:left w:val="nil"/>
              <w:bottom w:val="single" w:color="000000" w:sz="4" w:space="0"/>
              <w:right w:val="single" w:color="000000" w:sz="4" w:space="0"/>
            </w:tcBorders>
            <w:shd w:val="clear" w:color="auto" w:fill="auto"/>
            <w:vAlign w:val="center"/>
          </w:tcPr>
          <w:p w14:paraId="61371FE1">
            <w:pPr>
              <w:pStyle w:val="57"/>
              <w:rPr>
                <w:rFonts w:ascii="Times New Roman" w:cs="Times New Roman"/>
              </w:rPr>
            </w:pPr>
            <w:r>
              <w:rPr>
                <w:rFonts w:ascii="Times New Roman" w:cs="Times New Roman"/>
              </w:rPr>
              <w:t>235+300</w:t>
            </w:r>
          </w:p>
        </w:tc>
        <w:tc>
          <w:tcPr>
            <w:tcW w:w="1298" w:type="pct"/>
            <w:tcBorders>
              <w:top w:val="nil"/>
              <w:left w:val="nil"/>
              <w:bottom w:val="single" w:color="000000" w:sz="4" w:space="0"/>
              <w:right w:val="single" w:color="000000" w:sz="4" w:space="0"/>
            </w:tcBorders>
            <w:shd w:val="clear" w:color="auto" w:fill="auto"/>
            <w:vAlign w:val="center"/>
          </w:tcPr>
          <w:p w14:paraId="3C1655D6">
            <w:pPr>
              <w:pStyle w:val="57"/>
              <w:rPr>
                <w:rFonts w:ascii="Times New Roman" w:cs="Times New Roman"/>
              </w:rPr>
            </w:pPr>
            <w:r>
              <w:rPr>
                <w:rFonts w:ascii="Times New Roman" w:cs="Times New Roman"/>
              </w:rPr>
              <w:t>28</w:t>
            </w:r>
          </w:p>
        </w:tc>
      </w:tr>
      <w:tr w14:paraId="39CC310E">
        <w:tblPrEx>
          <w:tblCellMar>
            <w:top w:w="0" w:type="dxa"/>
            <w:left w:w="108" w:type="dxa"/>
            <w:bottom w:w="0" w:type="dxa"/>
            <w:right w:w="108" w:type="dxa"/>
          </w:tblCellMar>
        </w:tblPrEx>
        <w:trPr>
          <w:trHeight w:val="20" w:hRule="atLeast"/>
        </w:trPr>
        <w:tc>
          <w:tcPr>
            <w:tcW w:w="509" w:type="pct"/>
            <w:tcBorders>
              <w:top w:val="nil"/>
              <w:left w:val="single" w:color="000000" w:sz="4" w:space="0"/>
              <w:bottom w:val="single" w:color="000000" w:sz="4" w:space="0"/>
              <w:right w:val="single" w:color="000000" w:sz="4" w:space="0"/>
            </w:tcBorders>
            <w:shd w:val="clear" w:color="auto" w:fill="auto"/>
            <w:vAlign w:val="center"/>
          </w:tcPr>
          <w:p w14:paraId="6EDBABB0">
            <w:pPr>
              <w:pStyle w:val="57"/>
              <w:rPr>
                <w:rFonts w:ascii="Times New Roman" w:cs="Times New Roman"/>
              </w:rPr>
            </w:pPr>
            <w:r>
              <w:rPr>
                <w:rFonts w:ascii="Times New Roman" w:cs="Times New Roman"/>
              </w:rPr>
              <w:t>16</w:t>
            </w:r>
          </w:p>
        </w:tc>
        <w:tc>
          <w:tcPr>
            <w:tcW w:w="1035" w:type="pct"/>
            <w:tcBorders>
              <w:top w:val="nil"/>
              <w:left w:val="nil"/>
              <w:bottom w:val="single" w:color="000000" w:sz="4" w:space="0"/>
              <w:right w:val="single" w:color="000000" w:sz="4" w:space="0"/>
            </w:tcBorders>
            <w:shd w:val="clear" w:color="auto" w:fill="auto"/>
            <w:vAlign w:val="center"/>
          </w:tcPr>
          <w:p w14:paraId="71FE9890">
            <w:pPr>
              <w:pStyle w:val="57"/>
              <w:rPr>
                <w:rFonts w:ascii="Times New Roman" w:cs="Times New Roman"/>
              </w:rPr>
            </w:pPr>
            <w:r>
              <w:rPr>
                <w:rFonts w:ascii="Times New Roman" w:cs="Times New Roman"/>
              </w:rPr>
              <w:t>泰兴市</w:t>
            </w:r>
          </w:p>
        </w:tc>
        <w:tc>
          <w:tcPr>
            <w:tcW w:w="1211" w:type="pct"/>
            <w:tcBorders>
              <w:top w:val="nil"/>
              <w:left w:val="nil"/>
              <w:bottom w:val="single" w:color="auto" w:sz="4" w:space="0"/>
              <w:right w:val="single" w:color="auto" w:sz="4" w:space="0"/>
            </w:tcBorders>
            <w:shd w:val="clear" w:color="auto" w:fill="auto"/>
            <w:vAlign w:val="center"/>
          </w:tcPr>
          <w:p w14:paraId="1FB951C8">
            <w:pPr>
              <w:pStyle w:val="57"/>
              <w:rPr>
                <w:rFonts w:ascii="Times New Roman" w:cs="Times New Roman"/>
              </w:rPr>
            </w:pPr>
            <w:r>
              <w:rPr>
                <w:rFonts w:ascii="Times New Roman" w:cs="Times New Roman"/>
              </w:rPr>
              <w:t>七圩闸</w:t>
            </w:r>
          </w:p>
        </w:tc>
        <w:tc>
          <w:tcPr>
            <w:tcW w:w="947" w:type="pct"/>
            <w:tcBorders>
              <w:top w:val="nil"/>
              <w:left w:val="nil"/>
              <w:bottom w:val="single" w:color="000000" w:sz="4" w:space="0"/>
              <w:right w:val="single" w:color="000000" w:sz="4" w:space="0"/>
            </w:tcBorders>
            <w:shd w:val="clear" w:color="auto" w:fill="auto"/>
            <w:vAlign w:val="center"/>
          </w:tcPr>
          <w:p w14:paraId="017A7E57">
            <w:pPr>
              <w:pStyle w:val="57"/>
              <w:rPr>
                <w:rFonts w:ascii="Times New Roman" w:cs="Times New Roman"/>
              </w:rPr>
            </w:pPr>
            <w:r>
              <w:rPr>
                <w:rFonts w:ascii="Times New Roman" w:cs="Times New Roman"/>
              </w:rPr>
              <w:t>236+872</w:t>
            </w:r>
          </w:p>
        </w:tc>
        <w:tc>
          <w:tcPr>
            <w:tcW w:w="1298" w:type="pct"/>
            <w:tcBorders>
              <w:top w:val="nil"/>
              <w:left w:val="nil"/>
              <w:bottom w:val="single" w:color="000000" w:sz="4" w:space="0"/>
              <w:right w:val="single" w:color="000000" w:sz="4" w:space="0"/>
            </w:tcBorders>
            <w:shd w:val="clear" w:color="auto" w:fill="auto"/>
            <w:vAlign w:val="center"/>
          </w:tcPr>
          <w:p w14:paraId="04FB5591">
            <w:pPr>
              <w:pStyle w:val="57"/>
              <w:rPr>
                <w:rFonts w:ascii="Times New Roman" w:cs="Times New Roman"/>
              </w:rPr>
            </w:pPr>
            <w:r>
              <w:rPr>
                <w:rFonts w:ascii="Times New Roman" w:cs="Times New Roman"/>
              </w:rPr>
              <w:t>28</w:t>
            </w:r>
          </w:p>
        </w:tc>
      </w:tr>
      <w:tr w14:paraId="750545B3">
        <w:tblPrEx>
          <w:tblCellMar>
            <w:top w:w="0" w:type="dxa"/>
            <w:left w:w="108" w:type="dxa"/>
            <w:bottom w:w="0" w:type="dxa"/>
            <w:right w:w="108" w:type="dxa"/>
          </w:tblCellMar>
        </w:tblPrEx>
        <w:trPr>
          <w:trHeight w:val="20" w:hRule="atLeast"/>
        </w:trPr>
        <w:tc>
          <w:tcPr>
            <w:tcW w:w="509" w:type="pct"/>
            <w:tcBorders>
              <w:top w:val="nil"/>
              <w:left w:val="single" w:color="000000" w:sz="4" w:space="0"/>
              <w:bottom w:val="single" w:color="000000" w:sz="4" w:space="0"/>
              <w:right w:val="single" w:color="000000" w:sz="4" w:space="0"/>
            </w:tcBorders>
            <w:shd w:val="clear" w:color="auto" w:fill="auto"/>
            <w:vAlign w:val="center"/>
          </w:tcPr>
          <w:p w14:paraId="5051D419">
            <w:pPr>
              <w:pStyle w:val="57"/>
              <w:rPr>
                <w:rFonts w:ascii="Times New Roman" w:cs="Times New Roman"/>
              </w:rPr>
            </w:pPr>
            <w:r>
              <w:rPr>
                <w:rFonts w:ascii="Times New Roman" w:cs="Times New Roman"/>
              </w:rPr>
              <w:t>17</w:t>
            </w:r>
          </w:p>
        </w:tc>
        <w:tc>
          <w:tcPr>
            <w:tcW w:w="1035" w:type="pct"/>
            <w:tcBorders>
              <w:top w:val="nil"/>
              <w:left w:val="nil"/>
              <w:bottom w:val="single" w:color="000000" w:sz="4" w:space="0"/>
              <w:right w:val="single" w:color="000000" w:sz="4" w:space="0"/>
            </w:tcBorders>
            <w:shd w:val="clear" w:color="auto" w:fill="auto"/>
            <w:vAlign w:val="center"/>
          </w:tcPr>
          <w:p w14:paraId="5C5506A6">
            <w:pPr>
              <w:pStyle w:val="57"/>
              <w:rPr>
                <w:rFonts w:ascii="Times New Roman" w:cs="Times New Roman"/>
              </w:rPr>
            </w:pPr>
            <w:r>
              <w:rPr>
                <w:rFonts w:ascii="Times New Roman" w:cs="Times New Roman"/>
              </w:rPr>
              <w:t>泰兴市</w:t>
            </w:r>
          </w:p>
        </w:tc>
        <w:tc>
          <w:tcPr>
            <w:tcW w:w="1211" w:type="pct"/>
            <w:tcBorders>
              <w:top w:val="nil"/>
              <w:left w:val="nil"/>
              <w:bottom w:val="single" w:color="auto" w:sz="4" w:space="0"/>
              <w:right w:val="single" w:color="auto" w:sz="4" w:space="0"/>
            </w:tcBorders>
            <w:shd w:val="clear" w:color="auto" w:fill="auto"/>
            <w:vAlign w:val="center"/>
          </w:tcPr>
          <w:p w14:paraId="1665C340">
            <w:pPr>
              <w:pStyle w:val="57"/>
              <w:rPr>
                <w:rFonts w:ascii="Times New Roman" w:cs="Times New Roman"/>
              </w:rPr>
            </w:pPr>
            <w:r>
              <w:rPr>
                <w:rFonts w:ascii="Times New Roman" w:cs="Times New Roman"/>
              </w:rPr>
              <w:t>九圩闸</w:t>
            </w:r>
          </w:p>
        </w:tc>
        <w:tc>
          <w:tcPr>
            <w:tcW w:w="947" w:type="pct"/>
            <w:tcBorders>
              <w:top w:val="nil"/>
              <w:left w:val="nil"/>
              <w:bottom w:val="single" w:color="000000" w:sz="4" w:space="0"/>
              <w:right w:val="single" w:color="000000" w:sz="4" w:space="0"/>
            </w:tcBorders>
            <w:shd w:val="clear" w:color="auto" w:fill="auto"/>
            <w:vAlign w:val="center"/>
          </w:tcPr>
          <w:p w14:paraId="6C4F8E5A">
            <w:pPr>
              <w:pStyle w:val="57"/>
              <w:rPr>
                <w:rFonts w:ascii="Times New Roman" w:cs="Times New Roman"/>
              </w:rPr>
            </w:pPr>
            <w:r>
              <w:rPr>
                <w:rFonts w:ascii="Times New Roman" w:cs="Times New Roman"/>
              </w:rPr>
              <w:t>238+595</w:t>
            </w:r>
          </w:p>
        </w:tc>
        <w:tc>
          <w:tcPr>
            <w:tcW w:w="1298" w:type="pct"/>
            <w:tcBorders>
              <w:top w:val="nil"/>
              <w:left w:val="nil"/>
              <w:bottom w:val="single" w:color="000000" w:sz="4" w:space="0"/>
              <w:right w:val="single" w:color="000000" w:sz="4" w:space="0"/>
            </w:tcBorders>
            <w:shd w:val="clear" w:color="auto" w:fill="auto"/>
            <w:vAlign w:val="center"/>
          </w:tcPr>
          <w:p w14:paraId="2579B1E4">
            <w:pPr>
              <w:pStyle w:val="57"/>
              <w:rPr>
                <w:rFonts w:ascii="Times New Roman" w:cs="Times New Roman"/>
              </w:rPr>
            </w:pPr>
            <w:r>
              <w:rPr>
                <w:rFonts w:ascii="Times New Roman" w:cs="Times New Roman"/>
              </w:rPr>
              <w:t>10</w:t>
            </w:r>
          </w:p>
        </w:tc>
      </w:tr>
      <w:tr w14:paraId="10B425AA">
        <w:tblPrEx>
          <w:tblCellMar>
            <w:top w:w="0" w:type="dxa"/>
            <w:left w:w="108" w:type="dxa"/>
            <w:bottom w:w="0" w:type="dxa"/>
            <w:right w:w="108" w:type="dxa"/>
          </w:tblCellMar>
        </w:tblPrEx>
        <w:trPr>
          <w:trHeight w:val="20" w:hRule="atLeast"/>
        </w:trPr>
        <w:tc>
          <w:tcPr>
            <w:tcW w:w="509" w:type="pct"/>
            <w:tcBorders>
              <w:top w:val="nil"/>
              <w:left w:val="single" w:color="000000" w:sz="4" w:space="0"/>
              <w:bottom w:val="single" w:color="000000" w:sz="4" w:space="0"/>
              <w:right w:val="single" w:color="000000" w:sz="4" w:space="0"/>
            </w:tcBorders>
            <w:shd w:val="clear" w:color="auto" w:fill="auto"/>
            <w:vAlign w:val="center"/>
          </w:tcPr>
          <w:p w14:paraId="12ED590A">
            <w:pPr>
              <w:pStyle w:val="57"/>
              <w:rPr>
                <w:rFonts w:ascii="Times New Roman" w:cs="Times New Roman"/>
              </w:rPr>
            </w:pPr>
            <w:r>
              <w:rPr>
                <w:rFonts w:ascii="Times New Roman" w:cs="Times New Roman"/>
              </w:rPr>
              <w:t>18</w:t>
            </w:r>
          </w:p>
        </w:tc>
        <w:tc>
          <w:tcPr>
            <w:tcW w:w="1035" w:type="pct"/>
            <w:tcBorders>
              <w:top w:val="nil"/>
              <w:left w:val="nil"/>
              <w:bottom w:val="single" w:color="000000" w:sz="4" w:space="0"/>
              <w:right w:val="single" w:color="000000" w:sz="4" w:space="0"/>
            </w:tcBorders>
            <w:shd w:val="clear" w:color="auto" w:fill="auto"/>
            <w:vAlign w:val="center"/>
          </w:tcPr>
          <w:p w14:paraId="2F2E33CD">
            <w:pPr>
              <w:pStyle w:val="57"/>
              <w:rPr>
                <w:rFonts w:ascii="Times New Roman" w:cs="Times New Roman"/>
              </w:rPr>
            </w:pPr>
            <w:r>
              <w:rPr>
                <w:rFonts w:ascii="Times New Roman" w:cs="Times New Roman"/>
              </w:rPr>
              <w:t>泰兴市</w:t>
            </w:r>
          </w:p>
        </w:tc>
        <w:tc>
          <w:tcPr>
            <w:tcW w:w="1211" w:type="pct"/>
            <w:tcBorders>
              <w:top w:val="nil"/>
              <w:left w:val="nil"/>
              <w:bottom w:val="single" w:color="auto" w:sz="4" w:space="0"/>
              <w:right w:val="single" w:color="auto" w:sz="4" w:space="0"/>
            </w:tcBorders>
            <w:shd w:val="clear" w:color="auto" w:fill="auto"/>
            <w:vAlign w:val="center"/>
          </w:tcPr>
          <w:p w14:paraId="18646C17">
            <w:pPr>
              <w:pStyle w:val="57"/>
              <w:rPr>
                <w:rFonts w:ascii="Times New Roman" w:cs="Times New Roman"/>
              </w:rPr>
            </w:pPr>
            <w:r>
              <w:rPr>
                <w:rFonts w:ascii="Times New Roman" w:cs="Times New Roman"/>
              </w:rPr>
              <w:t>靖泰界河闸</w:t>
            </w:r>
          </w:p>
        </w:tc>
        <w:tc>
          <w:tcPr>
            <w:tcW w:w="947" w:type="pct"/>
            <w:tcBorders>
              <w:top w:val="nil"/>
              <w:left w:val="nil"/>
              <w:bottom w:val="single" w:color="000000" w:sz="4" w:space="0"/>
              <w:right w:val="single" w:color="000000" w:sz="4" w:space="0"/>
            </w:tcBorders>
            <w:shd w:val="clear" w:color="auto" w:fill="auto"/>
            <w:vAlign w:val="center"/>
          </w:tcPr>
          <w:p w14:paraId="19F1DDC8">
            <w:pPr>
              <w:pStyle w:val="57"/>
              <w:rPr>
                <w:rFonts w:ascii="Times New Roman" w:cs="Times New Roman"/>
              </w:rPr>
            </w:pPr>
            <w:r>
              <w:rPr>
                <w:rFonts w:ascii="Times New Roman" w:cs="Times New Roman"/>
              </w:rPr>
              <w:t>240+155</w:t>
            </w:r>
          </w:p>
        </w:tc>
        <w:tc>
          <w:tcPr>
            <w:tcW w:w="1298" w:type="pct"/>
            <w:tcBorders>
              <w:top w:val="nil"/>
              <w:left w:val="nil"/>
              <w:bottom w:val="single" w:color="000000" w:sz="4" w:space="0"/>
              <w:right w:val="single" w:color="000000" w:sz="4" w:space="0"/>
            </w:tcBorders>
            <w:shd w:val="clear" w:color="auto" w:fill="auto"/>
            <w:vAlign w:val="center"/>
          </w:tcPr>
          <w:p w14:paraId="1267892B">
            <w:pPr>
              <w:pStyle w:val="57"/>
              <w:rPr>
                <w:rFonts w:ascii="Times New Roman" w:cs="Times New Roman"/>
              </w:rPr>
            </w:pPr>
            <w:r>
              <w:rPr>
                <w:rFonts w:ascii="Times New Roman" w:cs="Times New Roman"/>
              </w:rPr>
              <w:t>66</w:t>
            </w:r>
          </w:p>
        </w:tc>
      </w:tr>
      <w:tr w14:paraId="75184DE0">
        <w:tblPrEx>
          <w:tblCellMar>
            <w:top w:w="0" w:type="dxa"/>
            <w:left w:w="108" w:type="dxa"/>
            <w:bottom w:w="0" w:type="dxa"/>
            <w:right w:w="108" w:type="dxa"/>
          </w:tblCellMar>
        </w:tblPrEx>
        <w:trPr>
          <w:trHeight w:val="20" w:hRule="atLeast"/>
        </w:trPr>
        <w:tc>
          <w:tcPr>
            <w:tcW w:w="509" w:type="pct"/>
            <w:tcBorders>
              <w:top w:val="nil"/>
              <w:left w:val="single" w:color="000000" w:sz="4" w:space="0"/>
              <w:bottom w:val="single" w:color="000000" w:sz="4" w:space="0"/>
              <w:right w:val="single" w:color="000000" w:sz="4" w:space="0"/>
            </w:tcBorders>
            <w:shd w:val="clear" w:color="auto" w:fill="auto"/>
            <w:vAlign w:val="center"/>
          </w:tcPr>
          <w:p w14:paraId="316B4B12">
            <w:pPr>
              <w:pStyle w:val="57"/>
              <w:rPr>
                <w:rFonts w:ascii="Times New Roman" w:cs="Times New Roman"/>
              </w:rPr>
            </w:pPr>
            <w:r>
              <w:rPr>
                <w:rFonts w:ascii="Times New Roman" w:cs="Times New Roman"/>
              </w:rPr>
              <w:t>19</w:t>
            </w:r>
          </w:p>
        </w:tc>
        <w:tc>
          <w:tcPr>
            <w:tcW w:w="1035" w:type="pct"/>
            <w:tcBorders>
              <w:top w:val="nil"/>
              <w:left w:val="nil"/>
              <w:bottom w:val="single" w:color="000000" w:sz="4" w:space="0"/>
              <w:right w:val="single" w:color="000000" w:sz="4" w:space="0"/>
            </w:tcBorders>
            <w:shd w:val="clear" w:color="auto" w:fill="auto"/>
            <w:vAlign w:val="center"/>
          </w:tcPr>
          <w:p w14:paraId="1859E67B">
            <w:pPr>
              <w:pStyle w:val="57"/>
              <w:rPr>
                <w:rFonts w:ascii="Times New Roman" w:cs="Times New Roman"/>
              </w:rPr>
            </w:pPr>
            <w:r>
              <w:rPr>
                <w:rFonts w:ascii="Times New Roman" w:cs="Times New Roman"/>
              </w:rPr>
              <w:t>泰兴市</w:t>
            </w:r>
          </w:p>
        </w:tc>
        <w:tc>
          <w:tcPr>
            <w:tcW w:w="1211" w:type="pct"/>
            <w:tcBorders>
              <w:top w:val="nil"/>
              <w:left w:val="nil"/>
              <w:bottom w:val="single" w:color="auto" w:sz="4" w:space="0"/>
              <w:right w:val="single" w:color="auto" w:sz="4" w:space="0"/>
            </w:tcBorders>
            <w:shd w:val="clear" w:color="auto" w:fill="auto"/>
            <w:vAlign w:val="center"/>
          </w:tcPr>
          <w:p w14:paraId="7BCC408B">
            <w:pPr>
              <w:pStyle w:val="57"/>
              <w:rPr>
                <w:rFonts w:ascii="Times New Roman" w:cs="Times New Roman"/>
              </w:rPr>
            </w:pPr>
            <w:r>
              <w:rPr>
                <w:rFonts w:ascii="Times New Roman" w:cs="Times New Roman"/>
              </w:rPr>
              <w:t>马甸节制闸</w:t>
            </w:r>
          </w:p>
        </w:tc>
        <w:tc>
          <w:tcPr>
            <w:tcW w:w="947" w:type="pct"/>
            <w:tcBorders>
              <w:top w:val="nil"/>
              <w:left w:val="nil"/>
              <w:bottom w:val="single" w:color="000000" w:sz="4" w:space="0"/>
              <w:right w:val="single" w:color="000000" w:sz="4" w:space="0"/>
            </w:tcBorders>
            <w:shd w:val="clear" w:color="auto" w:fill="auto"/>
            <w:vAlign w:val="center"/>
          </w:tcPr>
          <w:p w14:paraId="543AA00A">
            <w:pPr>
              <w:pStyle w:val="57"/>
              <w:rPr>
                <w:rFonts w:ascii="Times New Roman" w:cs="Times New Roman"/>
              </w:rPr>
            </w:pPr>
            <w:r>
              <w:rPr>
                <w:rFonts w:ascii="Times New Roman" w:cs="Times New Roman"/>
              </w:rPr>
              <w:t>港堤</w:t>
            </w:r>
          </w:p>
        </w:tc>
        <w:tc>
          <w:tcPr>
            <w:tcW w:w="1298" w:type="pct"/>
            <w:tcBorders>
              <w:top w:val="nil"/>
              <w:left w:val="nil"/>
              <w:bottom w:val="single" w:color="000000" w:sz="4" w:space="0"/>
              <w:right w:val="single" w:color="000000" w:sz="4" w:space="0"/>
            </w:tcBorders>
            <w:shd w:val="clear" w:color="auto" w:fill="auto"/>
            <w:vAlign w:val="center"/>
          </w:tcPr>
          <w:p w14:paraId="04EDFEFB">
            <w:pPr>
              <w:pStyle w:val="57"/>
              <w:rPr>
                <w:rFonts w:ascii="Times New Roman" w:cs="Times New Roman"/>
              </w:rPr>
            </w:pPr>
            <w:r>
              <w:rPr>
                <w:rFonts w:ascii="Times New Roman" w:cs="Times New Roman"/>
              </w:rPr>
              <w:t>引90，排180</w:t>
            </w:r>
          </w:p>
        </w:tc>
      </w:tr>
      <w:tr w14:paraId="7DCF98AD">
        <w:tblPrEx>
          <w:tblCellMar>
            <w:top w:w="0" w:type="dxa"/>
            <w:left w:w="108" w:type="dxa"/>
            <w:bottom w:w="0" w:type="dxa"/>
            <w:right w:w="108" w:type="dxa"/>
          </w:tblCellMar>
        </w:tblPrEx>
        <w:trPr>
          <w:trHeight w:val="20" w:hRule="atLeast"/>
        </w:trPr>
        <w:tc>
          <w:tcPr>
            <w:tcW w:w="509" w:type="pct"/>
            <w:tcBorders>
              <w:top w:val="nil"/>
              <w:left w:val="single" w:color="000000" w:sz="4" w:space="0"/>
              <w:bottom w:val="single" w:color="000000" w:sz="4" w:space="0"/>
              <w:right w:val="single" w:color="000000" w:sz="4" w:space="0"/>
            </w:tcBorders>
            <w:shd w:val="clear" w:color="auto" w:fill="auto"/>
            <w:vAlign w:val="center"/>
          </w:tcPr>
          <w:p w14:paraId="08311683">
            <w:pPr>
              <w:pStyle w:val="57"/>
              <w:rPr>
                <w:rFonts w:ascii="Times New Roman" w:cs="Times New Roman"/>
              </w:rPr>
            </w:pPr>
            <w:r>
              <w:rPr>
                <w:rFonts w:ascii="Times New Roman" w:cs="Times New Roman"/>
              </w:rPr>
              <w:t>20</w:t>
            </w:r>
          </w:p>
        </w:tc>
        <w:tc>
          <w:tcPr>
            <w:tcW w:w="1035" w:type="pct"/>
            <w:tcBorders>
              <w:top w:val="nil"/>
              <w:left w:val="nil"/>
              <w:bottom w:val="single" w:color="000000" w:sz="4" w:space="0"/>
              <w:right w:val="single" w:color="000000" w:sz="4" w:space="0"/>
            </w:tcBorders>
            <w:shd w:val="clear" w:color="auto" w:fill="auto"/>
            <w:vAlign w:val="center"/>
          </w:tcPr>
          <w:p w14:paraId="163D4B62">
            <w:pPr>
              <w:pStyle w:val="57"/>
              <w:rPr>
                <w:rFonts w:ascii="Times New Roman" w:cs="Times New Roman"/>
              </w:rPr>
            </w:pPr>
            <w:r>
              <w:rPr>
                <w:rFonts w:ascii="Times New Roman" w:cs="Times New Roman"/>
              </w:rPr>
              <w:t>靖江市</w:t>
            </w:r>
          </w:p>
        </w:tc>
        <w:tc>
          <w:tcPr>
            <w:tcW w:w="1211" w:type="pct"/>
            <w:tcBorders>
              <w:top w:val="nil"/>
              <w:left w:val="nil"/>
              <w:bottom w:val="single" w:color="000000" w:sz="4" w:space="0"/>
              <w:right w:val="single" w:color="000000" w:sz="4" w:space="0"/>
            </w:tcBorders>
            <w:shd w:val="clear" w:color="auto" w:fill="auto"/>
            <w:vAlign w:val="center"/>
          </w:tcPr>
          <w:p w14:paraId="6E11F77E">
            <w:pPr>
              <w:pStyle w:val="57"/>
              <w:rPr>
                <w:rFonts w:ascii="Times New Roman" w:cs="Times New Roman"/>
              </w:rPr>
            </w:pPr>
            <w:r>
              <w:rPr>
                <w:rFonts w:ascii="Times New Roman" w:cs="Times New Roman"/>
              </w:rPr>
              <w:t>大掘港闸</w:t>
            </w:r>
          </w:p>
        </w:tc>
        <w:tc>
          <w:tcPr>
            <w:tcW w:w="947" w:type="pct"/>
            <w:tcBorders>
              <w:top w:val="nil"/>
              <w:left w:val="nil"/>
              <w:bottom w:val="single" w:color="000000" w:sz="4" w:space="0"/>
              <w:right w:val="single" w:color="000000" w:sz="4" w:space="0"/>
            </w:tcBorders>
            <w:shd w:val="clear" w:color="auto" w:fill="auto"/>
            <w:vAlign w:val="center"/>
          </w:tcPr>
          <w:p w14:paraId="2E7BBC22">
            <w:pPr>
              <w:pStyle w:val="57"/>
              <w:rPr>
                <w:rFonts w:ascii="Times New Roman" w:cs="Times New Roman"/>
              </w:rPr>
            </w:pPr>
            <w:r>
              <w:rPr>
                <w:rFonts w:ascii="Times New Roman" w:cs="Times New Roman"/>
              </w:rPr>
              <w:t>241+642</w:t>
            </w:r>
          </w:p>
        </w:tc>
        <w:tc>
          <w:tcPr>
            <w:tcW w:w="1298" w:type="pct"/>
            <w:tcBorders>
              <w:top w:val="nil"/>
              <w:left w:val="nil"/>
              <w:bottom w:val="single" w:color="000000" w:sz="4" w:space="0"/>
              <w:right w:val="single" w:color="000000" w:sz="4" w:space="0"/>
            </w:tcBorders>
            <w:shd w:val="clear" w:color="auto" w:fill="auto"/>
            <w:vAlign w:val="center"/>
          </w:tcPr>
          <w:p w14:paraId="658E02BD">
            <w:pPr>
              <w:pStyle w:val="57"/>
              <w:rPr>
                <w:rFonts w:ascii="Times New Roman" w:cs="Times New Roman"/>
              </w:rPr>
            </w:pPr>
            <w:r>
              <w:rPr>
                <w:rFonts w:ascii="Times New Roman" w:cs="Times New Roman"/>
              </w:rPr>
              <w:t>23</w:t>
            </w:r>
          </w:p>
        </w:tc>
      </w:tr>
      <w:tr w14:paraId="35FE7DC0">
        <w:tblPrEx>
          <w:tblCellMar>
            <w:top w:w="0" w:type="dxa"/>
            <w:left w:w="108" w:type="dxa"/>
            <w:bottom w:w="0" w:type="dxa"/>
            <w:right w:w="108" w:type="dxa"/>
          </w:tblCellMar>
        </w:tblPrEx>
        <w:trPr>
          <w:trHeight w:val="20" w:hRule="atLeast"/>
        </w:trPr>
        <w:tc>
          <w:tcPr>
            <w:tcW w:w="509" w:type="pct"/>
            <w:tcBorders>
              <w:top w:val="nil"/>
              <w:left w:val="single" w:color="000000" w:sz="4" w:space="0"/>
              <w:bottom w:val="single" w:color="000000" w:sz="4" w:space="0"/>
              <w:right w:val="single" w:color="000000" w:sz="4" w:space="0"/>
            </w:tcBorders>
            <w:shd w:val="clear" w:color="auto" w:fill="auto"/>
            <w:vAlign w:val="center"/>
          </w:tcPr>
          <w:p w14:paraId="3CA90B70">
            <w:pPr>
              <w:pStyle w:val="57"/>
              <w:rPr>
                <w:rFonts w:ascii="Times New Roman" w:cs="Times New Roman"/>
              </w:rPr>
            </w:pPr>
            <w:r>
              <w:rPr>
                <w:rFonts w:ascii="Times New Roman" w:cs="Times New Roman"/>
              </w:rPr>
              <w:t>21</w:t>
            </w:r>
          </w:p>
        </w:tc>
        <w:tc>
          <w:tcPr>
            <w:tcW w:w="1035" w:type="pct"/>
            <w:tcBorders>
              <w:top w:val="nil"/>
              <w:left w:val="nil"/>
              <w:bottom w:val="single" w:color="000000" w:sz="4" w:space="0"/>
              <w:right w:val="single" w:color="000000" w:sz="4" w:space="0"/>
            </w:tcBorders>
            <w:shd w:val="clear" w:color="auto" w:fill="auto"/>
            <w:vAlign w:val="center"/>
          </w:tcPr>
          <w:p w14:paraId="5B20BA3E">
            <w:pPr>
              <w:pStyle w:val="57"/>
              <w:rPr>
                <w:rFonts w:ascii="Times New Roman" w:cs="Times New Roman"/>
              </w:rPr>
            </w:pPr>
            <w:r>
              <w:rPr>
                <w:rFonts w:ascii="Times New Roman" w:cs="Times New Roman"/>
              </w:rPr>
              <w:t>靖江市</w:t>
            </w:r>
          </w:p>
        </w:tc>
        <w:tc>
          <w:tcPr>
            <w:tcW w:w="1211" w:type="pct"/>
            <w:tcBorders>
              <w:top w:val="nil"/>
              <w:left w:val="nil"/>
              <w:bottom w:val="single" w:color="000000" w:sz="4" w:space="0"/>
              <w:right w:val="single" w:color="000000" w:sz="4" w:space="0"/>
            </w:tcBorders>
            <w:shd w:val="clear" w:color="auto" w:fill="auto"/>
            <w:vAlign w:val="center"/>
          </w:tcPr>
          <w:p w14:paraId="23659D32">
            <w:pPr>
              <w:pStyle w:val="57"/>
              <w:rPr>
                <w:rFonts w:ascii="Times New Roman" w:cs="Times New Roman"/>
              </w:rPr>
            </w:pPr>
            <w:r>
              <w:rPr>
                <w:rFonts w:ascii="Times New Roman" w:cs="Times New Roman"/>
              </w:rPr>
              <w:t>联兴港闸</w:t>
            </w:r>
          </w:p>
        </w:tc>
        <w:tc>
          <w:tcPr>
            <w:tcW w:w="947" w:type="pct"/>
            <w:tcBorders>
              <w:top w:val="nil"/>
              <w:left w:val="nil"/>
              <w:bottom w:val="single" w:color="000000" w:sz="4" w:space="0"/>
              <w:right w:val="single" w:color="000000" w:sz="4" w:space="0"/>
            </w:tcBorders>
            <w:shd w:val="clear" w:color="auto" w:fill="auto"/>
            <w:vAlign w:val="center"/>
          </w:tcPr>
          <w:p w14:paraId="29B453F2">
            <w:pPr>
              <w:pStyle w:val="57"/>
              <w:rPr>
                <w:rFonts w:ascii="Times New Roman" w:cs="Times New Roman"/>
              </w:rPr>
            </w:pPr>
            <w:r>
              <w:rPr>
                <w:rFonts w:ascii="Times New Roman" w:cs="Times New Roman"/>
              </w:rPr>
              <w:t>242+659</w:t>
            </w:r>
          </w:p>
        </w:tc>
        <w:tc>
          <w:tcPr>
            <w:tcW w:w="1298" w:type="pct"/>
            <w:tcBorders>
              <w:top w:val="nil"/>
              <w:left w:val="nil"/>
              <w:bottom w:val="single" w:color="000000" w:sz="4" w:space="0"/>
              <w:right w:val="single" w:color="000000" w:sz="4" w:space="0"/>
            </w:tcBorders>
            <w:shd w:val="clear" w:color="auto" w:fill="auto"/>
            <w:vAlign w:val="center"/>
          </w:tcPr>
          <w:p w14:paraId="0C2F4EAD">
            <w:pPr>
              <w:pStyle w:val="57"/>
              <w:rPr>
                <w:rFonts w:ascii="Times New Roman" w:cs="Times New Roman"/>
              </w:rPr>
            </w:pPr>
            <w:r>
              <w:rPr>
                <w:rFonts w:ascii="Times New Roman" w:cs="Times New Roman"/>
              </w:rPr>
              <w:t>19.7</w:t>
            </w:r>
          </w:p>
        </w:tc>
      </w:tr>
      <w:tr w14:paraId="48FF9E8D">
        <w:tblPrEx>
          <w:tblCellMar>
            <w:top w:w="0" w:type="dxa"/>
            <w:left w:w="108" w:type="dxa"/>
            <w:bottom w:w="0" w:type="dxa"/>
            <w:right w:w="108" w:type="dxa"/>
          </w:tblCellMar>
        </w:tblPrEx>
        <w:trPr>
          <w:trHeight w:val="20" w:hRule="atLeast"/>
        </w:trPr>
        <w:tc>
          <w:tcPr>
            <w:tcW w:w="509" w:type="pct"/>
            <w:tcBorders>
              <w:top w:val="nil"/>
              <w:left w:val="single" w:color="000000" w:sz="4" w:space="0"/>
              <w:bottom w:val="single" w:color="000000" w:sz="4" w:space="0"/>
              <w:right w:val="single" w:color="000000" w:sz="4" w:space="0"/>
            </w:tcBorders>
            <w:shd w:val="clear" w:color="auto" w:fill="auto"/>
            <w:vAlign w:val="center"/>
          </w:tcPr>
          <w:p w14:paraId="10CF2C53">
            <w:pPr>
              <w:pStyle w:val="57"/>
              <w:rPr>
                <w:rFonts w:ascii="Times New Roman" w:cs="Times New Roman"/>
              </w:rPr>
            </w:pPr>
            <w:r>
              <w:rPr>
                <w:rFonts w:ascii="Times New Roman" w:cs="Times New Roman"/>
              </w:rPr>
              <w:t>22</w:t>
            </w:r>
          </w:p>
        </w:tc>
        <w:tc>
          <w:tcPr>
            <w:tcW w:w="1035" w:type="pct"/>
            <w:tcBorders>
              <w:top w:val="nil"/>
              <w:left w:val="nil"/>
              <w:bottom w:val="single" w:color="000000" w:sz="4" w:space="0"/>
              <w:right w:val="single" w:color="000000" w:sz="4" w:space="0"/>
            </w:tcBorders>
            <w:shd w:val="clear" w:color="auto" w:fill="auto"/>
            <w:vAlign w:val="center"/>
          </w:tcPr>
          <w:p w14:paraId="12F2E6F0">
            <w:pPr>
              <w:pStyle w:val="57"/>
              <w:rPr>
                <w:rFonts w:ascii="Times New Roman" w:cs="Times New Roman"/>
              </w:rPr>
            </w:pPr>
            <w:r>
              <w:rPr>
                <w:rFonts w:ascii="Times New Roman" w:cs="Times New Roman"/>
              </w:rPr>
              <w:t>靖江市</w:t>
            </w:r>
          </w:p>
        </w:tc>
        <w:tc>
          <w:tcPr>
            <w:tcW w:w="1211" w:type="pct"/>
            <w:tcBorders>
              <w:top w:val="nil"/>
              <w:left w:val="nil"/>
              <w:bottom w:val="single" w:color="000000" w:sz="4" w:space="0"/>
              <w:right w:val="single" w:color="000000" w:sz="4" w:space="0"/>
            </w:tcBorders>
            <w:shd w:val="clear" w:color="auto" w:fill="auto"/>
            <w:vAlign w:val="center"/>
          </w:tcPr>
          <w:p w14:paraId="4BC78AD9">
            <w:pPr>
              <w:pStyle w:val="57"/>
              <w:rPr>
                <w:rFonts w:ascii="Times New Roman" w:cs="Times New Roman"/>
              </w:rPr>
            </w:pPr>
            <w:r>
              <w:rPr>
                <w:rFonts w:ascii="Times New Roman" w:cs="Times New Roman"/>
              </w:rPr>
              <w:t>上青龙港闸</w:t>
            </w:r>
          </w:p>
        </w:tc>
        <w:tc>
          <w:tcPr>
            <w:tcW w:w="947" w:type="pct"/>
            <w:tcBorders>
              <w:top w:val="nil"/>
              <w:left w:val="nil"/>
              <w:bottom w:val="single" w:color="000000" w:sz="4" w:space="0"/>
              <w:right w:val="single" w:color="000000" w:sz="4" w:space="0"/>
            </w:tcBorders>
            <w:shd w:val="clear" w:color="auto" w:fill="auto"/>
            <w:vAlign w:val="center"/>
          </w:tcPr>
          <w:p w14:paraId="015DC49A">
            <w:pPr>
              <w:pStyle w:val="57"/>
              <w:rPr>
                <w:rFonts w:ascii="Times New Roman" w:cs="Times New Roman"/>
              </w:rPr>
            </w:pPr>
            <w:r>
              <w:rPr>
                <w:rFonts w:ascii="Times New Roman" w:cs="Times New Roman"/>
              </w:rPr>
              <w:t>243+883</w:t>
            </w:r>
          </w:p>
        </w:tc>
        <w:tc>
          <w:tcPr>
            <w:tcW w:w="1298" w:type="pct"/>
            <w:tcBorders>
              <w:top w:val="nil"/>
              <w:left w:val="nil"/>
              <w:bottom w:val="single" w:color="000000" w:sz="4" w:space="0"/>
              <w:right w:val="single" w:color="000000" w:sz="4" w:space="0"/>
            </w:tcBorders>
            <w:shd w:val="clear" w:color="auto" w:fill="auto"/>
            <w:vAlign w:val="center"/>
          </w:tcPr>
          <w:p w14:paraId="0B6EEF73">
            <w:pPr>
              <w:pStyle w:val="57"/>
              <w:rPr>
                <w:rFonts w:ascii="Times New Roman" w:cs="Times New Roman"/>
              </w:rPr>
            </w:pPr>
            <w:r>
              <w:rPr>
                <w:rFonts w:ascii="Times New Roman" w:cs="Times New Roman"/>
              </w:rPr>
              <w:t>40</w:t>
            </w:r>
          </w:p>
        </w:tc>
      </w:tr>
      <w:tr w14:paraId="25DD3B51">
        <w:tblPrEx>
          <w:tblCellMar>
            <w:top w:w="0" w:type="dxa"/>
            <w:left w:w="108" w:type="dxa"/>
            <w:bottom w:w="0" w:type="dxa"/>
            <w:right w:w="108" w:type="dxa"/>
          </w:tblCellMar>
        </w:tblPrEx>
        <w:trPr>
          <w:trHeight w:val="20" w:hRule="atLeast"/>
        </w:trPr>
        <w:tc>
          <w:tcPr>
            <w:tcW w:w="509" w:type="pct"/>
            <w:tcBorders>
              <w:top w:val="nil"/>
              <w:left w:val="single" w:color="000000" w:sz="4" w:space="0"/>
              <w:bottom w:val="single" w:color="000000" w:sz="4" w:space="0"/>
              <w:right w:val="single" w:color="000000" w:sz="4" w:space="0"/>
            </w:tcBorders>
            <w:shd w:val="clear" w:color="auto" w:fill="auto"/>
            <w:vAlign w:val="center"/>
          </w:tcPr>
          <w:p w14:paraId="4C03323D">
            <w:pPr>
              <w:pStyle w:val="57"/>
              <w:rPr>
                <w:rFonts w:ascii="Times New Roman" w:cs="Times New Roman"/>
              </w:rPr>
            </w:pPr>
            <w:r>
              <w:rPr>
                <w:rFonts w:ascii="Times New Roman" w:cs="Times New Roman"/>
              </w:rPr>
              <w:t>23</w:t>
            </w:r>
          </w:p>
        </w:tc>
        <w:tc>
          <w:tcPr>
            <w:tcW w:w="1035" w:type="pct"/>
            <w:tcBorders>
              <w:top w:val="nil"/>
              <w:left w:val="nil"/>
              <w:bottom w:val="single" w:color="000000" w:sz="4" w:space="0"/>
              <w:right w:val="single" w:color="000000" w:sz="4" w:space="0"/>
            </w:tcBorders>
            <w:shd w:val="clear" w:color="auto" w:fill="auto"/>
            <w:vAlign w:val="center"/>
          </w:tcPr>
          <w:p w14:paraId="3378AB0E">
            <w:pPr>
              <w:pStyle w:val="57"/>
              <w:rPr>
                <w:rFonts w:ascii="Times New Roman" w:cs="Times New Roman"/>
              </w:rPr>
            </w:pPr>
            <w:r>
              <w:rPr>
                <w:rFonts w:ascii="Times New Roman" w:cs="Times New Roman"/>
              </w:rPr>
              <w:t>靖江市</w:t>
            </w:r>
          </w:p>
        </w:tc>
        <w:tc>
          <w:tcPr>
            <w:tcW w:w="1211" w:type="pct"/>
            <w:tcBorders>
              <w:top w:val="nil"/>
              <w:left w:val="nil"/>
              <w:bottom w:val="single" w:color="000000" w:sz="4" w:space="0"/>
              <w:right w:val="single" w:color="000000" w:sz="4" w:space="0"/>
            </w:tcBorders>
            <w:shd w:val="clear" w:color="auto" w:fill="auto"/>
            <w:vAlign w:val="center"/>
          </w:tcPr>
          <w:p w14:paraId="1300255A">
            <w:pPr>
              <w:pStyle w:val="57"/>
              <w:rPr>
                <w:rFonts w:ascii="Times New Roman" w:cs="Times New Roman"/>
              </w:rPr>
            </w:pPr>
            <w:r>
              <w:rPr>
                <w:rFonts w:ascii="Times New Roman" w:cs="Times New Roman"/>
              </w:rPr>
              <w:t>合兴港闸</w:t>
            </w:r>
          </w:p>
        </w:tc>
        <w:tc>
          <w:tcPr>
            <w:tcW w:w="947" w:type="pct"/>
            <w:tcBorders>
              <w:top w:val="nil"/>
              <w:left w:val="nil"/>
              <w:bottom w:val="single" w:color="000000" w:sz="4" w:space="0"/>
              <w:right w:val="single" w:color="000000" w:sz="4" w:space="0"/>
            </w:tcBorders>
            <w:shd w:val="clear" w:color="auto" w:fill="auto"/>
            <w:vAlign w:val="center"/>
          </w:tcPr>
          <w:p w14:paraId="6FFA72F6">
            <w:pPr>
              <w:pStyle w:val="57"/>
              <w:rPr>
                <w:rFonts w:ascii="Times New Roman" w:cs="Times New Roman"/>
              </w:rPr>
            </w:pPr>
            <w:r>
              <w:rPr>
                <w:rFonts w:ascii="Times New Roman" w:cs="Times New Roman"/>
              </w:rPr>
              <w:t>245+085</w:t>
            </w:r>
          </w:p>
        </w:tc>
        <w:tc>
          <w:tcPr>
            <w:tcW w:w="1298" w:type="pct"/>
            <w:tcBorders>
              <w:top w:val="nil"/>
              <w:left w:val="nil"/>
              <w:bottom w:val="single" w:color="000000" w:sz="4" w:space="0"/>
              <w:right w:val="single" w:color="000000" w:sz="4" w:space="0"/>
            </w:tcBorders>
            <w:shd w:val="clear" w:color="auto" w:fill="auto"/>
            <w:vAlign w:val="center"/>
          </w:tcPr>
          <w:p w14:paraId="7DD70B6B">
            <w:pPr>
              <w:pStyle w:val="57"/>
              <w:rPr>
                <w:rFonts w:ascii="Times New Roman" w:cs="Times New Roman"/>
              </w:rPr>
            </w:pPr>
            <w:r>
              <w:rPr>
                <w:rFonts w:ascii="Times New Roman" w:cs="Times New Roman"/>
              </w:rPr>
              <w:t>26.7</w:t>
            </w:r>
          </w:p>
        </w:tc>
      </w:tr>
      <w:tr w14:paraId="461EF183">
        <w:tblPrEx>
          <w:tblCellMar>
            <w:top w:w="0" w:type="dxa"/>
            <w:left w:w="108" w:type="dxa"/>
            <w:bottom w:w="0" w:type="dxa"/>
            <w:right w:w="108" w:type="dxa"/>
          </w:tblCellMar>
        </w:tblPrEx>
        <w:trPr>
          <w:trHeight w:val="20" w:hRule="atLeast"/>
        </w:trPr>
        <w:tc>
          <w:tcPr>
            <w:tcW w:w="509" w:type="pct"/>
            <w:tcBorders>
              <w:top w:val="nil"/>
              <w:left w:val="single" w:color="000000" w:sz="4" w:space="0"/>
              <w:bottom w:val="single" w:color="000000" w:sz="4" w:space="0"/>
              <w:right w:val="single" w:color="000000" w:sz="4" w:space="0"/>
            </w:tcBorders>
            <w:shd w:val="clear" w:color="auto" w:fill="auto"/>
            <w:vAlign w:val="center"/>
          </w:tcPr>
          <w:p w14:paraId="15D6EDB2">
            <w:pPr>
              <w:pStyle w:val="57"/>
              <w:rPr>
                <w:rFonts w:ascii="Times New Roman" w:cs="Times New Roman"/>
              </w:rPr>
            </w:pPr>
            <w:r>
              <w:rPr>
                <w:rFonts w:ascii="Times New Roman" w:cs="Times New Roman"/>
              </w:rPr>
              <w:t>24</w:t>
            </w:r>
          </w:p>
        </w:tc>
        <w:tc>
          <w:tcPr>
            <w:tcW w:w="1035" w:type="pct"/>
            <w:tcBorders>
              <w:top w:val="nil"/>
              <w:left w:val="nil"/>
              <w:bottom w:val="single" w:color="000000" w:sz="4" w:space="0"/>
              <w:right w:val="single" w:color="000000" w:sz="4" w:space="0"/>
            </w:tcBorders>
            <w:shd w:val="clear" w:color="auto" w:fill="auto"/>
            <w:vAlign w:val="center"/>
          </w:tcPr>
          <w:p w14:paraId="4DD07AF1">
            <w:pPr>
              <w:pStyle w:val="57"/>
              <w:rPr>
                <w:rFonts w:ascii="Times New Roman" w:cs="Times New Roman"/>
              </w:rPr>
            </w:pPr>
            <w:r>
              <w:rPr>
                <w:rFonts w:ascii="Times New Roman" w:cs="Times New Roman"/>
              </w:rPr>
              <w:t>靖江市</w:t>
            </w:r>
          </w:p>
        </w:tc>
        <w:tc>
          <w:tcPr>
            <w:tcW w:w="1211" w:type="pct"/>
            <w:tcBorders>
              <w:top w:val="nil"/>
              <w:left w:val="nil"/>
              <w:bottom w:val="single" w:color="auto" w:sz="4" w:space="0"/>
              <w:right w:val="single" w:color="auto" w:sz="4" w:space="0"/>
            </w:tcBorders>
            <w:shd w:val="clear" w:color="auto" w:fill="auto"/>
            <w:vAlign w:val="center"/>
          </w:tcPr>
          <w:p w14:paraId="6078E800">
            <w:pPr>
              <w:pStyle w:val="57"/>
              <w:rPr>
                <w:rFonts w:ascii="Times New Roman" w:cs="Times New Roman"/>
              </w:rPr>
            </w:pPr>
            <w:r>
              <w:rPr>
                <w:rFonts w:ascii="Times New Roman" w:cs="Times New Roman"/>
              </w:rPr>
              <w:t>文东港闸</w:t>
            </w:r>
          </w:p>
        </w:tc>
        <w:tc>
          <w:tcPr>
            <w:tcW w:w="947" w:type="pct"/>
            <w:tcBorders>
              <w:top w:val="nil"/>
              <w:left w:val="nil"/>
              <w:bottom w:val="single" w:color="000000" w:sz="4" w:space="0"/>
              <w:right w:val="single" w:color="000000" w:sz="4" w:space="0"/>
            </w:tcBorders>
            <w:shd w:val="clear" w:color="auto" w:fill="auto"/>
            <w:vAlign w:val="center"/>
          </w:tcPr>
          <w:p w14:paraId="5875433F">
            <w:pPr>
              <w:pStyle w:val="57"/>
              <w:rPr>
                <w:rFonts w:ascii="Times New Roman" w:cs="Times New Roman"/>
              </w:rPr>
            </w:pPr>
            <w:r>
              <w:rPr>
                <w:rFonts w:ascii="Times New Roman" w:cs="Times New Roman"/>
              </w:rPr>
              <w:t>247+000</w:t>
            </w:r>
          </w:p>
        </w:tc>
        <w:tc>
          <w:tcPr>
            <w:tcW w:w="1298" w:type="pct"/>
            <w:tcBorders>
              <w:top w:val="nil"/>
              <w:left w:val="nil"/>
              <w:bottom w:val="single" w:color="000000" w:sz="4" w:space="0"/>
              <w:right w:val="single" w:color="000000" w:sz="4" w:space="0"/>
            </w:tcBorders>
            <w:shd w:val="clear" w:color="auto" w:fill="auto"/>
            <w:vAlign w:val="center"/>
          </w:tcPr>
          <w:p w14:paraId="3A8FA209">
            <w:pPr>
              <w:pStyle w:val="57"/>
              <w:rPr>
                <w:rFonts w:ascii="Times New Roman" w:cs="Times New Roman"/>
              </w:rPr>
            </w:pPr>
            <w:r>
              <w:rPr>
                <w:rFonts w:ascii="Times New Roman" w:cs="Times New Roman"/>
              </w:rPr>
              <w:t>25</w:t>
            </w:r>
          </w:p>
        </w:tc>
      </w:tr>
      <w:tr w14:paraId="5E4813EE">
        <w:tblPrEx>
          <w:tblCellMar>
            <w:top w:w="0" w:type="dxa"/>
            <w:left w:w="108" w:type="dxa"/>
            <w:bottom w:w="0" w:type="dxa"/>
            <w:right w:w="108" w:type="dxa"/>
          </w:tblCellMar>
        </w:tblPrEx>
        <w:trPr>
          <w:trHeight w:val="20" w:hRule="atLeast"/>
        </w:trPr>
        <w:tc>
          <w:tcPr>
            <w:tcW w:w="509" w:type="pct"/>
            <w:tcBorders>
              <w:top w:val="nil"/>
              <w:left w:val="single" w:color="000000" w:sz="4" w:space="0"/>
              <w:bottom w:val="single" w:color="000000" w:sz="4" w:space="0"/>
              <w:right w:val="single" w:color="000000" w:sz="4" w:space="0"/>
            </w:tcBorders>
            <w:shd w:val="clear" w:color="auto" w:fill="auto"/>
            <w:vAlign w:val="center"/>
          </w:tcPr>
          <w:p w14:paraId="5257BB8D">
            <w:pPr>
              <w:pStyle w:val="57"/>
              <w:rPr>
                <w:rFonts w:ascii="Times New Roman" w:cs="Times New Roman"/>
              </w:rPr>
            </w:pPr>
            <w:r>
              <w:rPr>
                <w:rFonts w:ascii="Times New Roman" w:cs="Times New Roman"/>
              </w:rPr>
              <w:t>25</w:t>
            </w:r>
          </w:p>
        </w:tc>
        <w:tc>
          <w:tcPr>
            <w:tcW w:w="1035" w:type="pct"/>
            <w:tcBorders>
              <w:top w:val="nil"/>
              <w:left w:val="nil"/>
              <w:bottom w:val="single" w:color="000000" w:sz="4" w:space="0"/>
              <w:right w:val="single" w:color="000000" w:sz="4" w:space="0"/>
            </w:tcBorders>
            <w:shd w:val="clear" w:color="auto" w:fill="auto"/>
            <w:vAlign w:val="center"/>
          </w:tcPr>
          <w:p w14:paraId="1108A401">
            <w:pPr>
              <w:pStyle w:val="57"/>
              <w:rPr>
                <w:rFonts w:ascii="Times New Roman" w:cs="Times New Roman"/>
              </w:rPr>
            </w:pPr>
            <w:r>
              <w:rPr>
                <w:rFonts w:ascii="Times New Roman" w:cs="Times New Roman"/>
              </w:rPr>
              <w:t>靖江市</w:t>
            </w:r>
          </w:p>
        </w:tc>
        <w:tc>
          <w:tcPr>
            <w:tcW w:w="1211" w:type="pct"/>
            <w:tcBorders>
              <w:top w:val="nil"/>
              <w:left w:val="nil"/>
              <w:bottom w:val="single" w:color="000000" w:sz="4" w:space="0"/>
              <w:right w:val="single" w:color="000000" w:sz="4" w:space="0"/>
            </w:tcBorders>
            <w:shd w:val="clear" w:color="auto" w:fill="auto"/>
            <w:vAlign w:val="center"/>
          </w:tcPr>
          <w:p w14:paraId="637A86AB">
            <w:pPr>
              <w:pStyle w:val="57"/>
              <w:rPr>
                <w:rFonts w:ascii="Times New Roman" w:cs="Times New Roman"/>
              </w:rPr>
            </w:pPr>
            <w:r>
              <w:rPr>
                <w:rFonts w:ascii="Times New Roman" w:cs="Times New Roman"/>
              </w:rPr>
              <w:t>川心港闸</w:t>
            </w:r>
          </w:p>
        </w:tc>
        <w:tc>
          <w:tcPr>
            <w:tcW w:w="947" w:type="pct"/>
            <w:tcBorders>
              <w:top w:val="nil"/>
              <w:left w:val="nil"/>
              <w:bottom w:val="single" w:color="000000" w:sz="4" w:space="0"/>
              <w:right w:val="single" w:color="000000" w:sz="4" w:space="0"/>
            </w:tcBorders>
            <w:shd w:val="clear" w:color="auto" w:fill="auto"/>
            <w:vAlign w:val="center"/>
          </w:tcPr>
          <w:p w14:paraId="3C011D05">
            <w:pPr>
              <w:pStyle w:val="57"/>
              <w:rPr>
                <w:rFonts w:ascii="Times New Roman" w:cs="Times New Roman"/>
              </w:rPr>
            </w:pPr>
            <w:r>
              <w:rPr>
                <w:rFonts w:ascii="Times New Roman" w:cs="Times New Roman"/>
              </w:rPr>
              <w:t>250+165</w:t>
            </w:r>
          </w:p>
        </w:tc>
        <w:tc>
          <w:tcPr>
            <w:tcW w:w="1298" w:type="pct"/>
            <w:tcBorders>
              <w:top w:val="nil"/>
              <w:left w:val="nil"/>
              <w:bottom w:val="single" w:color="000000" w:sz="4" w:space="0"/>
              <w:right w:val="single" w:color="000000" w:sz="4" w:space="0"/>
            </w:tcBorders>
            <w:shd w:val="clear" w:color="auto" w:fill="auto"/>
            <w:vAlign w:val="center"/>
          </w:tcPr>
          <w:p w14:paraId="0284D426">
            <w:pPr>
              <w:pStyle w:val="57"/>
              <w:rPr>
                <w:rFonts w:ascii="Times New Roman" w:cs="Times New Roman"/>
              </w:rPr>
            </w:pPr>
            <w:r>
              <w:rPr>
                <w:rFonts w:ascii="Times New Roman" w:cs="Times New Roman"/>
              </w:rPr>
              <w:t>25.3</w:t>
            </w:r>
          </w:p>
        </w:tc>
      </w:tr>
      <w:tr w14:paraId="514059E1">
        <w:tblPrEx>
          <w:tblCellMar>
            <w:top w:w="0" w:type="dxa"/>
            <w:left w:w="108" w:type="dxa"/>
            <w:bottom w:w="0" w:type="dxa"/>
            <w:right w:w="108" w:type="dxa"/>
          </w:tblCellMar>
        </w:tblPrEx>
        <w:trPr>
          <w:trHeight w:val="20" w:hRule="atLeast"/>
        </w:trPr>
        <w:tc>
          <w:tcPr>
            <w:tcW w:w="509" w:type="pct"/>
            <w:tcBorders>
              <w:top w:val="nil"/>
              <w:left w:val="single" w:color="000000" w:sz="4" w:space="0"/>
              <w:bottom w:val="single" w:color="000000" w:sz="4" w:space="0"/>
              <w:right w:val="single" w:color="000000" w:sz="4" w:space="0"/>
            </w:tcBorders>
            <w:shd w:val="clear" w:color="auto" w:fill="auto"/>
            <w:vAlign w:val="center"/>
          </w:tcPr>
          <w:p w14:paraId="605EFE0D">
            <w:pPr>
              <w:pStyle w:val="57"/>
              <w:rPr>
                <w:rFonts w:ascii="Times New Roman" w:cs="Times New Roman"/>
              </w:rPr>
            </w:pPr>
            <w:r>
              <w:rPr>
                <w:rFonts w:ascii="Times New Roman" w:cs="Times New Roman"/>
              </w:rPr>
              <w:t>26</w:t>
            </w:r>
          </w:p>
        </w:tc>
        <w:tc>
          <w:tcPr>
            <w:tcW w:w="1035" w:type="pct"/>
            <w:tcBorders>
              <w:top w:val="nil"/>
              <w:left w:val="nil"/>
              <w:bottom w:val="single" w:color="000000" w:sz="4" w:space="0"/>
              <w:right w:val="single" w:color="000000" w:sz="4" w:space="0"/>
            </w:tcBorders>
            <w:shd w:val="clear" w:color="auto" w:fill="auto"/>
            <w:vAlign w:val="center"/>
          </w:tcPr>
          <w:p w14:paraId="3E437DF2">
            <w:pPr>
              <w:pStyle w:val="57"/>
              <w:rPr>
                <w:rFonts w:ascii="Times New Roman" w:cs="Times New Roman"/>
              </w:rPr>
            </w:pPr>
            <w:r>
              <w:rPr>
                <w:rFonts w:ascii="Times New Roman" w:cs="Times New Roman"/>
              </w:rPr>
              <w:t>靖江市</w:t>
            </w:r>
          </w:p>
        </w:tc>
        <w:tc>
          <w:tcPr>
            <w:tcW w:w="1211" w:type="pct"/>
            <w:tcBorders>
              <w:top w:val="nil"/>
              <w:left w:val="nil"/>
              <w:bottom w:val="single" w:color="000000" w:sz="4" w:space="0"/>
              <w:right w:val="single" w:color="000000" w:sz="4" w:space="0"/>
            </w:tcBorders>
            <w:shd w:val="clear" w:color="auto" w:fill="auto"/>
            <w:vAlign w:val="center"/>
          </w:tcPr>
          <w:p w14:paraId="4F1B3917">
            <w:pPr>
              <w:pStyle w:val="57"/>
              <w:rPr>
                <w:rFonts w:ascii="Times New Roman" w:cs="Times New Roman"/>
              </w:rPr>
            </w:pPr>
            <w:r>
              <w:rPr>
                <w:rFonts w:ascii="Times New Roman" w:cs="Times New Roman"/>
              </w:rPr>
              <w:t>上九圩闸</w:t>
            </w:r>
          </w:p>
        </w:tc>
        <w:tc>
          <w:tcPr>
            <w:tcW w:w="947" w:type="pct"/>
            <w:tcBorders>
              <w:top w:val="nil"/>
              <w:left w:val="nil"/>
              <w:bottom w:val="single" w:color="000000" w:sz="4" w:space="0"/>
              <w:right w:val="single" w:color="000000" w:sz="4" w:space="0"/>
            </w:tcBorders>
            <w:shd w:val="clear" w:color="auto" w:fill="auto"/>
            <w:vAlign w:val="center"/>
          </w:tcPr>
          <w:p w14:paraId="0462B91E">
            <w:pPr>
              <w:pStyle w:val="57"/>
              <w:rPr>
                <w:rFonts w:ascii="Times New Roman" w:cs="Times New Roman"/>
              </w:rPr>
            </w:pPr>
            <w:r>
              <w:rPr>
                <w:rFonts w:ascii="Times New Roman" w:cs="Times New Roman"/>
              </w:rPr>
              <w:t>246+158</w:t>
            </w:r>
          </w:p>
        </w:tc>
        <w:tc>
          <w:tcPr>
            <w:tcW w:w="1298" w:type="pct"/>
            <w:tcBorders>
              <w:top w:val="nil"/>
              <w:left w:val="nil"/>
              <w:bottom w:val="single" w:color="000000" w:sz="4" w:space="0"/>
              <w:right w:val="single" w:color="000000" w:sz="4" w:space="0"/>
            </w:tcBorders>
            <w:shd w:val="clear" w:color="auto" w:fill="auto"/>
            <w:vAlign w:val="center"/>
          </w:tcPr>
          <w:p w14:paraId="15EA74D2">
            <w:pPr>
              <w:pStyle w:val="57"/>
              <w:rPr>
                <w:rFonts w:ascii="Times New Roman" w:cs="Times New Roman"/>
              </w:rPr>
            </w:pPr>
            <w:r>
              <w:rPr>
                <w:rFonts w:ascii="Times New Roman" w:cs="Times New Roman"/>
              </w:rPr>
              <w:t>27.7</w:t>
            </w:r>
          </w:p>
        </w:tc>
      </w:tr>
      <w:tr w14:paraId="595C5D66">
        <w:tblPrEx>
          <w:tblCellMar>
            <w:top w:w="0" w:type="dxa"/>
            <w:left w:w="108" w:type="dxa"/>
            <w:bottom w:w="0" w:type="dxa"/>
            <w:right w:w="108" w:type="dxa"/>
          </w:tblCellMar>
        </w:tblPrEx>
        <w:trPr>
          <w:trHeight w:val="20" w:hRule="atLeast"/>
        </w:trPr>
        <w:tc>
          <w:tcPr>
            <w:tcW w:w="509" w:type="pct"/>
            <w:tcBorders>
              <w:top w:val="nil"/>
              <w:left w:val="single" w:color="000000" w:sz="4" w:space="0"/>
              <w:bottom w:val="single" w:color="000000" w:sz="4" w:space="0"/>
              <w:right w:val="single" w:color="000000" w:sz="4" w:space="0"/>
            </w:tcBorders>
            <w:shd w:val="clear" w:color="auto" w:fill="auto"/>
            <w:vAlign w:val="center"/>
          </w:tcPr>
          <w:p w14:paraId="67101E4D">
            <w:pPr>
              <w:pStyle w:val="57"/>
              <w:rPr>
                <w:rFonts w:ascii="Times New Roman" w:cs="Times New Roman"/>
              </w:rPr>
            </w:pPr>
            <w:r>
              <w:rPr>
                <w:rFonts w:ascii="Times New Roman" w:cs="Times New Roman"/>
              </w:rPr>
              <w:t>27</w:t>
            </w:r>
          </w:p>
        </w:tc>
        <w:tc>
          <w:tcPr>
            <w:tcW w:w="1035" w:type="pct"/>
            <w:tcBorders>
              <w:top w:val="nil"/>
              <w:left w:val="nil"/>
              <w:bottom w:val="single" w:color="000000" w:sz="4" w:space="0"/>
              <w:right w:val="single" w:color="000000" w:sz="4" w:space="0"/>
            </w:tcBorders>
            <w:shd w:val="clear" w:color="auto" w:fill="auto"/>
            <w:vAlign w:val="center"/>
          </w:tcPr>
          <w:p w14:paraId="6337CA6A">
            <w:pPr>
              <w:pStyle w:val="57"/>
              <w:rPr>
                <w:rFonts w:ascii="Times New Roman" w:cs="Times New Roman"/>
              </w:rPr>
            </w:pPr>
            <w:r>
              <w:rPr>
                <w:rFonts w:ascii="Times New Roman" w:cs="Times New Roman"/>
              </w:rPr>
              <w:t>靖江市</w:t>
            </w:r>
          </w:p>
        </w:tc>
        <w:tc>
          <w:tcPr>
            <w:tcW w:w="1211" w:type="pct"/>
            <w:tcBorders>
              <w:top w:val="nil"/>
              <w:left w:val="nil"/>
              <w:bottom w:val="single" w:color="000000" w:sz="4" w:space="0"/>
              <w:right w:val="single" w:color="000000" w:sz="4" w:space="0"/>
            </w:tcBorders>
            <w:shd w:val="clear" w:color="auto" w:fill="auto"/>
            <w:vAlign w:val="center"/>
          </w:tcPr>
          <w:p w14:paraId="4A19CDB0">
            <w:pPr>
              <w:pStyle w:val="57"/>
              <w:rPr>
                <w:rFonts w:ascii="Times New Roman" w:cs="Times New Roman"/>
              </w:rPr>
            </w:pPr>
            <w:r>
              <w:rPr>
                <w:rFonts w:ascii="Times New Roman" w:cs="Times New Roman"/>
              </w:rPr>
              <w:t>夹港闸</w:t>
            </w:r>
          </w:p>
        </w:tc>
        <w:tc>
          <w:tcPr>
            <w:tcW w:w="947" w:type="pct"/>
            <w:tcBorders>
              <w:top w:val="nil"/>
              <w:left w:val="nil"/>
              <w:bottom w:val="single" w:color="000000" w:sz="4" w:space="0"/>
              <w:right w:val="single" w:color="000000" w:sz="4" w:space="0"/>
            </w:tcBorders>
            <w:shd w:val="clear" w:color="auto" w:fill="auto"/>
            <w:vAlign w:val="center"/>
          </w:tcPr>
          <w:p w14:paraId="4790BDBD">
            <w:pPr>
              <w:pStyle w:val="57"/>
              <w:rPr>
                <w:rFonts w:ascii="Times New Roman" w:cs="Times New Roman"/>
              </w:rPr>
            </w:pPr>
            <w:r>
              <w:rPr>
                <w:rFonts w:ascii="Times New Roman" w:cs="Times New Roman"/>
              </w:rPr>
              <w:t>247+815</w:t>
            </w:r>
          </w:p>
        </w:tc>
        <w:tc>
          <w:tcPr>
            <w:tcW w:w="1298" w:type="pct"/>
            <w:tcBorders>
              <w:top w:val="nil"/>
              <w:left w:val="nil"/>
              <w:bottom w:val="single" w:color="000000" w:sz="4" w:space="0"/>
              <w:right w:val="single" w:color="000000" w:sz="4" w:space="0"/>
            </w:tcBorders>
            <w:shd w:val="clear" w:color="auto" w:fill="auto"/>
            <w:vAlign w:val="center"/>
          </w:tcPr>
          <w:p w14:paraId="2C310D34">
            <w:pPr>
              <w:pStyle w:val="57"/>
              <w:rPr>
                <w:rFonts w:ascii="Times New Roman" w:cs="Times New Roman"/>
              </w:rPr>
            </w:pPr>
            <w:r>
              <w:rPr>
                <w:rFonts w:ascii="Times New Roman" w:cs="Times New Roman"/>
              </w:rPr>
              <w:t>50</w:t>
            </w:r>
          </w:p>
        </w:tc>
      </w:tr>
      <w:tr w14:paraId="6339A34A">
        <w:tblPrEx>
          <w:tblCellMar>
            <w:top w:w="0" w:type="dxa"/>
            <w:left w:w="108" w:type="dxa"/>
            <w:bottom w:w="0" w:type="dxa"/>
            <w:right w:w="108" w:type="dxa"/>
          </w:tblCellMar>
        </w:tblPrEx>
        <w:trPr>
          <w:trHeight w:val="20" w:hRule="atLeast"/>
        </w:trPr>
        <w:tc>
          <w:tcPr>
            <w:tcW w:w="509" w:type="pct"/>
            <w:tcBorders>
              <w:top w:val="nil"/>
              <w:left w:val="single" w:color="000000" w:sz="4" w:space="0"/>
              <w:bottom w:val="single" w:color="000000" w:sz="4" w:space="0"/>
              <w:right w:val="single" w:color="000000" w:sz="4" w:space="0"/>
            </w:tcBorders>
            <w:shd w:val="clear" w:color="auto" w:fill="auto"/>
            <w:vAlign w:val="center"/>
          </w:tcPr>
          <w:p w14:paraId="3101D367">
            <w:pPr>
              <w:pStyle w:val="57"/>
              <w:rPr>
                <w:rFonts w:ascii="Times New Roman" w:cs="Times New Roman"/>
              </w:rPr>
            </w:pPr>
            <w:r>
              <w:rPr>
                <w:rFonts w:ascii="Times New Roman" w:cs="Times New Roman"/>
              </w:rPr>
              <w:t>28</w:t>
            </w:r>
          </w:p>
        </w:tc>
        <w:tc>
          <w:tcPr>
            <w:tcW w:w="1035" w:type="pct"/>
            <w:tcBorders>
              <w:top w:val="nil"/>
              <w:left w:val="nil"/>
              <w:bottom w:val="single" w:color="000000" w:sz="4" w:space="0"/>
              <w:right w:val="single" w:color="000000" w:sz="4" w:space="0"/>
            </w:tcBorders>
            <w:shd w:val="clear" w:color="auto" w:fill="auto"/>
            <w:vAlign w:val="center"/>
          </w:tcPr>
          <w:p w14:paraId="62B35578">
            <w:pPr>
              <w:pStyle w:val="57"/>
              <w:rPr>
                <w:rFonts w:ascii="Times New Roman" w:cs="Times New Roman"/>
              </w:rPr>
            </w:pPr>
            <w:r>
              <w:rPr>
                <w:rFonts w:ascii="Times New Roman" w:cs="Times New Roman"/>
              </w:rPr>
              <w:t>靖江市</w:t>
            </w:r>
          </w:p>
        </w:tc>
        <w:tc>
          <w:tcPr>
            <w:tcW w:w="1211" w:type="pct"/>
            <w:tcBorders>
              <w:top w:val="nil"/>
              <w:left w:val="nil"/>
              <w:bottom w:val="single" w:color="000000" w:sz="4" w:space="0"/>
              <w:right w:val="single" w:color="000000" w:sz="4" w:space="0"/>
            </w:tcBorders>
            <w:shd w:val="clear" w:color="auto" w:fill="auto"/>
            <w:vAlign w:val="center"/>
          </w:tcPr>
          <w:p w14:paraId="27A8697C">
            <w:pPr>
              <w:pStyle w:val="57"/>
              <w:rPr>
                <w:rFonts w:ascii="Times New Roman" w:cs="Times New Roman"/>
              </w:rPr>
            </w:pPr>
            <w:r>
              <w:rPr>
                <w:rFonts w:ascii="Times New Roman" w:cs="Times New Roman"/>
              </w:rPr>
              <w:t>上四圩港闸</w:t>
            </w:r>
          </w:p>
        </w:tc>
        <w:tc>
          <w:tcPr>
            <w:tcW w:w="947" w:type="pct"/>
            <w:tcBorders>
              <w:top w:val="nil"/>
              <w:left w:val="nil"/>
              <w:bottom w:val="single" w:color="000000" w:sz="4" w:space="0"/>
              <w:right w:val="single" w:color="000000" w:sz="4" w:space="0"/>
            </w:tcBorders>
            <w:shd w:val="clear" w:color="auto" w:fill="auto"/>
            <w:vAlign w:val="center"/>
          </w:tcPr>
          <w:p w14:paraId="342EF5D9">
            <w:pPr>
              <w:pStyle w:val="57"/>
              <w:rPr>
                <w:rFonts w:ascii="Times New Roman" w:cs="Times New Roman"/>
              </w:rPr>
            </w:pPr>
            <w:r>
              <w:rPr>
                <w:rFonts w:ascii="Times New Roman" w:cs="Times New Roman"/>
              </w:rPr>
              <w:t>250+647</w:t>
            </w:r>
          </w:p>
        </w:tc>
        <w:tc>
          <w:tcPr>
            <w:tcW w:w="1298" w:type="pct"/>
            <w:tcBorders>
              <w:top w:val="nil"/>
              <w:left w:val="nil"/>
              <w:bottom w:val="single" w:color="000000" w:sz="4" w:space="0"/>
              <w:right w:val="single" w:color="000000" w:sz="4" w:space="0"/>
            </w:tcBorders>
            <w:shd w:val="clear" w:color="auto" w:fill="auto"/>
            <w:vAlign w:val="center"/>
          </w:tcPr>
          <w:p w14:paraId="1AD9448D">
            <w:pPr>
              <w:pStyle w:val="57"/>
              <w:rPr>
                <w:rFonts w:ascii="Times New Roman" w:cs="Times New Roman"/>
              </w:rPr>
            </w:pPr>
            <w:r>
              <w:rPr>
                <w:rFonts w:ascii="Times New Roman" w:cs="Times New Roman"/>
              </w:rPr>
              <w:t>55.3</w:t>
            </w:r>
          </w:p>
        </w:tc>
      </w:tr>
      <w:tr w14:paraId="497694C2">
        <w:tblPrEx>
          <w:tblCellMar>
            <w:top w:w="0" w:type="dxa"/>
            <w:left w:w="108" w:type="dxa"/>
            <w:bottom w:w="0" w:type="dxa"/>
            <w:right w:w="108" w:type="dxa"/>
          </w:tblCellMar>
        </w:tblPrEx>
        <w:trPr>
          <w:trHeight w:val="20" w:hRule="atLeast"/>
        </w:trPr>
        <w:tc>
          <w:tcPr>
            <w:tcW w:w="509" w:type="pct"/>
            <w:tcBorders>
              <w:top w:val="nil"/>
              <w:left w:val="single" w:color="000000" w:sz="4" w:space="0"/>
              <w:bottom w:val="single" w:color="000000" w:sz="4" w:space="0"/>
              <w:right w:val="single" w:color="000000" w:sz="4" w:space="0"/>
            </w:tcBorders>
            <w:shd w:val="clear" w:color="auto" w:fill="auto"/>
            <w:vAlign w:val="center"/>
          </w:tcPr>
          <w:p w14:paraId="50CBCA61">
            <w:pPr>
              <w:pStyle w:val="57"/>
              <w:rPr>
                <w:rFonts w:ascii="Times New Roman" w:cs="Times New Roman"/>
              </w:rPr>
            </w:pPr>
            <w:r>
              <w:rPr>
                <w:rFonts w:ascii="Times New Roman" w:cs="Times New Roman"/>
              </w:rPr>
              <w:t>29</w:t>
            </w:r>
          </w:p>
        </w:tc>
        <w:tc>
          <w:tcPr>
            <w:tcW w:w="1035" w:type="pct"/>
            <w:tcBorders>
              <w:top w:val="nil"/>
              <w:left w:val="nil"/>
              <w:bottom w:val="single" w:color="000000" w:sz="4" w:space="0"/>
              <w:right w:val="single" w:color="000000" w:sz="4" w:space="0"/>
            </w:tcBorders>
            <w:shd w:val="clear" w:color="auto" w:fill="auto"/>
            <w:vAlign w:val="center"/>
          </w:tcPr>
          <w:p w14:paraId="6FA2B5AB">
            <w:pPr>
              <w:pStyle w:val="57"/>
              <w:rPr>
                <w:rFonts w:ascii="Times New Roman" w:cs="Times New Roman"/>
              </w:rPr>
            </w:pPr>
            <w:r>
              <w:rPr>
                <w:rFonts w:ascii="Times New Roman" w:cs="Times New Roman"/>
              </w:rPr>
              <w:t>靖江市</w:t>
            </w:r>
          </w:p>
        </w:tc>
        <w:tc>
          <w:tcPr>
            <w:tcW w:w="1211" w:type="pct"/>
            <w:tcBorders>
              <w:top w:val="nil"/>
              <w:left w:val="nil"/>
              <w:bottom w:val="single" w:color="000000" w:sz="4" w:space="0"/>
              <w:right w:val="single" w:color="000000" w:sz="4" w:space="0"/>
            </w:tcBorders>
            <w:shd w:val="clear" w:color="auto" w:fill="auto"/>
            <w:vAlign w:val="center"/>
          </w:tcPr>
          <w:p w14:paraId="1A64F9D6">
            <w:pPr>
              <w:pStyle w:val="57"/>
              <w:rPr>
                <w:rFonts w:ascii="Times New Roman" w:cs="Times New Roman"/>
              </w:rPr>
            </w:pPr>
            <w:r>
              <w:rPr>
                <w:rFonts w:ascii="Times New Roman" w:cs="Times New Roman"/>
              </w:rPr>
              <w:t>美人港闸</w:t>
            </w:r>
          </w:p>
        </w:tc>
        <w:tc>
          <w:tcPr>
            <w:tcW w:w="947" w:type="pct"/>
            <w:tcBorders>
              <w:top w:val="nil"/>
              <w:left w:val="nil"/>
              <w:bottom w:val="single" w:color="000000" w:sz="4" w:space="0"/>
              <w:right w:val="single" w:color="000000" w:sz="4" w:space="0"/>
            </w:tcBorders>
            <w:shd w:val="clear" w:color="auto" w:fill="auto"/>
            <w:vAlign w:val="center"/>
          </w:tcPr>
          <w:p w14:paraId="172AFD95">
            <w:pPr>
              <w:pStyle w:val="57"/>
              <w:rPr>
                <w:rFonts w:ascii="Times New Roman" w:cs="Times New Roman"/>
              </w:rPr>
            </w:pPr>
            <w:r>
              <w:rPr>
                <w:rFonts w:ascii="Times New Roman" w:cs="Times New Roman"/>
              </w:rPr>
              <w:t>251+393</w:t>
            </w:r>
          </w:p>
        </w:tc>
        <w:tc>
          <w:tcPr>
            <w:tcW w:w="1298" w:type="pct"/>
            <w:tcBorders>
              <w:top w:val="nil"/>
              <w:left w:val="nil"/>
              <w:bottom w:val="single" w:color="000000" w:sz="4" w:space="0"/>
              <w:right w:val="single" w:color="000000" w:sz="4" w:space="0"/>
            </w:tcBorders>
            <w:shd w:val="clear" w:color="auto" w:fill="auto"/>
            <w:vAlign w:val="center"/>
          </w:tcPr>
          <w:p w14:paraId="5961C89B">
            <w:pPr>
              <w:pStyle w:val="57"/>
              <w:rPr>
                <w:rFonts w:ascii="Times New Roman" w:cs="Times New Roman"/>
              </w:rPr>
            </w:pPr>
            <w:r>
              <w:rPr>
                <w:rFonts w:ascii="Times New Roman" w:cs="Times New Roman"/>
              </w:rPr>
              <w:t>27.8</w:t>
            </w:r>
          </w:p>
        </w:tc>
      </w:tr>
      <w:tr w14:paraId="31BB51AB">
        <w:tblPrEx>
          <w:tblCellMar>
            <w:top w:w="0" w:type="dxa"/>
            <w:left w:w="108" w:type="dxa"/>
            <w:bottom w:w="0" w:type="dxa"/>
            <w:right w:w="108" w:type="dxa"/>
          </w:tblCellMar>
        </w:tblPrEx>
        <w:trPr>
          <w:trHeight w:val="20" w:hRule="atLeast"/>
        </w:trPr>
        <w:tc>
          <w:tcPr>
            <w:tcW w:w="509" w:type="pct"/>
            <w:tcBorders>
              <w:top w:val="nil"/>
              <w:left w:val="single" w:color="000000" w:sz="4" w:space="0"/>
              <w:bottom w:val="single" w:color="000000" w:sz="4" w:space="0"/>
              <w:right w:val="single" w:color="000000" w:sz="4" w:space="0"/>
            </w:tcBorders>
            <w:shd w:val="clear" w:color="auto" w:fill="auto"/>
            <w:vAlign w:val="center"/>
          </w:tcPr>
          <w:p w14:paraId="4CAE6156">
            <w:pPr>
              <w:pStyle w:val="57"/>
              <w:rPr>
                <w:rFonts w:ascii="Times New Roman" w:cs="Times New Roman"/>
              </w:rPr>
            </w:pPr>
            <w:r>
              <w:rPr>
                <w:rFonts w:ascii="Times New Roman" w:cs="Times New Roman"/>
              </w:rPr>
              <w:t>30</w:t>
            </w:r>
          </w:p>
        </w:tc>
        <w:tc>
          <w:tcPr>
            <w:tcW w:w="1035" w:type="pct"/>
            <w:tcBorders>
              <w:top w:val="nil"/>
              <w:left w:val="nil"/>
              <w:bottom w:val="single" w:color="000000" w:sz="4" w:space="0"/>
              <w:right w:val="single" w:color="000000" w:sz="4" w:space="0"/>
            </w:tcBorders>
            <w:shd w:val="clear" w:color="auto" w:fill="auto"/>
            <w:vAlign w:val="center"/>
          </w:tcPr>
          <w:p w14:paraId="2C3331BC">
            <w:pPr>
              <w:pStyle w:val="57"/>
              <w:rPr>
                <w:rFonts w:ascii="Times New Roman" w:cs="Times New Roman"/>
              </w:rPr>
            </w:pPr>
            <w:r>
              <w:rPr>
                <w:rFonts w:ascii="Times New Roman" w:cs="Times New Roman"/>
              </w:rPr>
              <w:t>靖江市</w:t>
            </w:r>
          </w:p>
        </w:tc>
        <w:tc>
          <w:tcPr>
            <w:tcW w:w="1211" w:type="pct"/>
            <w:tcBorders>
              <w:top w:val="nil"/>
              <w:left w:val="nil"/>
              <w:bottom w:val="single" w:color="000000" w:sz="4" w:space="0"/>
              <w:right w:val="single" w:color="000000" w:sz="4" w:space="0"/>
            </w:tcBorders>
            <w:shd w:val="clear" w:color="auto" w:fill="auto"/>
            <w:vAlign w:val="center"/>
          </w:tcPr>
          <w:p w14:paraId="004316A7">
            <w:pPr>
              <w:pStyle w:val="57"/>
              <w:rPr>
                <w:rFonts w:ascii="Times New Roman" w:cs="Times New Roman"/>
              </w:rPr>
            </w:pPr>
            <w:r>
              <w:rPr>
                <w:rFonts w:ascii="Times New Roman" w:cs="Times New Roman"/>
              </w:rPr>
              <w:t>上五圩闸</w:t>
            </w:r>
          </w:p>
        </w:tc>
        <w:tc>
          <w:tcPr>
            <w:tcW w:w="947" w:type="pct"/>
            <w:tcBorders>
              <w:top w:val="nil"/>
              <w:left w:val="nil"/>
              <w:bottom w:val="single" w:color="000000" w:sz="4" w:space="0"/>
              <w:right w:val="single" w:color="000000" w:sz="4" w:space="0"/>
            </w:tcBorders>
            <w:shd w:val="clear" w:color="auto" w:fill="auto"/>
            <w:vAlign w:val="center"/>
          </w:tcPr>
          <w:p w14:paraId="4D9DB9B1">
            <w:pPr>
              <w:pStyle w:val="57"/>
              <w:rPr>
                <w:rFonts w:ascii="Times New Roman" w:cs="Times New Roman"/>
              </w:rPr>
            </w:pPr>
            <w:r>
              <w:rPr>
                <w:rFonts w:ascii="Times New Roman" w:cs="Times New Roman"/>
              </w:rPr>
              <w:t>251+962</w:t>
            </w:r>
          </w:p>
        </w:tc>
        <w:tc>
          <w:tcPr>
            <w:tcW w:w="1298" w:type="pct"/>
            <w:tcBorders>
              <w:top w:val="nil"/>
              <w:left w:val="nil"/>
              <w:bottom w:val="single" w:color="000000" w:sz="4" w:space="0"/>
              <w:right w:val="single" w:color="000000" w:sz="4" w:space="0"/>
            </w:tcBorders>
            <w:shd w:val="clear" w:color="auto" w:fill="auto"/>
            <w:vAlign w:val="center"/>
          </w:tcPr>
          <w:p w14:paraId="16BE70D9">
            <w:pPr>
              <w:pStyle w:val="57"/>
              <w:rPr>
                <w:rFonts w:ascii="Times New Roman" w:cs="Times New Roman"/>
              </w:rPr>
            </w:pPr>
            <w:r>
              <w:rPr>
                <w:rFonts w:ascii="Times New Roman" w:cs="Times New Roman"/>
              </w:rPr>
              <w:t>29.65</w:t>
            </w:r>
          </w:p>
        </w:tc>
      </w:tr>
      <w:tr w14:paraId="7DE514CE">
        <w:tblPrEx>
          <w:tblCellMar>
            <w:top w:w="0" w:type="dxa"/>
            <w:left w:w="108" w:type="dxa"/>
            <w:bottom w:w="0" w:type="dxa"/>
            <w:right w:w="108" w:type="dxa"/>
          </w:tblCellMar>
        </w:tblPrEx>
        <w:trPr>
          <w:trHeight w:val="20" w:hRule="atLeast"/>
        </w:trPr>
        <w:tc>
          <w:tcPr>
            <w:tcW w:w="509" w:type="pct"/>
            <w:tcBorders>
              <w:top w:val="nil"/>
              <w:left w:val="single" w:color="000000" w:sz="4" w:space="0"/>
              <w:bottom w:val="single" w:color="000000" w:sz="4" w:space="0"/>
              <w:right w:val="single" w:color="000000" w:sz="4" w:space="0"/>
            </w:tcBorders>
            <w:shd w:val="clear" w:color="auto" w:fill="auto"/>
            <w:vAlign w:val="center"/>
          </w:tcPr>
          <w:p w14:paraId="7D0A15A2">
            <w:pPr>
              <w:pStyle w:val="57"/>
              <w:rPr>
                <w:rFonts w:ascii="Times New Roman" w:cs="Times New Roman"/>
              </w:rPr>
            </w:pPr>
            <w:r>
              <w:rPr>
                <w:rFonts w:ascii="Times New Roman" w:cs="Times New Roman"/>
              </w:rPr>
              <w:t>31</w:t>
            </w:r>
          </w:p>
        </w:tc>
        <w:tc>
          <w:tcPr>
            <w:tcW w:w="1035" w:type="pct"/>
            <w:tcBorders>
              <w:top w:val="nil"/>
              <w:left w:val="nil"/>
              <w:bottom w:val="single" w:color="000000" w:sz="4" w:space="0"/>
              <w:right w:val="single" w:color="000000" w:sz="4" w:space="0"/>
            </w:tcBorders>
            <w:shd w:val="clear" w:color="auto" w:fill="auto"/>
            <w:vAlign w:val="center"/>
          </w:tcPr>
          <w:p w14:paraId="6672A90E">
            <w:pPr>
              <w:pStyle w:val="57"/>
              <w:rPr>
                <w:rFonts w:ascii="Times New Roman" w:cs="Times New Roman"/>
              </w:rPr>
            </w:pPr>
            <w:r>
              <w:rPr>
                <w:rFonts w:ascii="Times New Roman" w:cs="Times New Roman"/>
              </w:rPr>
              <w:t>靖江市</w:t>
            </w:r>
          </w:p>
        </w:tc>
        <w:tc>
          <w:tcPr>
            <w:tcW w:w="1211" w:type="pct"/>
            <w:tcBorders>
              <w:top w:val="nil"/>
              <w:left w:val="nil"/>
              <w:bottom w:val="single" w:color="000000" w:sz="4" w:space="0"/>
              <w:right w:val="single" w:color="000000" w:sz="4" w:space="0"/>
            </w:tcBorders>
            <w:shd w:val="clear" w:color="auto" w:fill="auto"/>
            <w:vAlign w:val="center"/>
          </w:tcPr>
          <w:p w14:paraId="1AE36BA2">
            <w:pPr>
              <w:pStyle w:val="57"/>
              <w:rPr>
                <w:rFonts w:ascii="Times New Roman" w:cs="Times New Roman"/>
              </w:rPr>
            </w:pPr>
            <w:r>
              <w:rPr>
                <w:rFonts w:ascii="Times New Roman" w:cs="Times New Roman"/>
              </w:rPr>
              <w:t>上六圩闸</w:t>
            </w:r>
          </w:p>
        </w:tc>
        <w:tc>
          <w:tcPr>
            <w:tcW w:w="947" w:type="pct"/>
            <w:tcBorders>
              <w:top w:val="nil"/>
              <w:left w:val="nil"/>
              <w:bottom w:val="single" w:color="000000" w:sz="4" w:space="0"/>
              <w:right w:val="single" w:color="000000" w:sz="4" w:space="0"/>
            </w:tcBorders>
            <w:shd w:val="clear" w:color="auto" w:fill="auto"/>
            <w:vAlign w:val="center"/>
          </w:tcPr>
          <w:p w14:paraId="502DF40C">
            <w:pPr>
              <w:pStyle w:val="57"/>
              <w:rPr>
                <w:rFonts w:ascii="Times New Roman" w:cs="Times New Roman"/>
              </w:rPr>
            </w:pPr>
            <w:r>
              <w:rPr>
                <w:rFonts w:ascii="Times New Roman" w:cs="Times New Roman"/>
              </w:rPr>
              <w:t>253+400</w:t>
            </w:r>
          </w:p>
        </w:tc>
        <w:tc>
          <w:tcPr>
            <w:tcW w:w="1298" w:type="pct"/>
            <w:tcBorders>
              <w:top w:val="nil"/>
              <w:left w:val="nil"/>
              <w:bottom w:val="single" w:color="000000" w:sz="4" w:space="0"/>
              <w:right w:val="single" w:color="000000" w:sz="4" w:space="0"/>
            </w:tcBorders>
            <w:shd w:val="clear" w:color="auto" w:fill="auto"/>
            <w:vAlign w:val="center"/>
          </w:tcPr>
          <w:p w14:paraId="668DCE50">
            <w:pPr>
              <w:pStyle w:val="57"/>
              <w:rPr>
                <w:rFonts w:ascii="Times New Roman" w:cs="Times New Roman"/>
              </w:rPr>
            </w:pPr>
            <w:r>
              <w:rPr>
                <w:rFonts w:ascii="Times New Roman" w:cs="Times New Roman"/>
              </w:rPr>
              <w:t>104</w:t>
            </w:r>
          </w:p>
        </w:tc>
      </w:tr>
      <w:tr w14:paraId="18F28864">
        <w:tblPrEx>
          <w:tblCellMar>
            <w:top w:w="0" w:type="dxa"/>
            <w:left w:w="108" w:type="dxa"/>
            <w:bottom w:w="0" w:type="dxa"/>
            <w:right w:w="108" w:type="dxa"/>
          </w:tblCellMar>
        </w:tblPrEx>
        <w:trPr>
          <w:trHeight w:val="20" w:hRule="atLeast"/>
        </w:trPr>
        <w:tc>
          <w:tcPr>
            <w:tcW w:w="509" w:type="pct"/>
            <w:tcBorders>
              <w:top w:val="nil"/>
              <w:left w:val="single" w:color="000000" w:sz="4" w:space="0"/>
              <w:bottom w:val="single" w:color="000000" w:sz="4" w:space="0"/>
              <w:right w:val="single" w:color="000000" w:sz="4" w:space="0"/>
            </w:tcBorders>
            <w:shd w:val="clear" w:color="auto" w:fill="auto"/>
            <w:vAlign w:val="center"/>
          </w:tcPr>
          <w:p w14:paraId="6DE1A218">
            <w:pPr>
              <w:pStyle w:val="57"/>
              <w:rPr>
                <w:rFonts w:ascii="Times New Roman" w:cs="Times New Roman"/>
              </w:rPr>
            </w:pPr>
            <w:r>
              <w:rPr>
                <w:rFonts w:ascii="Times New Roman" w:cs="Times New Roman"/>
              </w:rPr>
              <w:t>32</w:t>
            </w:r>
          </w:p>
        </w:tc>
        <w:tc>
          <w:tcPr>
            <w:tcW w:w="1035" w:type="pct"/>
            <w:tcBorders>
              <w:top w:val="nil"/>
              <w:left w:val="nil"/>
              <w:bottom w:val="single" w:color="000000" w:sz="4" w:space="0"/>
              <w:right w:val="single" w:color="000000" w:sz="4" w:space="0"/>
            </w:tcBorders>
            <w:shd w:val="clear" w:color="auto" w:fill="auto"/>
            <w:vAlign w:val="center"/>
          </w:tcPr>
          <w:p w14:paraId="6350C64B">
            <w:pPr>
              <w:pStyle w:val="57"/>
              <w:rPr>
                <w:rFonts w:ascii="Times New Roman" w:cs="Times New Roman"/>
              </w:rPr>
            </w:pPr>
            <w:r>
              <w:rPr>
                <w:rFonts w:ascii="Times New Roman" w:cs="Times New Roman"/>
              </w:rPr>
              <w:t>靖江市</w:t>
            </w:r>
          </w:p>
        </w:tc>
        <w:tc>
          <w:tcPr>
            <w:tcW w:w="1211" w:type="pct"/>
            <w:tcBorders>
              <w:top w:val="nil"/>
              <w:left w:val="nil"/>
              <w:bottom w:val="single" w:color="000000" w:sz="4" w:space="0"/>
              <w:right w:val="single" w:color="000000" w:sz="4" w:space="0"/>
            </w:tcBorders>
            <w:shd w:val="clear" w:color="auto" w:fill="auto"/>
            <w:vAlign w:val="center"/>
          </w:tcPr>
          <w:p w14:paraId="0F836D67">
            <w:pPr>
              <w:pStyle w:val="57"/>
              <w:rPr>
                <w:rFonts w:ascii="Times New Roman" w:cs="Times New Roman"/>
              </w:rPr>
            </w:pPr>
            <w:r>
              <w:rPr>
                <w:rFonts w:ascii="Times New Roman" w:cs="Times New Roman"/>
              </w:rPr>
              <w:t>下二圩闸</w:t>
            </w:r>
          </w:p>
        </w:tc>
        <w:tc>
          <w:tcPr>
            <w:tcW w:w="947" w:type="pct"/>
            <w:tcBorders>
              <w:top w:val="nil"/>
              <w:left w:val="nil"/>
              <w:bottom w:val="single" w:color="000000" w:sz="4" w:space="0"/>
              <w:right w:val="single" w:color="000000" w:sz="4" w:space="0"/>
            </w:tcBorders>
            <w:shd w:val="clear" w:color="auto" w:fill="auto"/>
            <w:vAlign w:val="center"/>
          </w:tcPr>
          <w:p w14:paraId="1535A3FF">
            <w:pPr>
              <w:pStyle w:val="57"/>
              <w:rPr>
                <w:rFonts w:ascii="Times New Roman" w:cs="Times New Roman"/>
              </w:rPr>
            </w:pPr>
            <w:r>
              <w:rPr>
                <w:rFonts w:ascii="Times New Roman" w:cs="Times New Roman"/>
              </w:rPr>
              <w:t>255+665</w:t>
            </w:r>
          </w:p>
        </w:tc>
        <w:tc>
          <w:tcPr>
            <w:tcW w:w="1298" w:type="pct"/>
            <w:tcBorders>
              <w:top w:val="nil"/>
              <w:left w:val="nil"/>
              <w:bottom w:val="single" w:color="000000" w:sz="4" w:space="0"/>
              <w:right w:val="single" w:color="000000" w:sz="4" w:space="0"/>
            </w:tcBorders>
            <w:shd w:val="clear" w:color="auto" w:fill="auto"/>
            <w:vAlign w:val="center"/>
          </w:tcPr>
          <w:p w14:paraId="7F1B18EB">
            <w:pPr>
              <w:pStyle w:val="57"/>
              <w:rPr>
                <w:rFonts w:ascii="Times New Roman" w:cs="Times New Roman"/>
              </w:rPr>
            </w:pPr>
            <w:r>
              <w:rPr>
                <w:rFonts w:ascii="Times New Roman" w:cs="Times New Roman"/>
              </w:rPr>
              <w:t>30</w:t>
            </w:r>
          </w:p>
        </w:tc>
      </w:tr>
      <w:tr w14:paraId="61F8654C">
        <w:tblPrEx>
          <w:tblCellMar>
            <w:top w:w="0" w:type="dxa"/>
            <w:left w:w="108" w:type="dxa"/>
            <w:bottom w:w="0" w:type="dxa"/>
            <w:right w:w="108" w:type="dxa"/>
          </w:tblCellMar>
        </w:tblPrEx>
        <w:trPr>
          <w:trHeight w:val="20" w:hRule="atLeast"/>
        </w:trPr>
        <w:tc>
          <w:tcPr>
            <w:tcW w:w="509" w:type="pct"/>
            <w:tcBorders>
              <w:top w:val="nil"/>
              <w:left w:val="single" w:color="000000" w:sz="4" w:space="0"/>
              <w:bottom w:val="single" w:color="000000" w:sz="4" w:space="0"/>
              <w:right w:val="single" w:color="000000" w:sz="4" w:space="0"/>
            </w:tcBorders>
            <w:shd w:val="clear" w:color="auto" w:fill="auto"/>
            <w:vAlign w:val="center"/>
          </w:tcPr>
          <w:p w14:paraId="1A272EB0">
            <w:pPr>
              <w:pStyle w:val="57"/>
              <w:rPr>
                <w:rFonts w:ascii="Times New Roman" w:cs="Times New Roman"/>
              </w:rPr>
            </w:pPr>
            <w:r>
              <w:rPr>
                <w:rFonts w:ascii="Times New Roman" w:cs="Times New Roman"/>
              </w:rPr>
              <w:t>33</w:t>
            </w:r>
          </w:p>
        </w:tc>
        <w:tc>
          <w:tcPr>
            <w:tcW w:w="1035" w:type="pct"/>
            <w:tcBorders>
              <w:top w:val="nil"/>
              <w:left w:val="nil"/>
              <w:bottom w:val="single" w:color="000000" w:sz="4" w:space="0"/>
              <w:right w:val="single" w:color="000000" w:sz="4" w:space="0"/>
            </w:tcBorders>
            <w:shd w:val="clear" w:color="auto" w:fill="auto"/>
            <w:vAlign w:val="center"/>
          </w:tcPr>
          <w:p w14:paraId="2457D132">
            <w:pPr>
              <w:pStyle w:val="57"/>
              <w:rPr>
                <w:rFonts w:ascii="Times New Roman" w:cs="Times New Roman"/>
              </w:rPr>
            </w:pPr>
            <w:r>
              <w:rPr>
                <w:rFonts w:ascii="Times New Roman" w:cs="Times New Roman"/>
              </w:rPr>
              <w:t>靖江市</w:t>
            </w:r>
          </w:p>
        </w:tc>
        <w:tc>
          <w:tcPr>
            <w:tcW w:w="1211" w:type="pct"/>
            <w:tcBorders>
              <w:top w:val="nil"/>
              <w:left w:val="nil"/>
              <w:bottom w:val="single" w:color="000000" w:sz="4" w:space="0"/>
              <w:right w:val="single" w:color="000000" w:sz="4" w:space="0"/>
            </w:tcBorders>
            <w:shd w:val="clear" w:color="auto" w:fill="auto"/>
            <w:vAlign w:val="center"/>
          </w:tcPr>
          <w:p w14:paraId="585615F2">
            <w:pPr>
              <w:pStyle w:val="57"/>
              <w:rPr>
                <w:rFonts w:ascii="Times New Roman" w:cs="Times New Roman"/>
              </w:rPr>
            </w:pPr>
            <w:r>
              <w:rPr>
                <w:rFonts w:ascii="Times New Roman" w:cs="Times New Roman"/>
              </w:rPr>
              <w:t>下三圩闸</w:t>
            </w:r>
          </w:p>
        </w:tc>
        <w:tc>
          <w:tcPr>
            <w:tcW w:w="947" w:type="pct"/>
            <w:tcBorders>
              <w:top w:val="nil"/>
              <w:left w:val="nil"/>
              <w:bottom w:val="single" w:color="000000" w:sz="4" w:space="0"/>
              <w:right w:val="single" w:color="000000" w:sz="4" w:space="0"/>
            </w:tcBorders>
            <w:shd w:val="clear" w:color="auto" w:fill="auto"/>
            <w:vAlign w:val="center"/>
          </w:tcPr>
          <w:p w14:paraId="72A260DC">
            <w:pPr>
              <w:pStyle w:val="57"/>
              <w:rPr>
                <w:rFonts w:ascii="Times New Roman" w:cs="Times New Roman"/>
              </w:rPr>
            </w:pPr>
            <w:r>
              <w:rPr>
                <w:rFonts w:ascii="Times New Roman" w:cs="Times New Roman"/>
              </w:rPr>
              <w:t>256+840</w:t>
            </w:r>
          </w:p>
        </w:tc>
        <w:tc>
          <w:tcPr>
            <w:tcW w:w="1298" w:type="pct"/>
            <w:tcBorders>
              <w:top w:val="nil"/>
              <w:left w:val="nil"/>
              <w:bottom w:val="single" w:color="000000" w:sz="4" w:space="0"/>
              <w:right w:val="single" w:color="000000" w:sz="4" w:space="0"/>
            </w:tcBorders>
            <w:shd w:val="clear" w:color="auto" w:fill="auto"/>
            <w:vAlign w:val="center"/>
          </w:tcPr>
          <w:p w14:paraId="4281512B">
            <w:pPr>
              <w:pStyle w:val="57"/>
              <w:rPr>
                <w:rFonts w:ascii="Times New Roman" w:cs="Times New Roman"/>
              </w:rPr>
            </w:pPr>
            <w:r>
              <w:rPr>
                <w:rFonts w:ascii="Times New Roman" w:cs="Times New Roman"/>
              </w:rPr>
              <w:t>23</w:t>
            </w:r>
          </w:p>
        </w:tc>
      </w:tr>
      <w:tr w14:paraId="0D3ECF07">
        <w:tblPrEx>
          <w:tblCellMar>
            <w:top w:w="0" w:type="dxa"/>
            <w:left w:w="108" w:type="dxa"/>
            <w:bottom w:w="0" w:type="dxa"/>
            <w:right w:w="108" w:type="dxa"/>
          </w:tblCellMar>
        </w:tblPrEx>
        <w:trPr>
          <w:trHeight w:val="20" w:hRule="atLeast"/>
        </w:trPr>
        <w:tc>
          <w:tcPr>
            <w:tcW w:w="509" w:type="pct"/>
            <w:tcBorders>
              <w:top w:val="nil"/>
              <w:left w:val="single" w:color="000000" w:sz="4" w:space="0"/>
              <w:bottom w:val="single" w:color="000000" w:sz="4" w:space="0"/>
              <w:right w:val="single" w:color="000000" w:sz="4" w:space="0"/>
            </w:tcBorders>
            <w:shd w:val="clear" w:color="auto" w:fill="auto"/>
            <w:vAlign w:val="center"/>
          </w:tcPr>
          <w:p w14:paraId="66062F19">
            <w:pPr>
              <w:pStyle w:val="57"/>
              <w:rPr>
                <w:rFonts w:ascii="Times New Roman" w:cs="Times New Roman"/>
              </w:rPr>
            </w:pPr>
            <w:r>
              <w:rPr>
                <w:rFonts w:ascii="Times New Roman" w:cs="Times New Roman"/>
              </w:rPr>
              <w:t>34</w:t>
            </w:r>
          </w:p>
        </w:tc>
        <w:tc>
          <w:tcPr>
            <w:tcW w:w="1035" w:type="pct"/>
            <w:tcBorders>
              <w:top w:val="nil"/>
              <w:left w:val="nil"/>
              <w:bottom w:val="single" w:color="000000" w:sz="4" w:space="0"/>
              <w:right w:val="single" w:color="000000" w:sz="4" w:space="0"/>
            </w:tcBorders>
            <w:shd w:val="clear" w:color="auto" w:fill="auto"/>
            <w:vAlign w:val="center"/>
          </w:tcPr>
          <w:p w14:paraId="56B7D7DD">
            <w:pPr>
              <w:pStyle w:val="57"/>
              <w:rPr>
                <w:rFonts w:ascii="Times New Roman" w:cs="Times New Roman"/>
              </w:rPr>
            </w:pPr>
            <w:r>
              <w:rPr>
                <w:rFonts w:ascii="Times New Roman" w:cs="Times New Roman"/>
              </w:rPr>
              <w:t>靖江市</w:t>
            </w:r>
          </w:p>
        </w:tc>
        <w:tc>
          <w:tcPr>
            <w:tcW w:w="1211" w:type="pct"/>
            <w:tcBorders>
              <w:top w:val="nil"/>
              <w:left w:val="nil"/>
              <w:bottom w:val="single" w:color="auto" w:sz="4" w:space="0"/>
              <w:right w:val="single" w:color="auto" w:sz="4" w:space="0"/>
            </w:tcBorders>
            <w:shd w:val="clear" w:color="auto" w:fill="auto"/>
            <w:vAlign w:val="center"/>
          </w:tcPr>
          <w:p w14:paraId="7CF2CC97">
            <w:pPr>
              <w:pStyle w:val="57"/>
              <w:rPr>
                <w:rFonts w:ascii="Times New Roman" w:cs="Times New Roman"/>
              </w:rPr>
            </w:pPr>
            <w:r>
              <w:rPr>
                <w:rFonts w:ascii="Times New Roman" w:cs="Times New Roman"/>
              </w:rPr>
              <w:t>下四圩闸</w:t>
            </w:r>
          </w:p>
        </w:tc>
        <w:tc>
          <w:tcPr>
            <w:tcW w:w="947" w:type="pct"/>
            <w:tcBorders>
              <w:top w:val="nil"/>
              <w:left w:val="nil"/>
              <w:bottom w:val="single" w:color="000000" w:sz="4" w:space="0"/>
              <w:right w:val="single" w:color="000000" w:sz="4" w:space="0"/>
            </w:tcBorders>
            <w:shd w:val="clear" w:color="auto" w:fill="auto"/>
            <w:vAlign w:val="center"/>
          </w:tcPr>
          <w:p w14:paraId="45A3D8B7">
            <w:pPr>
              <w:pStyle w:val="57"/>
              <w:rPr>
                <w:rFonts w:ascii="Times New Roman" w:cs="Times New Roman"/>
              </w:rPr>
            </w:pPr>
            <w:r>
              <w:rPr>
                <w:rFonts w:ascii="Times New Roman" w:cs="Times New Roman"/>
              </w:rPr>
              <w:t>257+727</w:t>
            </w:r>
          </w:p>
        </w:tc>
        <w:tc>
          <w:tcPr>
            <w:tcW w:w="1298" w:type="pct"/>
            <w:tcBorders>
              <w:top w:val="nil"/>
              <w:left w:val="nil"/>
              <w:bottom w:val="single" w:color="000000" w:sz="4" w:space="0"/>
              <w:right w:val="single" w:color="000000" w:sz="4" w:space="0"/>
            </w:tcBorders>
            <w:shd w:val="clear" w:color="auto" w:fill="auto"/>
            <w:vAlign w:val="center"/>
          </w:tcPr>
          <w:p w14:paraId="0F9B7A0D">
            <w:pPr>
              <w:pStyle w:val="57"/>
              <w:rPr>
                <w:rFonts w:ascii="Times New Roman" w:cs="Times New Roman"/>
              </w:rPr>
            </w:pPr>
            <w:r>
              <w:rPr>
                <w:rFonts w:ascii="Times New Roman" w:cs="Times New Roman"/>
              </w:rPr>
              <w:t>55.3</w:t>
            </w:r>
          </w:p>
        </w:tc>
      </w:tr>
      <w:tr w14:paraId="23D75F11">
        <w:tblPrEx>
          <w:tblCellMar>
            <w:top w:w="0" w:type="dxa"/>
            <w:left w:w="108" w:type="dxa"/>
            <w:bottom w:w="0" w:type="dxa"/>
            <w:right w:w="108" w:type="dxa"/>
          </w:tblCellMar>
        </w:tblPrEx>
        <w:trPr>
          <w:trHeight w:val="20" w:hRule="atLeast"/>
        </w:trPr>
        <w:tc>
          <w:tcPr>
            <w:tcW w:w="509" w:type="pct"/>
            <w:tcBorders>
              <w:top w:val="nil"/>
              <w:left w:val="single" w:color="000000" w:sz="4" w:space="0"/>
              <w:bottom w:val="single" w:color="000000" w:sz="4" w:space="0"/>
              <w:right w:val="single" w:color="000000" w:sz="4" w:space="0"/>
            </w:tcBorders>
            <w:shd w:val="clear" w:color="auto" w:fill="auto"/>
            <w:vAlign w:val="center"/>
          </w:tcPr>
          <w:p w14:paraId="3F1EC899">
            <w:pPr>
              <w:pStyle w:val="57"/>
              <w:rPr>
                <w:rFonts w:ascii="Times New Roman" w:cs="Times New Roman"/>
              </w:rPr>
            </w:pPr>
            <w:r>
              <w:rPr>
                <w:rFonts w:ascii="Times New Roman" w:cs="Times New Roman"/>
              </w:rPr>
              <w:t>35</w:t>
            </w:r>
          </w:p>
        </w:tc>
        <w:tc>
          <w:tcPr>
            <w:tcW w:w="1035" w:type="pct"/>
            <w:tcBorders>
              <w:top w:val="nil"/>
              <w:left w:val="nil"/>
              <w:bottom w:val="single" w:color="000000" w:sz="4" w:space="0"/>
              <w:right w:val="single" w:color="000000" w:sz="4" w:space="0"/>
            </w:tcBorders>
            <w:shd w:val="clear" w:color="auto" w:fill="auto"/>
            <w:vAlign w:val="center"/>
          </w:tcPr>
          <w:p w14:paraId="76F61FA5">
            <w:pPr>
              <w:pStyle w:val="57"/>
              <w:rPr>
                <w:rFonts w:ascii="Times New Roman" w:cs="Times New Roman"/>
              </w:rPr>
            </w:pPr>
            <w:r>
              <w:rPr>
                <w:rFonts w:ascii="Times New Roman" w:cs="Times New Roman"/>
              </w:rPr>
              <w:t>靖江市</w:t>
            </w:r>
          </w:p>
        </w:tc>
        <w:tc>
          <w:tcPr>
            <w:tcW w:w="1211" w:type="pct"/>
            <w:tcBorders>
              <w:top w:val="nil"/>
              <w:left w:val="nil"/>
              <w:bottom w:val="single" w:color="000000" w:sz="4" w:space="0"/>
              <w:right w:val="single" w:color="000000" w:sz="4" w:space="0"/>
            </w:tcBorders>
            <w:shd w:val="clear" w:color="auto" w:fill="auto"/>
            <w:vAlign w:val="center"/>
          </w:tcPr>
          <w:p w14:paraId="31AE9A28">
            <w:pPr>
              <w:pStyle w:val="57"/>
              <w:rPr>
                <w:rFonts w:ascii="Times New Roman" w:cs="Times New Roman"/>
              </w:rPr>
            </w:pPr>
            <w:r>
              <w:rPr>
                <w:rFonts w:ascii="Times New Roman" w:cs="Times New Roman"/>
              </w:rPr>
              <w:t>下五圩闸</w:t>
            </w:r>
          </w:p>
        </w:tc>
        <w:tc>
          <w:tcPr>
            <w:tcW w:w="947" w:type="pct"/>
            <w:tcBorders>
              <w:top w:val="nil"/>
              <w:left w:val="nil"/>
              <w:bottom w:val="single" w:color="000000" w:sz="4" w:space="0"/>
              <w:right w:val="single" w:color="000000" w:sz="4" w:space="0"/>
            </w:tcBorders>
            <w:shd w:val="clear" w:color="auto" w:fill="auto"/>
            <w:vAlign w:val="center"/>
          </w:tcPr>
          <w:p w14:paraId="3EB378FF">
            <w:pPr>
              <w:pStyle w:val="57"/>
              <w:rPr>
                <w:rFonts w:ascii="Times New Roman" w:cs="Times New Roman"/>
              </w:rPr>
            </w:pPr>
            <w:r>
              <w:rPr>
                <w:rFonts w:ascii="Times New Roman" w:cs="Times New Roman"/>
              </w:rPr>
              <w:t>258+705</w:t>
            </w:r>
          </w:p>
        </w:tc>
        <w:tc>
          <w:tcPr>
            <w:tcW w:w="1298" w:type="pct"/>
            <w:tcBorders>
              <w:top w:val="nil"/>
              <w:left w:val="nil"/>
              <w:bottom w:val="single" w:color="000000" w:sz="4" w:space="0"/>
              <w:right w:val="single" w:color="000000" w:sz="4" w:space="0"/>
            </w:tcBorders>
            <w:shd w:val="clear" w:color="auto" w:fill="auto"/>
            <w:vAlign w:val="center"/>
          </w:tcPr>
          <w:p w14:paraId="2B8B6172">
            <w:pPr>
              <w:pStyle w:val="57"/>
              <w:rPr>
                <w:rFonts w:ascii="Times New Roman" w:cs="Times New Roman"/>
              </w:rPr>
            </w:pPr>
            <w:r>
              <w:rPr>
                <w:rFonts w:ascii="Times New Roman" w:cs="Times New Roman"/>
              </w:rPr>
              <w:t>21.9</w:t>
            </w:r>
          </w:p>
        </w:tc>
      </w:tr>
      <w:tr w14:paraId="236E4D83">
        <w:tblPrEx>
          <w:tblCellMar>
            <w:top w:w="0" w:type="dxa"/>
            <w:left w:w="108" w:type="dxa"/>
            <w:bottom w:w="0" w:type="dxa"/>
            <w:right w:w="108" w:type="dxa"/>
          </w:tblCellMar>
        </w:tblPrEx>
        <w:trPr>
          <w:trHeight w:val="20" w:hRule="atLeast"/>
        </w:trPr>
        <w:tc>
          <w:tcPr>
            <w:tcW w:w="509" w:type="pct"/>
            <w:tcBorders>
              <w:top w:val="nil"/>
              <w:left w:val="single" w:color="000000" w:sz="4" w:space="0"/>
              <w:bottom w:val="single" w:color="000000" w:sz="4" w:space="0"/>
              <w:right w:val="single" w:color="000000" w:sz="4" w:space="0"/>
            </w:tcBorders>
            <w:shd w:val="clear" w:color="auto" w:fill="auto"/>
            <w:vAlign w:val="center"/>
          </w:tcPr>
          <w:p w14:paraId="6959888E">
            <w:pPr>
              <w:pStyle w:val="57"/>
              <w:rPr>
                <w:rFonts w:ascii="Times New Roman" w:cs="Times New Roman"/>
              </w:rPr>
            </w:pPr>
            <w:r>
              <w:rPr>
                <w:rFonts w:ascii="Times New Roman" w:cs="Times New Roman"/>
              </w:rPr>
              <w:t>36</w:t>
            </w:r>
          </w:p>
        </w:tc>
        <w:tc>
          <w:tcPr>
            <w:tcW w:w="1035" w:type="pct"/>
            <w:tcBorders>
              <w:top w:val="nil"/>
              <w:left w:val="nil"/>
              <w:bottom w:val="single" w:color="000000" w:sz="4" w:space="0"/>
              <w:right w:val="single" w:color="000000" w:sz="4" w:space="0"/>
            </w:tcBorders>
            <w:shd w:val="clear" w:color="auto" w:fill="auto"/>
            <w:vAlign w:val="center"/>
          </w:tcPr>
          <w:p w14:paraId="57A2AC25">
            <w:pPr>
              <w:pStyle w:val="57"/>
              <w:rPr>
                <w:rFonts w:ascii="Times New Roman" w:cs="Times New Roman"/>
              </w:rPr>
            </w:pPr>
            <w:r>
              <w:rPr>
                <w:rFonts w:ascii="Times New Roman" w:cs="Times New Roman"/>
              </w:rPr>
              <w:t>靖江市</w:t>
            </w:r>
          </w:p>
        </w:tc>
        <w:tc>
          <w:tcPr>
            <w:tcW w:w="1211" w:type="pct"/>
            <w:tcBorders>
              <w:top w:val="nil"/>
              <w:left w:val="nil"/>
              <w:bottom w:val="single" w:color="auto" w:sz="4" w:space="0"/>
              <w:right w:val="single" w:color="auto" w:sz="4" w:space="0"/>
            </w:tcBorders>
            <w:shd w:val="clear" w:color="auto" w:fill="auto"/>
            <w:vAlign w:val="center"/>
          </w:tcPr>
          <w:p w14:paraId="35FBB64F">
            <w:pPr>
              <w:pStyle w:val="57"/>
              <w:rPr>
                <w:rFonts w:ascii="Times New Roman" w:cs="Times New Roman"/>
              </w:rPr>
            </w:pPr>
            <w:r>
              <w:rPr>
                <w:rFonts w:ascii="Times New Roman" w:cs="Times New Roman"/>
              </w:rPr>
              <w:t>下七圩闸</w:t>
            </w:r>
          </w:p>
        </w:tc>
        <w:tc>
          <w:tcPr>
            <w:tcW w:w="947" w:type="pct"/>
            <w:tcBorders>
              <w:top w:val="nil"/>
              <w:left w:val="nil"/>
              <w:bottom w:val="single" w:color="000000" w:sz="4" w:space="0"/>
              <w:right w:val="single" w:color="000000" w:sz="4" w:space="0"/>
            </w:tcBorders>
            <w:shd w:val="clear" w:color="auto" w:fill="auto"/>
            <w:vAlign w:val="center"/>
          </w:tcPr>
          <w:p w14:paraId="0FBA2FED">
            <w:pPr>
              <w:pStyle w:val="57"/>
              <w:rPr>
                <w:rFonts w:ascii="Times New Roman" w:cs="Times New Roman"/>
              </w:rPr>
            </w:pPr>
            <w:r>
              <w:rPr>
                <w:rFonts w:ascii="Times New Roman" w:cs="Times New Roman"/>
              </w:rPr>
              <w:t>260+468</w:t>
            </w:r>
          </w:p>
        </w:tc>
        <w:tc>
          <w:tcPr>
            <w:tcW w:w="1298" w:type="pct"/>
            <w:tcBorders>
              <w:top w:val="nil"/>
              <w:left w:val="nil"/>
              <w:bottom w:val="single" w:color="000000" w:sz="4" w:space="0"/>
              <w:right w:val="single" w:color="000000" w:sz="4" w:space="0"/>
            </w:tcBorders>
            <w:shd w:val="clear" w:color="auto" w:fill="auto"/>
            <w:vAlign w:val="center"/>
          </w:tcPr>
          <w:p w14:paraId="3A98DD79">
            <w:pPr>
              <w:pStyle w:val="57"/>
              <w:rPr>
                <w:rFonts w:ascii="Times New Roman" w:cs="Times New Roman"/>
              </w:rPr>
            </w:pPr>
            <w:r>
              <w:rPr>
                <w:rFonts w:ascii="Times New Roman" w:cs="Times New Roman"/>
              </w:rPr>
              <w:t>18.2</w:t>
            </w:r>
          </w:p>
        </w:tc>
      </w:tr>
      <w:tr w14:paraId="12801F2E">
        <w:tblPrEx>
          <w:tblCellMar>
            <w:top w:w="0" w:type="dxa"/>
            <w:left w:w="108" w:type="dxa"/>
            <w:bottom w:w="0" w:type="dxa"/>
            <w:right w:w="108" w:type="dxa"/>
          </w:tblCellMar>
        </w:tblPrEx>
        <w:trPr>
          <w:trHeight w:val="20" w:hRule="atLeast"/>
        </w:trPr>
        <w:tc>
          <w:tcPr>
            <w:tcW w:w="509" w:type="pct"/>
            <w:tcBorders>
              <w:top w:val="nil"/>
              <w:left w:val="single" w:color="000000" w:sz="4" w:space="0"/>
              <w:bottom w:val="single" w:color="000000" w:sz="4" w:space="0"/>
              <w:right w:val="single" w:color="000000" w:sz="4" w:space="0"/>
            </w:tcBorders>
            <w:shd w:val="clear" w:color="auto" w:fill="auto"/>
            <w:vAlign w:val="center"/>
          </w:tcPr>
          <w:p w14:paraId="237EE0AF">
            <w:pPr>
              <w:pStyle w:val="57"/>
              <w:rPr>
                <w:rFonts w:ascii="Times New Roman" w:cs="Times New Roman"/>
              </w:rPr>
            </w:pPr>
            <w:r>
              <w:rPr>
                <w:rFonts w:ascii="Times New Roman" w:cs="Times New Roman"/>
              </w:rPr>
              <w:t>37</w:t>
            </w:r>
          </w:p>
        </w:tc>
        <w:tc>
          <w:tcPr>
            <w:tcW w:w="1035" w:type="pct"/>
            <w:tcBorders>
              <w:top w:val="nil"/>
              <w:left w:val="nil"/>
              <w:bottom w:val="single" w:color="000000" w:sz="4" w:space="0"/>
              <w:right w:val="single" w:color="000000" w:sz="4" w:space="0"/>
            </w:tcBorders>
            <w:shd w:val="clear" w:color="auto" w:fill="auto"/>
            <w:vAlign w:val="center"/>
          </w:tcPr>
          <w:p w14:paraId="4C1BC5BC">
            <w:pPr>
              <w:pStyle w:val="57"/>
              <w:rPr>
                <w:rFonts w:ascii="Times New Roman" w:cs="Times New Roman"/>
              </w:rPr>
            </w:pPr>
            <w:r>
              <w:rPr>
                <w:rFonts w:ascii="Times New Roman" w:cs="Times New Roman"/>
              </w:rPr>
              <w:t>靖江市</w:t>
            </w:r>
          </w:p>
        </w:tc>
        <w:tc>
          <w:tcPr>
            <w:tcW w:w="1211" w:type="pct"/>
            <w:tcBorders>
              <w:top w:val="nil"/>
              <w:left w:val="nil"/>
              <w:bottom w:val="single" w:color="000000" w:sz="4" w:space="0"/>
              <w:right w:val="single" w:color="000000" w:sz="4" w:space="0"/>
            </w:tcBorders>
            <w:shd w:val="clear" w:color="auto" w:fill="auto"/>
            <w:vAlign w:val="center"/>
          </w:tcPr>
          <w:p w14:paraId="4E97B73B">
            <w:pPr>
              <w:pStyle w:val="57"/>
              <w:rPr>
                <w:rFonts w:ascii="Times New Roman" w:cs="Times New Roman"/>
              </w:rPr>
            </w:pPr>
            <w:r>
              <w:rPr>
                <w:rFonts w:ascii="Times New Roman" w:cs="Times New Roman"/>
              </w:rPr>
              <w:t>八圩港闸</w:t>
            </w:r>
          </w:p>
        </w:tc>
        <w:tc>
          <w:tcPr>
            <w:tcW w:w="947" w:type="pct"/>
            <w:tcBorders>
              <w:top w:val="nil"/>
              <w:left w:val="nil"/>
              <w:bottom w:val="single" w:color="000000" w:sz="4" w:space="0"/>
              <w:right w:val="single" w:color="000000" w:sz="4" w:space="0"/>
            </w:tcBorders>
            <w:shd w:val="clear" w:color="auto" w:fill="auto"/>
            <w:vAlign w:val="center"/>
          </w:tcPr>
          <w:p w14:paraId="453BA86E">
            <w:pPr>
              <w:pStyle w:val="57"/>
              <w:rPr>
                <w:rFonts w:ascii="Times New Roman" w:cs="Times New Roman"/>
              </w:rPr>
            </w:pPr>
            <w:r>
              <w:rPr>
                <w:rFonts w:ascii="Times New Roman" w:cs="Times New Roman"/>
              </w:rPr>
              <w:t>261+424</w:t>
            </w:r>
          </w:p>
        </w:tc>
        <w:tc>
          <w:tcPr>
            <w:tcW w:w="1298" w:type="pct"/>
            <w:tcBorders>
              <w:top w:val="nil"/>
              <w:left w:val="nil"/>
              <w:bottom w:val="single" w:color="000000" w:sz="4" w:space="0"/>
              <w:right w:val="single" w:color="000000" w:sz="4" w:space="0"/>
            </w:tcBorders>
            <w:shd w:val="clear" w:color="auto" w:fill="auto"/>
            <w:vAlign w:val="center"/>
          </w:tcPr>
          <w:p w14:paraId="639360B3">
            <w:pPr>
              <w:pStyle w:val="57"/>
              <w:rPr>
                <w:rFonts w:ascii="Times New Roman" w:cs="Times New Roman"/>
              </w:rPr>
            </w:pPr>
            <w:r>
              <w:rPr>
                <w:rFonts w:ascii="Times New Roman" w:cs="Times New Roman"/>
              </w:rPr>
              <w:t>30</w:t>
            </w:r>
          </w:p>
        </w:tc>
      </w:tr>
      <w:tr w14:paraId="33C17642">
        <w:tblPrEx>
          <w:tblCellMar>
            <w:top w:w="0" w:type="dxa"/>
            <w:left w:w="108" w:type="dxa"/>
            <w:bottom w:w="0" w:type="dxa"/>
            <w:right w:w="108" w:type="dxa"/>
          </w:tblCellMar>
        </w:tblPrEx>
        <w:trPr>
          <w:trHeight w:val="20" w:hRule="atLeast"/>
        </w:trPr>
        <w:tc>
          <w:tcPr>
            <w:tcW w:w="509" w:type="pct"/>
            <w:tcBorders>
              <w:top w:val="nil"/>
              <w:left w:val="single" w:color="000000" w:sz="4" w:space="0"/>
              <w:bottom w:val="single" w:color="000000" w:sz="4" w:space="0"/>
              <w:right w:val="single" w:color="000000" w:sz="4" w:space="0"/>
            </w:tcBorders>
            <w:shd w:val="clear" w:color="auto" w:fill="auto"/>
            <w:vAlign w:val="center"/>
          </w:tcPr>
          <w:p w14:paraId="58E04577">
            <w:pPr>
              <w:pStyle w:val="57"/>
              <w:rPr>
                <w:rFonts w:ascii="Times New Roman" w:cs="Times New Roman"/>
              </w:rPr>
            </w:pPr>
            <w:r>
              <w:rPr>
                <w:rFonts w:ascii="Times New Roman" w:cs="Times New Roman"/>
              </w:rPr>
              <w:t>38</w:t>
            </w:r>
          </w:p>
        </w:tc>
        <w:tc>
          <w:tcPr>
            <w:tcW w:w="1035" w:type="pct"/>
            <w:tcBorders>
              <w:top w:val="nil"/>
              <w:left w:val="nil"/>
              <w:bottom w:val="single" w:color="000000" w:sz="4" w:space="0"/>
              <w:right w:val="single" w:color="000000" w:sz="4" w:space="0"/>
            </w:tcBorders>
            <w:shd w:val="clear" w:color="auto" w:fill="auto"/>
            <w:vAlign w:val="center"/>
          </w:tcPr>
          <w:p w14:paraId="1403F222">
            <w:pPr>
              <w:pStyle w:val="57"/>
              <w:rPr>
                <w:rFonts w:ascii="Times New Roman" w:cs="Times New Roman"/>
              </w:rPr>
            </w:pPr>
            <w:r>
              <w:rPr>
                <w:rFonts w:ascii="Times New Roman" w:cs="Times New Roman"/>
              </w:rPr>
              <w:t>靖江市</w:t>
            </w:r>
          </w:p>
        </w:tc>
        <w:tc>
          <w:tcPr>
            <w:tcW w:w="1211" w:type="pct"/>
            <w:tcBorders>
              <w:top w:val="nil"/>
              <w:left w:val="nil"/>
              <w:bottom w:val="single" w:color="000000" w:sz="4" w:space="0"/>
              <w:right w:val="single" w:color="000000" w:sz="4" w:space="0"/>
            </w:tcBorders>
            <w:shd w:val="clear" w:color="auto" w:fill="auto"/>
            <w:vAlign w:val="center"/>
          </w:tcPr>
          <w:p w14:paraId="2C11A2AB">
            <w:pPr>
              <w:pStyle w:val="57"/>
              <w:rPr>
                <w:rFonts w:ascii="Times New Roman" w:cs="Times New Roman"/>
              </w:rPr>
            </w:pPr>
            <w:r>
              <w:rPr>
                <w:rFonts w:ascii="Times New Roman" w:cs="Times New Roman"/>
              </w:rPr>
              <w:t>十圩节制闸</w:t>
            </w:r>
          </w:p>
        </w:tc>
        <w:tc>
          <w:tcPr>
            <w:tcW w:w="947" w:type="pct"/>
            <w:tcBorders>
              <w:top w:val="nil"/>
              <w:left w:val="nil"/>
              <w:bottom w:val="single" w:color="000000" w:sz="4" w:space="0"/>
              <w:right w:val="single" w:color="000000" w:sz="4" w:space="0"/>
            </w:tcBorders>
            <w:shd w:val="clear" w:color="auto" w:fill="auto"/>
            <w:vAlign w:val="center"/>
          </w:tcPr>
          <w:p w14:paraId="5E51E333">
            <w:pPr>
              <w:pStyle w:val="57"/>
              <w:rPr>
                <w:rFonts w:ascii="Times New Roman" w:cs="Times New Roman"/>
              </w:rPr>
            </w:pPr>
            <w:r>
              <w:rPr>
                <w:rFonts w:ascii="Times New Roman" w:cs="Times New Roman"/>
              </w:rPr>
              <w:t>264+360</w:t>
            </w:r>
          </w:p>
        </w:tc>
        <w:tc>
          <w:tcPr>
            <w:tcW w:w="1298" w:type="pct"/>
            <w:tcBorders>
              <w:top w:val="nil"/>
              <w:left w:val="nil"/>
              <w:bottom w:val="single" w:color="000000" w:sz="4" w:space="0"/>
              <w:right w:val="single" w:color="000000" w:sz="4" w:space="0"/>
            </w:tcBorders>
            <w:shd w:val="clear" w:color="auto" w:fill="auto"/>
            <w:vAlign w:val="center"/>
          </w:tcPr>
          <w:p w14:paraId="7260DCBE">
            <w:pPr>
              <w:pStyle w:val="57"/>
              <w:rPr>
                <w:rFonts w:ascii="Times New Roman" w:cs="Times New Roman"/>
              </w:rPr>
            </w:pPr>
            <w:r>
              <w:rPr>
                <w:rFonts w:ascii="Times New Roman" w:cs="Times New Roman"/>
              </w:rPr>
              <w:t>111</w:t>
            </w:r>
          </w:p>
        </w:tc>
      </w:tr>
      <w:tr w14:paraId="6A60352E">
        <w:tblPrEx>
          <w:tblCellMar>
            <w:top w:w="0" w:type="dxa"/>
            <w:left w:w="108" w:type="dxa"/>
            <w:bottom w:w="0" w:type="dxa"/>
            <w:right w:w="108" w:type="dxa"/>
          </w:tblCellMar>
        </w:tblPrEx>
        <w:trPr>
          <w:trHeight w:val="20" w:hRule="atLeast"/>
        </w:trPr>
        <w:tc>
          <w:tcPr>
            <w:tcW w:w="509" w:type="pct"/>
            <w:tcBorders>
              <w:top w:val="nil"/>
              <w:left w:val="single" w:color="000000" w:sz="4" w:space="0"/>
              <w:bottom w:val="single" w:color="000000" w:sz="4" w:space="0"/>
              <w:right w:val="single" w:color="000000" w:sz="4" w:space="0"/>
            </w:tcBorders>
            <w:shd w:val="clear" w:color="auto" w:fill="auto"/>
            <w:vAlign w:val="center"/>
          </w:tcPr>
          <w:p w14:paraId="1CC47205">
            <w:pPr>
              <w:pStyle w:val="57"/>
              <w:rPr>
                <w:rFonts w:ascii="Times New Roman" w:cs="Times New Roman"/>
              </w:rPr>
            </w:pPr>
            <w:r>
              <w:rPr>
                <w:rFonts w:ascii="Times New Roman" w:cs="Times New Roman"/>
              </w:rPr>
              <w:t>39</w:t>
            </w:r>
          </w:p>
        </w:tc>
        <w:tc>
          <w:tcPr>
            <w:tcW w:w="1035" w:type="pct"/>
            <w:tcBorders>
              <w:top w:val="nil"/>
              <w:left w:val="nil"/>
              <w:bottom w:val="single" w:color="000000" w:sz="4" w:space="0"/>
              <w:right w:val="single" w:color="000000" w:sz="4" w:space="0"/>
            </w:tcBorders>
            <w:shd w:val="clear" w:color="auto" w:fill="auto"/>
            <w:vAlign w:val="center"/>
          </w:tcPr>
          <w:p w14:paraId="03DD00B5">
            <w:pPr>
              <w:pStyle w:val="57"/>
              <w:rPr>
                <w:rFonts w:ascii="Times New Roman" w:cs="Times New Roman"/>
              </w:rPr>
            </w:pPr>
            <w:r>
              <w:rPr>
                <w:rFonts w:ascii="Times New Roman" w:cs="Times New Roman"/>
              </w:rPr>
              <w:t>靖江市</w:t>
            </w:r>
          </w:p>
        </w:tc>
        <w:tc>
          <w:tcPr>
            <w:tcW w:w="1211" w:type="pct"/>
            <w:tcBorders>
              <w:top w:val="nil"/>
              <w:left w:val="nil"/>
              <w:bottom w:val="single" w:color="000000" w:sz="4" w:space="0"/>
              <w:right w:val="single" w:color="000000" w:sz="4" w:space="0"/>
            </w:tcBorders>
            <w:shd w:val="clear" w:color="auto" w:fill="auto"/>
            <w:vAlign w:val="center"/>
          </w:tcPr>
          <w:p w14:paraId="4E6D9091">
            <w:pPr>
              <w:pStyle w:val="57"/>
              <w:rPr>
                <w:rFonts w:ascii="Times New Roman" w:cs="Times New Roman"/>
              </w:rPr>
            </w:pPr>
            <w:r>
              <w:rPr>
                <w:rFonts w:ascii="Times New Roman" w:cs="Times New Roman"/>
              </w:rPr>
              <w:t>天生港闸</w:t>
            </w:r>
          </w:p>
        </w:tc>
        <w:tc>
          <w:tcPr>
            <w:tcW w:w="947" w:type="pct"/>
            <w:tcBorders>
              <w:top w:val="nil"/>
              <w:left w:val="nil"/>
              <w:bottom w:val="single" w:color="000000" w:sz="4" w:space="0"/>
              <w:right w:val="single" w:color="000000" w:sz="4" w:space="0"/>
            </w:tcBorders>
            <w:shd w:val="clear" w:color="auto" w:fill="auto"/>
            <w:vAlign w:val="center"/>
          </w:tcPr>
          <w:p w14:paraId="2DA3F557">
            <w:pPr>
              <w:pStyle w:val="57"/>
              <w:rPr>
                <w:rFonts w:ascii="Times New Roman" w:cs="Times New Roman"/>
              </w:rPr>
            </w:pPr>
            <w:r>
              <w:rPr>
                <w:rFonts w:ascii="Times New Roman" w:cs="Times New Roman"/>
              </w:rPr>
              <w:t>265+598</w:t>
            </w:r>
          </w:p>
        </w:tc>
        <w:tc>
          <w:tcPr>
            <w:tcW w:w="1298" w:type="pct"/>
            <w:tcBorders>
              <w:top w:val="nil"/>
              <w:left w:val="nil"/>
              <w:bottom w:val="single" w:color="000000" w:sz="4" w:space="0"/>
              <w:right w:val="single" w:color="000000" w:sz="4" w:space="0"/>
            </w:tcBorders>
            <w:shd w:val="clear" w:color="auto" w:fill="auto"/>
            <w:vAlign w:val="center"/>
          </w:tcPr>
          <w:p w14:paraId="330D2B59">
            <w:pPr>
              <w:pStyle w:val="57"/>
              <w:rPr>
                <w:rFonts w:ascii="Times New Roman" w:cs="Times New Roman"/>
              </w:rPr>
            </w:pPr>
            <w:r>
              <w:rPr>
                <w:rFonts w:ascii="Times New Roman" w:cs="Times New Roman"/>
              </w:rPr>
              <w:t>28.4</w:t>
            </w:r>
          </w:p>
        </w:tc>
      </w:tr>
      <w:tr w14:paraId="50DFD4A0">
        <w:tblPrEx>
          <w:tblCellMar>
            <w:top w:w="0" w:type="dxa"/>
            <w:left w:w="108" w:type="dxa"/>
            <w:bottom w:w="0" w:type="dxa"/>
            <w:right w:w="108" w:type="dxa"/>
          </w:tblCellMar>
        </w:tblPrEx>
        <w:trPr>
          <w:trHeight w:val="20" w:hRule="atLeast"/>
        </w:trPr>
        <w:tc>
          <w:tcPr>
            <w:tcW w:w="509" w:type="pct"/>
            <w:tcBorders>
              <w:top w:val="nil"/>
              <w:left w:val="single" w:color="000000" w:sz="4" w:space="0"/>
              <w:bottom w:val="single" w:color="000000" w:sz="4" w:space="0"/>
              <w:right w:val="single" w:color="000000" w:sz="4" w:space="0"/>
            </w:tcBorders>
            <w:shd w:val="clear" w:color="auto" w:fill="auto"/>
            <w:vAlign w:val="center"/>
          </w:tcPr>
          <w:p w14:paraId="7C258A16">
            <w:pPr>
              <w:pStyle w:val="57"/>
              <w:rPr>
                <w:rFonts w:ascii="Times New Roman" w:cs="Times New Roman"/>
              </w:rPr>
            </w:pPr>
            <w:r>
              <w:rPr>
                <w:rFonts w:ascii="Times New Roman" w:cs="Times New Roman"/>
              </w:rPr>
              <w:t>40</w:t>
            </w:r>
          </w:p>
        </w:tc>
        <w:tc>
          <w:tcPr>
            <w:tcW w:w="1035" w:type="pct"/>
            <w:tcBorders>
              <w:top w:val="nil"/>
              <w:left w:val="nil"/>
              <w:bottom w:val="single" w:color="000000" w:sz="4" w:space="0"/>
              <w:right w:val="single" w:color="000000" w:sz="4" w:space="0"/>
            </w:tcBorders>
            <w:shd w:val="clear" w:color="auto" w:fill="auto"/>
            <w:vAlign w:val="center"/>
          </w:tcPr>
          <w:p w14:paraId="3B4A0943">
            <w:pPr>
              <w:pStyle w:val="57"/>
              <w:rPr>
                <w:rFonts w:ascii="Times New Roman" w:cs="Times New Roman"/>
              </w:rPr>
            </w:pPr>
            <w:r>
              <w:rPr>
                <w:rFonts w:ascii="Times New Roman" w:cs="Times New Roman"/>
              </w:rPr>
              <w:t>靖江市</w:t>
            </w:r>
          </w:p>
        </w:tc>
        <w:tc>
          <w:tcPr>
            <w:tcW w:w="1211" w:type="pct"/>
            <w:tcBorders>
              <w:top w:val="nil"/>
              <w:left w:val="nil"/>
              <w:bottom w:val="single" w:color="000000" w:sz="4" w:space="0"/>
              <w:right w:val="single" w:color="000000" w:sz="4" w:space="0"/>
            </w:tcBorders>
            <w:shd w:val="clear" w:color="auto" w:fill="auto"/>
            <w:vAlign w:val="center"/>
          </w:tcPr>
          <w:p w14:paraId="343317FA">
            <w:pPr>
              <w:pStyle w:val="57"/>
              <w:rPr>
                <w:rFonts w:ascii="Times New Roman" w:cs="Times New Roman"/>
              </w:rPr>
            </w:pPr>
            <w:r>
              <w:rPr>
                <w:rFonts w:ascii="Times New Roman" w:cs="Times New Roman"/>
              </w:rPr>
              <w:t>小桥港闸</w:t>
            </w:r>
          </w:p>
        </w:tc>
        <w:tc>
          <w:tcPr>
            <w:tcW w:w="947" w:type="pct"/>
            <w:tcBorders>
              <w:top w:val="nil"/>
              <w:left w:val="nil"/>
              <w:bottom w:val="single" w:color="000000" w:sz="4" w:space="0"/>
              <w:right w:val="single" w:color="000000" w:sz="4" w:space="0"/>
            </w:tcBorders>
            <w:shd w:val="clear" w:color="auto" w:fill="auto"/>
            <w:vAlign w:val="center"/>
          </w:tcPr>
          <w:p w14:paraId="62FBE5AA">
            <w:pPr>
              <w:pStyle w:val="57"/>
              <w:rPr>
                <w:rFonts w:ascii="Times New Roman" w:cs="Times New Roman"/>
              </w:rPr>
            </w:pPr>
            <w:r>
              <w:rPr>
                <w:rFonts w:ascii="Times New Roman" w:cs="Times New Roman"/>
              </w:rPr>
              <w:t>267+634</w:t>
            </w:r>
          </w:p>
        </w:tc>
        <w:tc>
          <w:tcPr>
            <w:tcW w:w="1298" w:type="pct"/>
            <w:tcBorders>
              <w:top w:val="nil"/>
              <w:left w:val="nil"/>
              <w:bottom w:val="single" w:color="000000" w:sz="4" w:space="0"/>
              <w:right w:val="single" w:color="000000" w:sz="4" w:space="0"/>
            </w:tcBorders>
            <w:shd w:val="clear" w:color="auto" w:fill="auto"/>
            <w:vAlign w:val="center"/>
          </w:tcPr>
          <w:p w14:paraId="7FF940D6">
            <w:pPr>
              <w:pStyle w:val="57"/>
              <w:rPr>
                <w:rFonts w:ascii="Times New Roman" w:cs="Times New Roman"/>
              </w:rPr>
            </w:pPr>
            <w:r>
              <w:rPr>
                <w:rFonts w:ascii="Times New Roman" w:cs="Times New Roman"/>
              </w:rPr>
              <w:t>17.4</w:t>
            </w:r>
          </w:p>
        </w:tc>
      </w:tr>
      <w:tr w14:paraId="09470B92">
        <w:tblPrEx>
          <w:tblCellMar>
            <w:top w:w="0" w:type="dxa"/>
            <w:left w:w="108" w:type="dxa"/>
            <w:bottom w:w="0" w:type="dxa"/>
            <w:right w:w="108" w:type="dxa"/>
          </w:tblCellMar>
        </w:tblPrEx>
        <w:trPr>
          <w:trHeight w:val="20" w:hRule="atLeast"/>
        </w:trPr>
        <w:tc>
          <w:tcPr>
            <w:tcW w:w="509" w:type="pct"/>
            <w:tcBorders>
              <w:top w:val="nil"/>
              <w:left w:val="single" w:color="000000" w:sz="4" w:space="0"/>
              <w:bottom w:val="single" w:color="000000" w:sz="4" w:space="0"/>
              <w:right w:val="single" w:color="000000" w:sz="4" w:space="0"/>
            </w:tcBorders>
            <w:shd w:val="clear" w:color="auto" w:fill="auto"/>
            <w:vAlign w:val="center"/>
          </w:tcPr>
          <w:p w14:paraId="002CAC67">
            <w:pPr>
              <w:pStyle w:val="57"/>
              <w:rPr>
                <w:rFonts w:ascii="Times New Roman" w:cs="Times New Roman"/>
              </w:rPr>
            </w:pPr>
            <w:r>
              <w:rPr>
                <w:rFonts w:ascii="Times New Roman" w:cs="Times New Roman"/>
              </w:rPr>
              <w:t>41</w:t>
            </w:r>
          </w:p>
        </w:tc>
        <w:tc>
          <w:tcPr>
            <w:tcW w:w="1035" w:type="pct"/>
            <w:tcBorders>
              <w:top w:val="nil"/>
              <w:left w:val="nil"/>
              <w:bottom w:val="single" w:color="000000" w:sz="4" w:space="0"/>
              <w:right w:val="single" w:color="000000" w:sz="4" w:space="0"/>
            </w:tcBorders>
            <w:shd w:val="clear" w:color="auto" w:fill="auto"/>
            <w:vAlign w:val="center"/>
          </w:tcPr>
          <w:p w14:paraId="666052E5">
            <w:pPr>
              <w:pStyle w:val="57"/>
              <w:rPr>
                <w:rFonts w:ascii="Times New Roman" w:cs="Times New Roman"/>
              </w:rPr>
            </w:pPr>
            <w:r>
              <w:rPr>
                <w:rFonts w:ascii="Times New Roman" w:cs="Times New Roman"/>
              </w:rPr>
              <w:t>靖江市</w:t>
            </w:r>
          </w:p>
        </w:tc>
        <w:tc>
          <w:tcPr>
            <w:tcW w:w="1211" w:type="pct"/>
            <w:tcBorders>
              <w:top w:val="nil"/>
              <w:left w:val="nil"/>
              <w:bottom w:val="single" w:color="000000" w:sz="4" w:space="0"/>
              <w:right w:val="single" w:color="000000" w:sz="4" w:space="0"/>
            </w:tcBorders>
            <w:shd w:val="clear" w:color="auto" w:fill="auto"/>
            <w:vAlign w:val="center"/>
          </w:tcPr>
          <w:p w14:paraId="39FC22D7">
            <w:pPr>
              <w:pStyle w:val="57"/>
              <w:rPr>
                <w:rFonts w:ascii="Times New Roman" w:cs="Times New Roman"/>
              </w:rPr>
            </w:pPr>
            <w:r>
              <w:rPr>
                <w:rFonts w:ascii="Times New Roman" w:cs="Times New Roman"/>
              </w:rPr>
              <w:t>蟛蜞港闸</w:t>
            </w:r>
          </w:p>
        </w:tc>
        <w:tc>
          <w:tcPr>
            <w:tcW w:w="947" w:type="pct"/>
            <w:tcBorders>
              <w:top w:val="nil"/>
              <w:left w:val="nil"/>
              <w:bottom w:val="single" w:color="000000" w:sz="4" w:space="0"/>
              <w:right w:val="single" w:color="000000" w:sz="4" w:space="0"/>
            </w:tcBorders>
            <w:shd w:val="clear" w:color="auto" w:fill="auto"/>
            <w:vAlign w:val="center"/>
          </w:tcPr>
          <w:p w14:paraId="47908BBF">
            <w:pPr>
              <w:pStyle w:val="57"/>
              <w:rPr>
                <w:rFonts w:ascii="Times New Roman" w:cs="Times New Roman"/>
              </w:rPr>
            </w:pPr>
            <w:r>
              <w:rPr>
                <w:rFonts w:ascii="Times New Roman" w:cs="Times New Roman"/>
              </w:rPr>
              <w:t>271+202</w:t>
            </w:r>
          </w:p>
        </w:tc>
        <w:tc>
          <w:tcPr>
            <w:tcW w:w="1298" w:type="pct"/>
            <w:tcBorders>
              <w:top w:val="nil"/>
              <w:left w:val="nil"/>
              <w:bottom w:val="single" w:color="000000" w:sz="4" w:space="0"/>
              <w:right w:val="single" w:color="000000" w:sz="4" w:space="0"/>
            </w:tcBorders>
            <w:shd w:val="clear" w:color="auto" w:fill="auto"/>
            <w:vAlign w:val="center"/>
          </w:tcPr>
          <w:p w14:paraId="1B1BD7D3">
            <w:pPr>
              <w:pStyle w:val="57"/>
              <w:rPr>
                <w:rFonts w:ascii="Times New Roman" w:cs="Times New Roman"/>
              </w:rPr>
            </w:pPr>
            <w:r>
              <w:rPr>
                <w:rFonts w:ascii="Times New Roman" w:cs="Times New Roman"/>
              </w:rPr>
              <w:t>20</w:t>
            </w:r>
          </w:p>
        </w:tc>
      </w:tr>
      <w:tr w14:paraId="7536E35C">
        <w:tblPrEx>
          <w:tblCellMar>
            <w:top w:w="0" w:type="dxa"/>
            <w:left w:w="108" w:type="dxa"/>
            <w:bottom w:w="0" w:type="dxa"/>
            <w:right w:w="108" w:type="dxa"/>
          </w:tblCellMar>
        </w:tblPrEx>
        <w:trPr>
          <w:trHeight w:val="20" w:hRule="atLeast"/>
        </w:trPr>
        <w:tc>
          <w:tcPr>
            <w:tcW w:w="509" w:type="pct"/>
            <w:tcBorders>
              <w:top w:val="nil"/>
              <w:left w:val="single" w:color="000000" w:sz="4" w:space="0"/>
              <w:bottom w:val="single" w:color="000000" w:sz="4" w:space="0"/>
              <w:right w:val="single" w:color="000000" w:sz="4" w:space="0"/>
            </w:tcBorders>
            <w:shd w:val="clear" w:color="auto" w:fill="auto"/>
            <w:vAlign w:val="center"/>
          </w:tcPr>
          <w:p w14:paraId="63686B67">
            <w:pPr>
              <w:pStyle w:val="57"/>
              <w:rPr>
                <w:rFonts w:ascii="Times New Roman" w:cs="Times New Roman"/>
              </w:rPr>
            </w:pPr>
            <w:r>
              <w:rPr>
                <w:rFonts w:ascii="Times New Roman" w:cs="Times New Roman"/>
              </w:rPr>
              <w:t>42</w:t>
            </w:r>
          </w:p>
        </w:tc>
        <w:tc>
          <w:tcPr>
            <w:tcW w:w="1035" w:type="pct"/>
            <w:tcBorders>
              <w:top w:val="nil"/>
              <w:left w:val="nil"/>
              <w:bottom w:val="single" w:color="000000" w:sz="4" w:space="0"/>
              <w:right w:val="single" w:color="000000" w:sz="4" w:space="0"/>
            </w:tcBorders>
            <w:shd w:val="clear" w:color="auto" w:fill="auto"/>
            <w:vAlign w:val="center"/>
          </w:tcPr>
          <w:p w14:paraId="358A0C3F">
            <w:pPr>
              <w:pStyle w:val="57"/>
              <w:rPr>
                <w:rFonts w:ascii="Times New Roman" w:cs="Times New Roman"/>
              </w:rPr>
            </w:pPr>
            <w:r>
              <w:rPr>
                <w:rFonts w:ascii="Times New Roman" w:cs="Times New Roman"/>
              </w:rPr>
              <w:t>靖江市</w:t>
            </w:r>
          </w:p>
        </w:tc>
        <w:tc>
          <w:tcPr>
            <w:tcW w:w="1211" w:type="pct"/>
            <w:tcBorders>
              <w:top w:val="nil"/>
              <w:left w:val="nil"/>
              <w:bottom w:val="single" w:color="auto" w:sz="4" w:space="0"/>
              <w:right w:val="single" w:color="auto" w:sz="4" w:space="0"/>
            </w:tcBorders>
            <w:shd w:val="clear" w:color="auto" w:fill="auto"/>
            <w:vAlign w:val="center"/>
          </w:tcPr>
          <w:p w14:paraId="2AEDAB0E">
            <w:pPr>
              <w:pStyle w:val="57"/>
              <w:rPr>
                <w:rFonts w:ascii="Times New Roman" w:cs="Times New Roman"/>
              </w:rPr>
            </w:pPr>
            <w:r>
              <w:rPr>
                <w:rFonts w:ascii="Times New Roman" w:cs="Times New Roman"/>
              </w:rPr>
              <w:t>罗家桥港闸</w:t>
            </w:r>
          </w:p>
        </w:tc>
        <w:tc>
          <w:tcPr>
            <w:tcW w:w="947" w:type="pct"/>
            <w:tcBorders>
              <w:top w:val="nil"/>
              <w:left w:val="nil"/>
              <w:bottom w:val="single" w:color="000000" w:sz="4" w:space="0"/>
              <w:right w:val="single" w:color="000000" w:sz="4" w:space="0"/>
            </w:tcBorders>
            <w:shd w:val="clear" w:color="auto" w:fill="auto"/>
            <w:vAlign w:val="center"/>
          </w:tcPr>
          <w:p w14:paraId="4E871B40">
            <w:pPr>
              <w:pStyle w:val="57"/>
              <w:rPr>
                <w:rFonts w:ascii="Times New Roman" w:cs="Times New Roman"/>
              </w:rPr>
            </w:pPr>
            <w:r>
              <w:rPr>
                <w:rFonts w:ascii="Times New Roman" w:cs="Times New Roman"/>
              </w:rPr>
              <w:t>272+523</w:t>
            </w:r>
          </w:p>
        </w:tc>
        <w:tc>
          <w:tcPr>
            <w:tcW w:w="1298" w:type="pct"/>
            <w:tcBorders>
              <w:top w:val="nil"/>
              <w:left w:val="nil"/>
              <w:bottom w:val="single" w:color="000000" w:sz="4" w:space="0"/>
              <w:right w:val="single" w:color="000000" w:sz="4" w:space="0"/>
            </w:tcBorders>
            <w:shd w:val="clear" w:color="auto" w:fill="auto"/>
            <w:vAlign w:val="center"/>
          </w:tcPr>
          <w:p w14:paraId="65B0CDF4">
            <w:pPr>
              <w:pStyle w:val="57"/>
              <w:rPr>
                <w:rFonts w:ascii="Times New Roman" w:cs="Times New Roman"/>
              </w:rPr>
            </w:pPr>
            <w:r>
              <w:rPr>
                <w:rFonts w:ascii="Times New Roman" w:cs="Times New Roman"/>
              </w:rPr>
              <w:t>58.5</w:t>
            </w:r>
          </w:p>
        </w:tc>
      </w:tr>
      <w:tr w14:paraId="6D53890F">
        <w:tblPrEx>
          <w:tblCellMar>
            <w:top w:w="0" w:type="dxa"/>
            <w:left w:w="108" w:type="dxa"/>
            <w:bottom w:w="0" w:type="dxa"/>
            <w:right w:w="108" w:type="dxa"/>
          </w:tblCellMar>
        </w:tblPrEx>
        <w:trPr>
          <w:trHeight w:val="20" w:hRule="atLeast"/>
        </w:trPr>
        <w:tc>
          <w:tcPr>
            <w:tcW w:w="509" w:type="pct"/>
            <w:tcBorders>
              <w:top w:val="nil"/>
              <w:left w:val="single" w:color="000000" w:sz="4" w:space="0"/>
              <w:bottom w:val="single" w:color="000000" w:sz="4" w:space="0"/>
              <w:right w:val="single" w:color="000000" w:sz="4" w:space="0"/>
            </w:tcBorders>
            <w:shd w:val="clear" w:color="auto" w:fill="auto"/>
            <w:vAlign w:val="center"/>
          </w:tcPr>
          <w:p w14:paraId="4C055110">
            <w:pPr>
              <w:pStyle w:val="57"/>
              <w:rPr>
                <w:rFonts w:ascii="Times New Roman" w:cs="Times New Roman"/>
              </w:rPr>
            </w:pPr>
            <w:r>
              <w:rPr>
                <w:rFonts w:ascii="Times New Roman" w:cs="Times New Roman"/>
              </w:rPr>
              <w:t>43</w:t>
            </w:r>
          </w:p>
        </w:tc>
        <w:tc>
          <w:tcPr>
            <w:tcW w:w="1035" w:type="pct"/>
            <w:tcBorders>
              <w:top w:val="nil"/>
              <w:left w:val="nil"/>
              <w:bottom w:val="single" w:color="000000" w:sz="4" w:space="0"/>
              <w:right w:val="single" w:color="000000" w:sz="4" w:space="0"/>
            </w:tcBorders>
            <w:shd w:val="clear" w:color="auto" w:fill="auto"/>
            <w:vAlign w:val="center"/>
          </w:tcPr>
          <w:p w14:paraId="367B84D9">
            <w:pPr>
              <w:pStyle w:val="57"/>
              <w:rPr>
                <w:rFonts w:ascii="Times New Roman" w:cs="Times New Roman"/>
              </w:rPr>
            </w:pPr>
            <w:r>
              <w:rPr>
                <w:rFonts w:ascii="Times New Roman" w:cs="Times New Roman"/>
              </w:rPr>
              <w:t>靖江市</w:t>
            </w:r>
          </w:p>
        </w:tc>
        <w:tc>
          <w:tcPr>
            <w:tcW w:w="1211" w:type="pct"/>
            <w:tcBorders>
              <w:top w:val="nil"/>
              <w:left w:val="nil"/>
              <w:bottom w:val="single" w:color="000000" w:sz="4" w:space="0"/>
              <w:right w:val="single" w:color="000000" w:sz="4" w:space="0"/>
            </w:tcBorders>
            <w:shd w:val="clear" w:color="auto" w:fill="auto"/>
            <w:vAlign w:val="center"/>
          </w:tcPr>
          <w:p w14:paraId="1F03553D">
            <w:pPr>
              <w:pStyle w:val="57"/>
              <w:rPr>
                <w:rFonts w:ascii="Times New Roman" w:cs="Times New Roman"/>
              </w:rPr>
            </w:pPr>
            <w:r>
              <w:rPr>
                <w:rFonts w:ascii="Times New Roman" w:cs="Times New Roman"/>
              </w:rPr>
              <w:t>旺桥港闸</w:t>
            </w:r>
          </w:p>
        </w:tc>
        <w:tc>
          <w:tcPr>
            <w:tcW w:w="947" w:type="pct"/>
            <w:tcBorders>
              <w:top w:val="nil"/>
              <w:left w:val="nil"/>
              <w:bottom w:val="single" w:color="000000" w:sz="4" w:space="0"/>
              <w:right w:val="single" w:color="000000" w:sz="4" w:space="0"/>
            </w:tcBorders>
            <w:shd w:val="clear" w:color="auto" w:fill="auto"/>
            <w:vAlign w:val="center"/>
          </w:tcPr>
          <w:p w14:paraId="1D6649AB">
            <w:pPr>
              <w:pStyle w:val="57"/>
              <w:rPr>
                <w:rFonts w:ascii="Times New Roman" w:cs="Times New Roman"/>
              </w:rPr>
            </w:pPr>
            <w:r>
              <w:rPr>
                <w:rFonts w:ascii="Times New Roman" w:cs="Times New Roman"/>
              </w:rPr>
              <w:t>274+000</w:t>
            </w:r>
          </w:p>
        </w:tc>
        <w:tc>
          <w:tcPr>
            <w:tcW w:w="1298" w:type="pct"/>
            <w:tcBorders>
              <w:top w:val="nil"/>
              <w:left w:val="nil"/>
              <w:bottom w:val="single" w:color="000000" w:sz="4" w:space="0"/>
              <w:right w:val="single" w:color="000000" w:sz="4" w:space="0"/>
            </w:tcBorders>
            <w:shd w:val="clear" w:color="auto" w:fill="auto"/>
            <w:vAlign w:val="center"/>
          </w:tcPr>
          <w:p w14:paraId="599877B9">
            <w:pPr>
              <w:pStyle w:val="57"/>
              <w:rPr>
                <w:rFonts w:ascii="Times New Roman" w:cs="Times New Roman"/>
              </w:rPr>
            </w:pPr>
            <w:r>
              <w:rPr>
                <w:rFonts w:ascii="Times New Roman" w:cs="Times New Roman"/>
              </w:rPr>
              <w:t>39.11</w:t>
            </w:r>
          </w:p>
        </w:tc>
      </w:tr>
      <w:tr w14:paraId="019F61CA">
        <w:tblPrEx>
          <w:tblCellMar>
            <w:top w:w="0" w:type="dxa"/>
            <w:left w:w="108" w:type="dxa"/>
            <w:bottom w:w="0" w:type="dxa"/>
            <w:right w:w="108" w:type="dxa"/>
          </w:tblCellMar>
        </w:tblPrEx>
        <w:trPr>
          <w:trHeight w:val="20" w:hRule="atLeast"/>
        </w:trPr>
        <w:tc>
          <w:tcPr>
            <w:tcW w:w="509" w:type="pct"/>
            <w:tcBorders>
              <w:top w:val="nil"/>
              <w:left w:val="single" w:color="000000" w:sz="4" w:space="0"/>
              <w:bottom w:val="single" w:color="000000" w:sz="4" w:space="0"/>
              <w:right w:val="single" w:color="000000" w:sz="4" w:space="0"/>
            </w:tcBorders>
            <w:shd w:val="clear" w:color="auto" w:fill="auto"/>
            <w:vAlign w:val="center"/>
          </w:tcPr>
          <w:p w14:paraId="53B5446E">
            <w:pPr>
              <w:pStyle w:val="57"/>
              <w:rPr>
                <w:rFonts w:ascii="Times New Roman" w:cs="Times New Roman"/>
              </w:rPr>
            </w:pPr>
            <w:r>
              <w:rPr>
                <w:rFonts w:ascii="Times New Roman" w:cs="Times New Roman"/>
              </w:rPr>
              <w:t>44</w:t>
            </w:r>
          </w:p>
        </w:tc>
        <w:tc>
          <w:tcPr>
            <w:tcW w:w="1035" w:type="pct"/>
            <w:tcBorders>
              <w:top w:val="nil"/>
              <w:left w:val="nil"/>
              <w:bottom w:val="single" w:color="000000" w:sz="4" w:space="0"/>
              <w:right w:val="single" w:color="000000" w:sz="4" w:space="0"/>
            </w:tcBorders>
            <w:shd w:val="clear" w:color="auto" w:fill="auto"/>
            <w:vAlign w:val="center"/>
          </w:tcPr>
          <w:p w14:paraId="157BA285">
            <w:pPr>
              <w:pStyle w:val="57"/>
              <w:rPr>
                <w:rFonts w:ascii="Times New Roman" w:cs="Times New Roman"/>
              </w:rPr>
            </w:pPr>
            <w:r>
              <w:rPr>
                <w:rFonts w:ascii="Times New Roman" w:cs="Times New Roman"/>
              </w:rPr>
              <w:t>靖江市</w:t>
            </w:r>
          </w:p>
        </w:tc>
        <w:tc>
          <w:tcPr>
            <w:tcW w:w="1211" w:type="pct"/>
            <w:tcBorders>
              <w:top w:val="nil"/>
              <w:left w:val="nil"/>
              <w:bottom w:val="single" w:color="000000" w:sz="4" w:space="0"/>
              <w:right w:val="single" w:color="000000" w:sz="4" w:space="0"/>
            </w:tcBorders>
            <w:shd w:val="clear" w:color="auto" w:fill="auto"/>
            <w:vAlign w:val="center"/>
          </w:tcPr>
          <w:p w14:paraId="50F0BE02">
            <w:pPr>
              <w:pStyle w:val="57"/>
              <w:rPr>
                <w:rFonts w:ascii="Times New Roman" w:cs="Times New Roman"/>
              </w:rPr>
            </w:pPr>
            <w:r>
              <w:rPr>
                <w:rFonts w:ascii="Times New Roman" w:cs="Times New Roman"/>
              </w:rPr>
              <w:t>六助港闸</w:t>
            </w:r>
          </w:p>
        </w:tc>
        <w:tc>
          <w:tcPr>
            <w:tcW w:w="947" w:type="pct"/>
            <w:tcBorders>
              <w:top w:val="nil"/>
              <w:left w:val="nil"/>
              <w:bottom w:val="single" w:color="000000" w:sz="4" w:space="0"/>
              <w:right w:val="single" w:color="000000" w:sz="4" w:space="0"/>
            </w:tcBorders>
            <w:shd w:val="clear" w:color="auto" w:fill="auto"/>
            <w:vAlign w:val="center"/>
          </w:tcPr>
          <w:p w14:paraId="68E4961F">
            <w:pPr>
              <w:pStyle w:val="57"/>
              <w:rPr>
                <w:rFonts w:ascii="Times New Roman" w:cs="Times New Roman"/>
              </w:rPr>
            </w:pPr>
            <w:r>
              <w:rPr>
                <w:rFonts w:ascii="Times New Roman" w:cs="Times New Roman"/>
              </w:rPr>
              <w:t>276+000</w:t>
            </w:r>
          </w:p>
        </w:tc>
        <w:tc>
          <w:tcPr>
            <w:tcW w:w="1298" w:type="pct"/>
            <w:tcBorders>
              <w:top w:val="nil"/>
              <w:left w:val="nil"/>
              <w:bottom w:val="single" w:color="000000" w:sz="4" w:space="0"/>
              <w:right w:val="single" w:color="000000" w:sz="4" w:space="0"/>
            </w:tcBorders>
            <w:shd w:val="clear" w:color="auto" w:fill="auto"/>
            <w:vAlign w:val="center"/>
          </w:tcPr>
          <w:p w14:paraId="246E89BF">
            <w:pPr>
              <w:pStyle w:val="57"/>
              <w:rPr>
                <w:rFonts w:ascii="Times New Roman" w:cs="Times New Roman"/>
              </w:rPr>
            </w:pPr>
            <w:r>
              <w:rPr>
                <w:rFonts w:ascii="Times New Roman" w:cs="Times New Roman"/>
              </w:rPr>
              <w:t>22</w:t>
            </w:r>
          </w:p>
        </w:tc>
      </w:tr>
      <w:tr w14:paraId="34060BFF">
        <w:tblPrEx>
          <w:tblCellMar>
            <w:top w:w="0" w:type="dxa"/>
            <w:left w:w="108" w:type="dxa"/>
            <w:bottom w:w="0" w:type="dxa"/>
            <w:right w:w="108" w:type="dxa"/>
          </w:tblCellMar>
        </w:tblPrEx>
        <w:trPr>
          <w:trHeight w:val="20" w:hRule="atLeast"/>
        </w:trPr>
        <w:tc>
          <w:tcPr>
            <w:tcW w:w="509" w:type="pct"/>
            <w:tcBorders>
              <w:top w:val="nil"/>
              <w:left w:val="single" w:color="000000" w:sz="4" w:space="0"/>
              <w:bottom w:val="single" w:color="000000" w:sz="4" w:space="0"/>
              <w:right w:val="single" w:color="000000" w:sz="4" w:space="0"/>
            </w:tcBorders>
            <w:shd w:val="clear" w:color="auto" w:fill="auto"/>
            <w:vAlign w:val="center"/>
          </w:tcPr>
          <w:p w14:paraId="55A93B49">
            <w:pPr>
              <w:pStyle w:val="57"/>
              <w:rPr>
                <w:rFonts w:ascii="Times New Roman" w:cs="Times New Roman"/>
              </w:rPr>
            </w:pPr>
            <w:r>
              <w:rPr>
                <w:rFonts w:ascii="Times New Roman" w:cs="Times New Roman"/>
              </w:rPr>
              <w:t>45</w:t>
            </w:r>
          </w:p>
        </w:tc>
        <w:tc>
          <w:tcPr>
            <w:tcW w:w="1035" w:type="pct"/>
            <w:tcBorders>
              <w:top w:val="nil"/>
              <w:left w:val="nil"/>
              <w:bottom w:val="single" w:color="000000" w:sz="4" w:space="0"/>
              <w:right w:val="single" w:color="000000" w:sz="4" w:space="0"/>
            </w:tcBorders>
            <w:shd w:val="clear" w:color="auto" w:fill="auto"/>
            <w:vAlign w:val="center"/>
          </w:tcPr>
          <w:p w14:paraId="7DAA30C1">
            <w:pPr>
              <w:pStyle w:val="57"/>
              <w:rPr>
                <w:rFonts w:ascii="Times New Roman" w:cs="Times New Roman"/>
              </w:rPr>
            </w:pPr>
            <w:r>
              <w:rPr>
                <w:rFonts w:ascii="Times New Roman" w:cs="Times New Roman"/>
              </w:rPr>
              <w:t>靖江市</w:t>
            </w:r>
          </w:p>
        </w:tc>
        <w:tc>
          <w:tcPr>
            <w:tcW w:w="1211" w:type="pct"/>
            <w:tcBorders>
              <w:top w:val="nil"/>
              <w:left w:val="nil"/>
              <w:bottom w:val="single" w:color="000000" w:sz="4" w:space="0"/>
              <w:right w:val="single" w:color="000000" w:sz="4" w:space="0"/>
            </w:tcBorders>
            <w:shd w:val="clear" w:color="auto" w:fill="auto"/>
            <w:vAlign w:val="center"/>
          </w:tcPr>
          <w:p w14:paraId="21876BAB">
            <w:pPr>
              <w:pStyle w:val="57"/>
              <w:rPr>
                <w:rFonts w:ascii="Times New Roman" w:cs="Times New Roman"/>
              </w:rPr>
            </w:pPr>
            <w:r>
              <w:rPr>
                <w:rFonts w:ascii="Times New Roman" w:cs="Times New Roman"/>
              </w:rPr>
              <w:t>安宁港闸</w:t>
            </w:r>
          </w:p>
        </w:tc>
        <w:tc>
          <w:tcPr>
            <w:tcW w:w="947" w:type="pct"/>
            <w:tcBorders>
              <w:top w:val="nil"/>
              <w:left w:val="nil"/>
              <w:bottom w:val="single" w:color="000000" w:sz="4" w:space="0"/>
              <w:right w:val="single" w:color="000000" w:sz="4" w:space="0"/>
            </w:tcBorders>
            <w:shd w:val="clear" w:color="auto" w:fill="auto"/>
            <w:vAlign w:val="center"/>
          </w:tcPr>
          <w:p w14:paraId="686C9D9B">
            <w:pPr>
              <w:pStyle w:val="57"/>
              <w:rPr>
                <w:rFonts w:ascii="Times New Roman" w:cs="Times New Roman"/>
              </w:rPr>
            </w:pPr>
            <w:r>
              <w:rPr>
                <w:rFonts w:ascii="Times New Roman" w:cs="Times New Roman"/>
              </w:rPr>
              <w:t>280+850</w:t>
            </w:r>
          </w:p>
        </w:tc>
        <w:tc>
          <w:tcPr>
            <w:tcW w:w="1298" w:type="pct"/>
            <w:tcBorders>
              <w:top w:val="nil"/>
              <w:left w:val="nil"/>
              <w:bottom w:val="single" w:color="000000" w:sz="4" w:space="0"/>
              <w:right w:val="single" w:color="000000" w:sz="4" w:space="0"/>
            </w:tcBorders>
            <w:shd w:val="clear" w:color="auto" w:fill="auto"/>
            <w:vAlign w:val="center"/>
          </w:tcPr>
          <w:p w14:paraId="1685F0DD">
            <w:pPr>
              <w:pStyle w:val="57"/>
              <w:rPr>
                <w:rFonts w:ascii="Times New Roman" w:cs="Times New Roman"/>
              </w:rPr>
            </w:pPr>
            <w:r>
              <w:rPr>
                <w:rFonts w:ascii="Times New Roman" w:cs="Times New Roman"/>
              </w:rPr>
              <w:t>101</w:t>
            </w:r>
          </w:p>
        </w:tc>
      </w:tr>
      <w:tr w14:paraId="721DDE21">
        <w:tblPrEx>
          <w:tblCellMar>
            <w:top w:w="0" w:type="dxa"/>
            <w:left w:w="108" w:type="dxa"/>
            <w:bottom w:w="0" w:type="dxa"/>
            <w:right w:w="108" w:type="dxa"/>
          </w:tblCellMar>
        </w:tblPrEx>
        <w:trPr>
          <w:trHeight w:val="20" w:hRule="atLeast"/>
        </w:trPr>
        <w:tc>
          <w:tcPr>
            <w:tcW w:w="509" w:type="pct"/>
            <w:tcBorders>
              <w:top w:val="nil"/>
              <w:left w:val="single" w:color="000000" w:sz="4" w:space="0"/>
              <w:bottom w:val="single" w:color="000000" w:sz="4" w:space="0"/>
              <w:right w:val="single" w:color="000000" w:sz="4" w:space="0"/>
            </w:tcBorders>
            <w:shd w:val="clear" w:color="auto" w:fill="auto"/>
            <w:vAlign w:val="center"/>
          </w:tcPr>
          <w:p w14:paraId="5AE1BE57">
            <w:pPr>
              <w:pStyle w:val="57"/>
              <w:rPr>
                <w:rFonts w:ascii="Times New Roman" w:cs="Times New Roman"/>
              </w:rPr>
            </w:pPr>
            <w:r>
              <w:rPr>
                <w:rFonts w:ascii="Times New Roman" w:cs="Times New Roman"/>
              </w:rPr>
              <w:t>46</w:t>
            </w:r>
          </w:p>
        </w:tc>
        <w:tc>
          <w:tcPr>
            <w:tcW w:w="1035" w:type="pct"/>
            <w:tcBorders>
              <w:top w:val="nil"/>
              <w:left w:val="nil"/>
              <w:bottom w:val="single" w:color="000000" w:sz="4" w:space="0"/>
              <w:right w:val="single" w:color="000000" w:sz="4" w:space="0"/>
            </w:tcBorders>
            <w:shd w:val="clear" w:color="auto" w:fill="auto"/>
            <w:vAlign w:val="center"/>
          </w:tcPr>
          <w:p w14:paraId="0094C9C2">
            <w:pPr>
              <w:pStyle w:val="57"/>
              <w:rPr>
                <w:rFonts w:ascii="Times New Roman" w:cs="Times New Roman"/>
              </w:rPr>
            </w:pPr>
            <w:r>
              <w:rPr>
                <w:rFonts w:ascii="Times New Roman" w:cs="Times New Roman"/>
              </w:rPr>
              <w:t>靖江市</w:t>
            </w:r>
          </w:p>
        </w:tc>
        <w:tc>
          <w:tcPr>
            <w:tcW w:w="1211" w:type="pct"/>
            <w:tcBorders>
              <w:top w:val="nil"/>
              <w:left w:val="nil"/>
              <w:bottom w:val="single" w:color="000000" w:sz="4" w:space="0"/>
              <w:right w:val="single" w:color="000000" w:sz="4" w:space="0"/>
            </w:tcBorders>
            <w:shd w:val="clear" w:color="auto" w:fill="auto"/>
            <w:vAlign w:val="center"/>
          </w:tcPr>
          <w:p w14:paraId="1E209CCE">
            <w:pPr>
              <w:pStyle w:val="57"/>
              <w:rPr>
                <w:rFonts w:ascii="Times New Roman" w:cs="Times New Roman"/>
              </w:rPr>
            </w:pPr>
            <w:r>
              <w:rPr>
                <w:rFonts w:ascii="Times New Roman" w:cs="Times New Roman"/>
              </w:rPr>
              <w:t>夏仕港节制闸</w:t>
            </w:r>
          </w:p>
        </w:tc>
        <w:tc>
          <w:tcPr>
            <w:tcW w:w="947" w:type="pct"/>
            <w:tcBorders>
              <w:top w:val="nil"/>
              <w:left w:val="nil"/>
              <w:bottom w:val="single" w:color="000000" w:sz="4" w:space="0"/>
              <w:right w:val="single" w:color="000000" w:sz="4" w:space="0"/>
            </w:tcBorders>
            <w:shd w:val="clear" w:color="auto" w:fill="auto"/>
            <w:vAlign w:val="center"/>
          </w:tcPr>
          <w:p w14:paraId="56D64957">
            <w:pPr>
              <w:pStyle w:val="57"/>
              <w:rPr>
                <w:rFonts w:ascii="Times New Roman" w:cs="Times New Roman"/>
              </w:rPr>
            </w:pPr>
            <w:r>
              <w:rPr>
                <w:rFonts w:ascii="Times New Roman" w:cs="Times New Roman"/>
              </w:rPr>
              <w:t>282+820</w:t>
            </w:r>
          </w:p>
        </w:tc>
        <w:tc>
          <w:tcPr>
            <w:tcW w:w="1298" w:type="pct"/>
            <w:tcBorders>
              <w:top w:val="nil"/>
              <w:left w:val="nil"/>
              <w:bottom w:val="single" w:color="000000" w:sz="4" w:space="0"/>
              <w:right w:val="single" w:color="000000" w:sz="4" w:space="0"/>
            </w:tcBorders>
            <w:shd w:val="clear" w:color="auto" w:fill="auto"/>
            <w:vAlign w:val="center"/>
          </w:tcPr>
          <w:p w14:paraId="58CF4C38">
            <w:pPr>
              <w:pStyle w:val="57"/>
              <w:rPr>
                <w:rFonts w:ascii="Times New Roman" w:cs="Times New Roman"/>
              </w:rPr>
            </w:pPr>
            <w:r>
              <w:rPr>
                <w:rFonts w:ascii="Times New Roman" w:cs="Times New Roman"/>
              </w:rPr>
              <w:t>354</w:t>
            </w:r>
          </w:p>
        </w:tc>
      </w:tr>
      <w:tr w14:paraId="172D1872">
        <w:tblPrEx>
          <w:tblCellMar>
            <w:top w:w="0" w:type="dxa"/>
            <w:left w:w="108" w:type="dxa"/>
            <w:bottom w:w="0" w:type="dxa"/>
            <w:right w:w="108" w:type="dxa"/>
          </w:tblCellMar>
        </w:tblPrEx>
        <w:trPr>
          <w:trHeight w:val="20" w:hRule="atLeast"/>
        </w:trPr>
        <w:tc>
          <w:tcPr>
            <w:tcW w:w="509" w:type="pct"/>
            <w:tcBorders>
              <w:top w:val="nil"/>
              <w:left w:val="single" w:color="000000" w:sz="4" w:space="0"/>
              <w:bottom w:val="single" w:color="000000" w:sz="4" w:space="0"/>
              <w:right w:val="single" w:color="000000" w:sz="4" w:space="0"/>
            </w:tcBorders>
            <w:shd w:val="clear" w:color="auto" w:fill="auto"/>
            <w:vAlign w:val="center"/>
          </w:tcPr>
          <w:p w14:paraId="0FA48E96">
            <w:pPr>
              <w:pStyle w:val="57"/>
              <w:rPr>
                <w:rFonts w:ascii="Times New Roman" w:cs="Times New Roman"/>
              </w:rPr>
            </w:pPr>
            <w:r>
              <w:rPr>
                <w:rFonts w:ascii="Times New Roman" w:cs="Times New Roman"/>
              </w:rPr>
              <w:t>47</w:t>
            </w:r>
          </w:p>
        </w:tc>
        <w:tc>
          <w:tcPr>
            <w:tcW w:w="1035" w:type="pct"/>
            <w:tcBorders>
              <w:top w:val="nil"/>
              <w:left w:val="nil"/>
              <w:bottom w:val="single" w:color="000000" w:sz="4" w:space="0"/>
              <w:right w:val="single" w:color="000000" w:sz="4" w:space="0"/>
            </w:tcBorders>
            <w:shd w:val="clear" w:color="auto" w:fill="auto"/>
            <w:vAlign w:val="center"/>
          </w:tcPr>
          <w:p w14:paraId="73E99F27">
            <w:pPr>
              <w:pStyle w:val="57"/>
              <w:rPr>
                <w:rFonts w:ascii="Times New Roman" w:cs="Times New Roman"/>
              </w:rPr>
            </w:pPr>
            <w:r>
              <w:rPr>
                <w:rFonts w:ascii="Times New Roman" w:cs="Times New Roman"/>
              </w:rPr>
              <w:t>靖江市</w:t>
            </w:r>
          </w:p>
        </w:tc>
        <w:tc>
          <w:tcPr>
            <w:tcW w:w="1211" w:type="pct"/>
            <w:tcBorders>
              <w:top w:val="nil"/>
              <w:left w:val="nil"/>
              <w:bottom w:val="single" w:color="000000" w:sz="4" w:space="0"/>
              <w:right w:val="single" w:color="000000" w:sz="4" w:space="0"/>
            </w:tcBorders>
            <w:shd w:val="clear" w:color="auto" w:fill="auto"/>
            <w:vAlign w:val="center"/>
          </w:tcPr>
          <w:p w14:paraId="025966A2">
            <w:pPr>
              <w:pStyle w:val="57"/>
              <w:rPr>
                <w:rFonts w:ascii="Times New Roman" w:cs="Times New Roman"/>
              </w:rPr>
            </w:pPr>
            <w:r>
              <w:rPr>
                <w:rFonts w:ascii="Times New Roman" w:cs="Times New Roman"/>
              </w:rPr>
              <w:t>丹华港闸</w:t>
            </w:r>
          </w:p>
        </w:tc>
        <w:tc>
          <w:tcPr>
            <w:tcW w:w="947" w:type="pct"/>
            <w:tcBorders>
              <w:top w:val="nil"/>
              <w:left w:val="nil"/>
              <w:bottom w:val="single" w:color="000000" w:sz="4" w:space="0"/>
              <w:right w:val="single" w:color="000000" w:sz="4" w:space="0"/>
            </w:tcBorders>
            <w:shd w:val="clear" w:color="auto" w:fill="auto"/>
            <w:vAlign w:val="center"/>
          </w:tcPr>
          <w:p w14:paraId="00951B1D">
            <w:pPr>
              <w:pStyle w:val="57"/>
              <w:rPr>
                <w:rFonts w:ascii="Times New Roman" w:cs="Times New Roman"/>
              </w:rPr>
            </w:pPr>
            <w:r>
              <w:rPr>
                <w:rFonts w:ascii="Times New Roman" w:cs="Times New Roman"/>
              </w:rPr>
              <w:t>285+410</w:t>
            </w:r>
          </w:p>
        </w:tc>
        <w:tc>
          <w:tcPr>
            <w:tcW w:w="1298" w:type="pct"/>
            <w:tcBorders>
              <w:top w:val="nil"/>
              <w:left w:val="nil"/>
              <w:bottom w:val="single" w:color="000000" w:sz="4" w:space="0"/>
              <w:right w:val="single" w:color="000000" w:sz="4" w:space="0"/>
            </w:tcBorders>
            <w:shd w:val="clear" w:color="auto" w:fill="auto"/>
            <w:vAlign w:val="center"/>
          </w:tcPr>
          <w:p w14:paraId="207F7AF8">
            <w:pPr>
              <w:pStyle w:val="57"/>
              <w:rPr>
                <w:rFonts w:ascii="Times New Roman" w:cs="Times New Roman"/>
              </w:rPr>
            </w:pPr>
            <w:r>
              <w:rPr>
                <w:rFonts w:ascii="Times New Roman" w:cs="Times New Roman"/>
              </w:rPr>
              <w:t>36.8</w:t>
            </w:r>
          </w:p>
        </w:tc>
      </w:tr>
      <w:tr w14:paraId="7C42D8A4">
        <w:tblPrEx>
          <w:tblCellMar>
            <w:top w:w="0" w:type="dxa"/>
            <w:left w:w="108" w:type="dxa"/>
            <w:bottom w:w="0" w:type="dxa"/>
            <w:right w:w="108" w:type="dxa"/>
          </w:tblCellMar>
        </w:tblPrEx>
        <w:trPr>
          <w:trHeight w:val="20" w:hRule="atLeast"/>
        </w:trPr>
        <w:tc>
          <w:tcPr>
            <w:tcW w:w="509" w:type="pct"/>
            <w:tcBorders>
              <w:top w:val="nil"/>
              <w:left w:val="single" w:color="000000" w:sz="4" w:space="0"/>
              <w:bottom w:val="single" w:color="000000" w:sz="4" w:space="0"/>
              <w:right w:val="single" w:color="000000" w:sz="4" w:space="0"/>
            </w:tcBorders>
            <w:shd w:val="clear" w:color="auto" w:fill="auto"/>
            <w:vAlign w:val="center"/>
          </w:tcPr>
          <w:p w14:paraId="3FA5739E">
            <w:pPr>
              <w:pStyle w:val="57"/>
              <w:rPr>
                <w:rFonts w:ascii="Times New Roman" w:cs="Times New Roman"/>
              </w:rPr>
            </w:pPr>
            <w:r>
              <w:rPr>
                <w:rFonts w:ascii="Times New Roman" w:cs="Times New Roman"/>
              </w:rPr>
              <w:t>48</w:t>
            </w:r>
          </w:p>
        </w:tc>
        <w:tc>
          <w:tcPr>
            <w:tcW w:w="1035" w:type="pct"/>
            <w:tcBorders>
              <w:top w:val="nil"/>
              <w:left w:val="nil"/>
              <w:bottom w:val="single" w:color="000000" w:sz="4" w:space="0"/>
              <w:right w:val="single" w:color="000000" w:sz="4" w:space="0"/>
            </w:tcBorders>
            <w:shd w:val="clear" w:color="auto" w:fill="auto"/>
            <w:vAlign w:val="center"/>
          </w:tcPr>
          <w:p w14:paraId="51EC5F6B">
            <w:pPr>
              <w:pStyle w:val="57"/>
              <w:rPr>
                <w:rFonts w:ascii="Times New Roman" w:cs="Times New Roman"/>
              </w:rPr>
            </w:pPr>
            <w:r>
              <w:rPr>
                <w:rFonts w:ascii="Times New Roman" w:cs="Times New Roman"/>
              </w:rPr>
              <w:t>靖江市</w:t>
            </w:r>
          </w:p>
        </w:tc>
        <w:tc>
          <w:tcPr>
            <w:tcW w:w="1211" w:type="pct"/>
            <w:tcBorders>
              <w:top w:val="nil"/>
              <w:left w:val="nil"/>
              <w:bottom w:val="single" w:color="000000" w:sz="4" w:space="0"/>
              <w:right w:val="single" w:color="000000" w:sz="4" w:space="0"/>
            </w:tcBorders>
            <w:shd w:val="clear" w:color="auto" w:fill="auto"/>
            <w:vAlign w:val="center"/>
          </w:tcPr>
          <w:p w14:paraId="6DF67DBC">
            <w:pPr>
              <w:pStyle w:val="57"/>
              <w:rPr>
                <w:rFonts w:ascii="Times New Roman" w:cs="Times New Roman"/>
              </w:rPr>
            </w:pPr>
            <w:r>
              <w:rPr>
                <w:rFonts w:ascii="Times New Roman" w:cs="Times New Roman"/>
              </w:rPr>
              <w:t>下青龙港闸</w:t>
            </w:r>
          </w:p>
        </w:tc>
        <w:tc>
          <w:tcPr>
            <w:tcW w:w="947" w:type="pct"/>
            <w:tcBorders>
              <w:top w:val="nil"/>
              <w:left w:val="nil"/>
              <w:bottom w:val="single" w:color="000000" w:sz="4" w:space="0"/>
              <w:right w:val="single" w:color="000000" w:sz="4" w:space="0"/>
            </w:tcBorders>
            <w:shd w:val="clear" w:color="auto" w:fill="auto"/>
            <w:vAlign w:val="center"/>
          </w:tcPr>
          <w:p w14:paraId="4C9DF63F">
            <w:pPr>
              <w:pStyle w:val="57"/>
              <w:rPr>
                <w:rFonts w:ascii="Times New Roman" w:cs="Times New Roman"/>
              </w:rPr>
            </w:pPr>
            <w:r>
              <w:rPr>
                <w:rFonts w:ascii="Times New Roman" w:cs="Times New Roman"/>
              </w:rPr>
              <w:t>287+708</w:t>
            </w:r>
          </w:p>
        </w:tc>
        <w:tc>
          <w:tcPr>
            <w:tcW w:w="1298" w:type="pct"/>
            <w:tcBorders>
              <w:top w:val="nil"/>
              <w:left w:val="nil"/>
              <w:bottom w:val="single" w:color="000000" w:sz="4" w:space="0"/>
              <w:right w:val="single" w:color="000000" w:sz="4" w:space="0"/>
            </w:tcBorders>
            <w:shd w:val="clear" w:color="auto" w:fill="auto"/>
            <w:vAlign w:val="center"/>
          </w:tcPr>
          <w:p w14:paraId="130AB91C">
            <w:pPr>
              <w:pStyle w:val="57"/>
              <w:rPr>
                <w:rFonts w:ascii="Times New Roman" w:cs="Times New Roman"/>
              </w:rPr>
            </w:pPr>
            <w:r>
              <w:rPr>
                <w:rFonts w:ascii="Times New Roman" w:cs="Times New Roman"/>
              </w:rPr>
              <w:t>24.3</w:t>
            </w:r>
          </w:p>
        </w:tc>
      </w:tr>
      <w:tr w14:paraId="56239F9A">
        <w:tblPrEx>
          <w:tblCellMar>
            <w:top w:w="0" w:type="dxa"/>
            <w:left w:w="108" w:type="dxa"/>
            <w:bottom w:w="0" w:type="dxa"/>
            <w:right w:w="108" w:type="dxa"/>
          </w:tblCellMar>
        </w:tblPrEx>
        <w:trPr>
          <w:trHeight w:val="20" w:hRule="atLeast"/>
        </w:trPr>
        <w:tc>
          <w:tcPr>
            <w:tcW w:w="509" w:type="pct"/>
            <w:tcBorders>
              <w:top w:val="nil"/>
              <w:left w:val="single" w:color="000000" w:sz="4" w:space="0"/>
              <w:bottom w:val="single" w:color="000000" w:sz="4" w:space="0"/>
              <w:right w:val="single" w:color="000000" w:sz="4" w:space="0"/>
            </w:tcBorders>
            <w:shd w:val="clear" w:color="auto" w:fill="auto"/>
            <w:vAlign w:val="center"/>
          </w:tcPr>
          <w:p w14:paraId="07C88C49">
            <w:pPr>
              <w:pStyle w:val="57"/>
              <w:rPr>
                <w:rFonts w:ascii="Times New Roman" w:cs="Times New Roman"/>
              </w:rPr>
            </w:pPr>
            <w:r>
              <w:rPr>
                <w:rFonts w:ascii="Times New Roman" w:cs="Times New Roman"/>
              </w:rPr>
              <w:t>49</w:t>
            </w:r>
          </w:p>
        </w:tc>
        <w:tc>
          <w:tcPr>
            <w:tcW w:w="1035" w:type="pct"/>
            <w:tcBorders>
              <w:top w:val="nil"/>
              <w:left w:val="nil"/>
              <w:bottom w:val="single" w:color="000000" w:sz="4" w:space="0"/>
              <w:right w:val="single" w:color="000000" w:sz="4" w:space="0"/>
            </w:tcBorders>
            <w:shd w:val="clear" w:color="auto" w:fill="auto"/>
            <w:vAlign w:val="center"/>
          </w:tcPr>
          <w:p w14:paraId="33887B75">
            <w:pPr>
              <w:pStyle w:val="57"/>
              <w:rPr>
                <w:rFonts w:ascii="Times New Roman" w:cs="Times New Roman"/>
              </w:rPr>
            </w:pPr>
            <w:r>
              <w:rPr>
                <w:rFonts w:ascii="Times New Roman" w:cs="Times New Roman"/>
              </w:rPr>
              <w:t>靖江市</w:t>
            </w:r>
          </w:p>
        </w:tc>
        <w:tc>
          <w:tcPr>
            <w:tcW w:w="1211" w:type="pct"/>
            <w:tcBorders>
              <w:top w:val="nil"/>
              <w:left w:val="nil"/>
              <w:bottom w:val="single" w:color="000000" w:sz="4" w:space="0"/>
              <w:right w:val="single" w:color="000000" w:sz="4" w:space="0"/>
            </w:tcBorders>
            <w:shd w:val="clear" w:color="auto" w:fill="auto"/>
            <w:vAlign w:val="center"/>
          </w:tcPr>
          <w:p w14:paraId="13A04E2F">
            <w:pPr>
              <w:pStyle w:val="57"/>
              <w:rPr>
                <w:rFonts w:ascii="Times New Roman" w:cs="Times New Roman"/>
              </w:rPr>
            </w:pPr>
            <w:r>
              <w:rPr>
                <w:rFonts w:ascii="Times New Roman" w:cs="Times New Roman"/>
              </w:rPr>
              <w:t>永济港闸</w:t>
            </w:r>
          </w:p>
        </w:tc>
        <w:tc>
          <w:tcPr>
            <w:tcW w:w="947" w:type="pct"/>
            <w:tcBorders>
              <w:top w:val="nil"/>
              <w:left w:val="nil"/>
              <w:bottom w:val="single" w:color="000000" w:sz="4" w:space="0"/>
              <w:right w:val="single" w:color="000000" w:sz="4" w:space="0"/>
            </w:tcBorders>
            <w:shd w:val="clear" w:color="auto" w:fill="auto"/>
            <w:vAlign w:val="center"/>
          </w:tcPr>
          <w:p w14:paraId="214274AA">
            <w:pPr>
              <w:pStyle w:val="57"/>
              <w:rPr>
                <w:rFonts w:ascii="Times New Roman" w:cs="Times New Roman"/>
              </w:rPr>
            </w:pPr>
            <w:r>
              <w:rPr>
                <w:rFonts w:ascii="Times New Roman" w:cs="Times New Roman"/>
              </w:rPr>
              <w:t>289+160</w:t>
            </w:r>
          </w:p>
        </w:tc>
        <w:tc>
          <w:tcPr>
            <w:tcW w:w="1298" w:type="pct"/>
            <w:tcBorders>
              <w:top w:val="nil"/>
              <w:left w:val="nil"/>
              <w:bottom w:val="single" w:color="000000" w:sz="4" w:space="0"/>
              <w:right w:val="single" w:color="000000" w:sz="4" w:space="0"/>
            </w:tcBorders>
            <w:shd w:val="clear" w:color="auto" w:fill="auto"/>
            <w:vAlign w:val="center"/>
          </w:tcPr>
          <w:p w14:paraId="46AC8579">
            <w:pPr>
              <w:pStyle w:val="57"/>
              <w:rPr>
                <w:rFonts w:ascii="Times New Roman" w:cs="Times New Roman"/>
              </w:rPr>
            </w:pPr>
            <w:r>
              <w:rPr>
                <w:rFonts w:ascii="Times New Roman" w:cs="Times New Roman"/>
              </w:rPr>
              <w:t>22.7</w:t>
            </w:r>
          </w:p>
        </w:tc>
      </w:tr>
      <w:tr w14:paraId="42CC6AA3">
        <w:tblPrEx>
          <w:tblCellMar>
            <w:top w:w="0" w:type="dxa"/>
            <w:left w:w="108" w:type="dxa"/>
            <w:bottom w:w="0" w:type="dxa"/>
            <w:right w:w="108" w:type="dxa"/>
          </w:tblCellMar>
        </w:tblPrEx>
        <w:trPr>
          <w:trHeight w:val="20" w:hRule="atLeast"/>
        </w:trPr>
        <w:tc>
          <w:tcPr>
            <w:tcW w:w="509" w:type="pct"/>
            <w:tcBorders>
              <w:top w:val="nil"/>
              <w:left w:val="single" w:color="000000" w:sz="4" w:space="0"/>
              <w:bottom w:val="single" w:color="000000" w:sz="4" w:space="0"/>
              <w:right w:val="single" w:color="000000" w:sz="4" w:space="0"/>
            </w:tcBorders>
            <w:shd w:val="clear" w:color="auto" w:fill="auto"/>
            <w:vAlign w:val="center"/>
          </w:tcPr>
          <w:p w14:paraId="7DC1A7D9">
            <w:pPr>
              <w:pStyle w:val="57"/>
              <w:rPr>
                <w:rFonts w:ascii="Times New Roman" w:cs="Times New Roman"/>
              </w:rPr>
            </w:pPr>
            <w:r>
              <w:rPr>
                <w:rFonts w:ascii="Times New Roman" w:cs="Times New Roman"/>
              </w:rPr>
              <w:t>50</w:t>
            </w:r>
          </w:p>
        </w:tc>
        <w:tc>
          <w:tcPr>
            <w:tcW w:w="1035" w:type="pct"/>
            <w:tcBorders>
              <w:top w:val="nil"/>
              <w:left w:val="nil"/>
              <w:bottom w:val="single" w:color="000000" w:sz="4" w:space="0"/>
              <w:right w:val="single" w:color="000000" w:sz="4" w:space="0"/>
            </w:tcBorders>
            <w:shd w:val="clear" w:color="auto" w:fill="auto"/>
            <w:vAlign w:val="center"/>
          </w:tcPr>
          <w:p w14:paraId="438C2A96">
            <w:pPr>
              <w:pStyle w:val="57"/>
              <w:rPr>
                <w:rFonts w:ascii="Times New Roman" w:cs="Times New Roman"/>
              </w:rPr>
            </w:pPr>
            <w:r>
              <w:rPr>
                <w:rFonts w:ascii="Times New Roman" w:cs="Times New Roman"/>
              </w:rPr>
              <w:t>靖江市</w:t>
            </w:r>
          </w:p>
        </w:tc>
        <w:tc>
          <w:tcPr>
            <w:tcW w:w="1211" w:type="pct"/>
            <w:tcBorders>
              <w:top w:val="nil"/>
              <w:left w:val="nil"/>
              <w:bottom w:val="single" w:color="000000" w:sz="4" w:space="0"/>
              <w:right w:val="single" w:color="000000" w:sz="4" w:space="0"/>
            </w:tcBorders>
            <w:shd w:val="clear" w:color="auto" w:fill="auto"/>
            <w:vAlign w:val="center"/>
          </w:tcPr>
          <w:p w14:paraId="4846E35B">
            <w:pPr>
              <w:pStyle w:val="57"/>
              <w:rPr>
                <w:rFonts w:ascii="Times New Roman" w:cs="Times New Roman"/>
              </w:rPr>
            </w:pPr>
            <w:r>
              <w:rPr>
                <w:rFonts w:ascii="Times New Roman" w:cs="Times New Roman"/>
              </w:rPr>
              <w:t>塌港闸</w:t>
            </w:r>
          </w:p>
        </w:tc>
        <w:tc>
          <w:tcPr>
            <w:tcW w:w="947" w:type="pct"/>
            <w:tcBorders>
              <w:top w:val="nil"/>
              <w:left w:val="nil"/>
              <w:bottom w:val="single" w:color="000000" w:sz="4" w:space="0"/>
              <w:right w:val="single" w:color="000000" w:sz="4" w:space="0"/>
            </w:tcBorders>
            <w:shd w:val="clear" w:color="auto" w:fill="auto"/>
            <w:vAlign w:val="center"/>
          </w:tcPr>
          <w:p w14:paraId="1C80351E">
            <w:pPr>
              <w:pStyle w:val="57"/>
              <w:rPr>
                <w:rFonts w:ascii="Times New Roman" w:cs="Times New Roman"/>
              </w:rPr>
            </w:pPr>
            <w:r>
              <w:rPr>
                <w:rFonts w:ascii="Times New Roman" w:cs="Times New Roman"/>
              </w:rPr>
              <w:t>289+402</w:t>
            </w:r>
          </w:p>
        </w:tc>
        <w:tc>
          <w:tcPr>
            <w:tcW w:w="1298" w:type="pct"/>
            <w:tcBorders>
              <w:top w:val="nil"/>
              <w:left w:val="nil"/>
              <w:bottom w:val="single" w:color="000000" w:sz="4" w:space="0"/>
              <w:right w:val="single" w:color="000000" w:sz="4" w:space="0"/>
            </w:tcBorders>
            <w:shd w:val="clear" w:color="auto" w:fill="auto"/>
            <w:vAlign w:val="center"/>
          </w:tcPr>
          <w:p w14:paraId="5E4CE52E">
            <w:pPr>
              <w:pStyle w:val="57"/>
              <w:rPr>
                <w:rFonts w:ascii="Times New Roman" w:cs="Times New Roman"/>
              </w:rPr>
            </w:pPr>
            <w:r>
              <w:rPr>
                <w:rFonts w:ascii="Times New Roman" w:cs="Times New Roman"/>
              </w:rPr>
              <w:t>15</w:t>
            </w:r>
          </w:p>
        </w:tc>
      </w:tr>
      <w:tr w14:paraId="0E1BDED3">
        <w:tblPrEx>
          <w:tblCellMar>
            <w:top w:w="0" w:type="dxa"/>
            <w:left w:w="108" w:type="dxa"/>
            <w:bottom w:w="0" w:type="dxa"/>
            <w:right w:w="108" w:type="dxa"/>
          </w:tblCellMar>
        </w:tblPrEx>
        <w:trPr>
          <w:trHeight w:val="20" w:hRule="atLeast"/>
        </w:trPr>
        <w:tc>
          <w:tcPr>
            <w:tcW w:w="509" w:type="pct"/>
            <w:tcBorders>
              <w:top w:val="nil"/>
              <w:left w:val="single" w:color="000000" w:sz="4" w:space="0"/>
              <w:bottom w:val="single" w:color="000000" w:sz="4" w:space="0"/>
              <w:right w:val="single" w:color="000000" w:sz="4" w:space="0"/>
            </w:tcBorders>
            <w:shd w:val="clear" w:color="auto" w:fill="auto"/>
            <w:vAlign w:val="center"/>
          </w:tcPr>
          <w:p w14:paraId="64A8161B">
            <w:pPr>
              <w:pStyle w:val="57"/>
              <w:rPr>
                <w:rFonts w:ascii="Times New Roman" w:cs="Times New Roman"/>
              </w:rPr>
            </w:pPr>
            <w:r>
              <w:rPr>
                <w:rFonts w:ascii="Times New Roman" w:cs="Times New Roman"/>
              </w:rPr>
              <w:t>51</w:t>
            </w:r>
          </w:p>
        </w:tc>
        <w:tc>
          <w:tcPr>
            <w:tcW w:w="1035" w:type="pct"/>
            <w:tcBorders>
              <w:top w:val="nil"/>
              <w:left w:val="nil"/>
              <w:bottom w:val="single" w:color="000000" w:sz="4" w:space="0"/>
              <w:right w:val="single" w:color="000000" w:sz="4" w:space="0"/>
            </w:tcBorders>
            <w:shd w:val="clear" w:color="auto" w:fill="auto"/>
            <w:vAlign w:val="center"/>
          </w:tcPr>
          <w:p w14:paraId="1F5454C4">
            <w:pPr>
              <w:pStyle w:val="57"/>
              <w:rPr>
                <w:rFonts w:ascii="Times New Roman" w:cs="Times New Roman"/>
              </w:rPr>
            </w:pPr>
            <w:r>
              <w:rPr>
                <w:rFonts w:ascii="Times New Roman" w:cs="Times New Roman"/>
              </w:rPr>
              <w:t>靖江市</w:t>
            </w:r>
          </w:p>
        </w:tc>
        <w:tc>
          <w:tcPr>
            <w:tcW w:w="1211" w:type="pct"/>
            <w:tcBorders>
              <w:top w:val="nil"/>
              <w:left w:val="nil"/>
              <w:bottom w:val="single" w:color="000000" w:sz="4" w:space="0"/>
              <w:right w:val="single" w:color="000000" w:sz="4" w:space="0"/>
            </w:tcBorders>
            <w:shd w:val="clear" w:color="auto" w:fill="auto"/>
            <w:vAlign w:val="center"/>
          </w:tcPr>
          <w:p w14:paraId="272CBEB5">
            <w:pPr>
              <w:pStyle w:val="57"/>
              <w:rPr>
                <w:rFonts w:ascii="Times New Roman" w:cs="Times New Roman"/>
              </w:rPr>
            </w:pPr>
            <w:r>
              <w:rPr>
                <w:rFonts w:ascii="Times New Roman" w:cs="Times New Roman"/>
              </w:rPr>
              <w:t>友谊闸</w:t>
            </w:r>
          </w:p>
        </w:tc>
        <w:tc>
          <w:tcPr>
            <w:tcW w:w="947" w:type="pct"/>
            <w:tcBorders>
              <w:top w:val="nil"/>
              <w:left w:val="nil"/>
              <w:bottom w:val="single" w:color="000000" w:sz="4" w:space="0"/>
              <w:right w:val="single" w:color="000000" w:sz="4" w:space="0"/>
            </w:tcBorders>
            <w:shd w:val="clear" w:color="auto" w:fill="auto"/>
            <w:vAlign w:val="center"/>
          </w:tcPr>
          <w:p w14:paraId="406BAE9F">
            <w:pPr>
              <w:pStyle w:val="57"/>
              <w:rPr>
                <w:rFonts w:ascii="Times New Roman" w:cs="Times New Roman"/>
              </w:rPr>
            </w:pPr>
            <w:r>
              <w:rPr>
                <w:rFonts w:ascii="Times New Roman" w:cs="Times New Roman"/>
              </w:rPr>
              <w:t>289+402</w:t>
            </w:r>
          </w:p>
        </w:tc>
        <w:tc>
          <w:tcPr>
            <w:tcW w:w="1298" w:type="pct"/>
            <w:tcBorders>
              <w:top w:val="nil"/>
              <w:left w:val="nil"/>
              <w:bottom w:val="single" w:color="000000" w:sz="4" w:space="0"/>
              <w:right w:val="single" w:color="000000" w:sz="4" w:space="0"/>
            </w:tcBorders>
            <w:shd w:val="clear" w:color="auto" w:fill="auto"/>
            <w:vAlign w:val="center"/>
          </w:tcPr>
          <w:p w14:paraId="322F55A4">
            <w:pPr>
              <w:pStyle w:val="57"/>
              <w:rPr>
                <w:rFonts w:ascii="Times New Roman" w:cs="Times New Roman"/>
              </w:rPr>
            </w:pPr>
            <w:r>
              <w:rPr>
                <w:rFonts w:ascii="Times New Roman" w:cs="Times New Roman"/>
              </w:rPr>
              <w:t>15</w:t>
            </w:r>
          </w:p>
        </w:tc>
      </w:tr>
    </w:tbl>
    <w:p w14:paraId="07FEAC61">
      <w:pPr>
        <w:ind w:firstLine="480"/>
        <w:rPr>
          <w:rFonts w:cs="Times New Roman"/>
        </w:rPr>
      </w:pPr>
      <w:r>
        <w:rPr>
          <w:rFonts w:cs="Times New Roman"/>
        </w:rPr>
        <w:br w:type="page"/>
      </w:r>
    </w:p>
    <w:p w14:paraId="04B0471F">
      <w:pPr>
        <w:pStyle w:val="64"/>
      </w:pPr>
      <w:r>
        <w:rPr>
          <w:rFonts w:hint="eastAsia"/>
        </w:rPr>
        <w:t>附表3</w:t>
      </w:r>
      <w:r>
        <w:t xml:space="preserve">-2 </w:t>
      </w:r>
      <w:r>
        <w:rPr>
          <w:rFonts w:hint="eastAsia"/>
        </w:rPr>
        <w:t>泰州市沿江闸站结合工程名录表</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1418"/>
        <w:gridCol w:w="1701"/>
        <w:gridCol w:w="1417"/>
        <w:gridCol w:w="1418"/>
        <w:gridCol w:w="2311"/>
      </w:tblGrid>
      <w:tr w14:paraId="7B765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817" w:type="dxa"/>
            <w:vMerge w:val="restart"/>
            <w:shd w:val="clear" w:color="000000" w:fill="FFFFFF"/>
            <w:vAlign w:val="center"/>
          </w:tcPr>
          <w:p w14:paraId="771DCD05">
            <w:pPr>
              <w:pStyle w:val="57"/>
              <w:jc w:val="center"/>
              <w:rPr>
                <w:rFonts w:ascii="Times New Roman" w:cs="Times New Roman"/>
              </w:rPr>
            </w:pPr>
            <w:r>
              <w:rPr>
                <w:rFonts w:ascii="Times New Roman" w:cs="Times New Roman"/>
              </w:rPr>
              <w:t>序号</w:t>
            </w:r>
          </w:p>
        </w:tc>
        <w:tc>
          <w:tcPr>
            <w:tcW w:w="1418" w:type="dxa"/>
            <w:vMerge w:val="restart"/>
            <w:shd w:val="clear" w:color="000000" w:fill="FFFFFF"/>
            <w:vAlign w:val="center"/>
          </w:tcPr>
          <w:p w14:paraId="3084BBDB">
            <w:pPr>
              <w:pStyle w:val="57"/>
              <w:jc w:val="center"/>
              <w:rPr>
                <w:rFonts w:ascii="Times New Roman" w:cs="Times New Roman"/>
              </w:rPr>
            </w:pPr>
            <w:r>
              <w:rPr>
                <w:rFonts w:ascii="Times New Roman" w:cs="Times New Roman"/>
              </w:rPr>
              <w:t>市（区）</w:t>
            </w:r>
          </w:p>
        </w:tc>
        <w:tc>
          <w:tcPr>
            <w:tcW w:w="1701" w:type="dxa"/>
            <w:vMerge w:val="restart"/>
            <w:shd w:val="clear" w:color="000000" w:fill="FFFFFF"/>
            <w:vAlign w:val="center"/>
          </w:tcPr>
          <w:p w14:paraId="5F526D87">
            <w:pPr>
              <w:pStyle w:val="57"/>
              <w:jc w:val="center"/>
              <w:rPr>
                <w:rFonts w:ascii="Times New Roman" w:cs="Times New Roman"/>
              </w:rPr>
            </w:pPr>
            <w:r>
              <w:rPr>
                <w:rFonts w:ascii="Times New Roman" w:cs="Times New Roman"/>
              </w:rPr>
              <w:t>工程名称</w:t>
            </w:r>
          </w:p>
        </w:tc>
        <w:tc>
          <w:tcPr>
            <w:tcW w:w="1417" w:type="dxa"/>
            <w:vMerge w:val="restart"/>
            <w:shd w:val="clear" w:color="000000" w:fill="FFFFFF"/>
            <w:vAlign w:val="center"/>
          </w:tcPr>
          <w:p w14:paraId="70E50ABA">
            <w:pPr>
              <w:pStyle w:val="57"/>
              <w:jc w:val="center"/>
              <w:rPr>
                <w:rFonts w:ascii="Times New Roman" w:cs="Times New Roman"/>
              </w:rPr>
            </w:pPr>
            <w:r>
              <w:rPr>
                <w:rFonts w:ascii="Times New Roman" w:cs="Times New Roman"/>
              </w:rPr>
              <w:t>桩号</w:t>
            </w:r>
          </w:p>
        </w:tc>
        <w:tc>
          <w:tcPr>
            <w:tcW w:w="1418" w:type="dxa"/>
            <w:vMerge w:val="restart"/>
            <w:shd w:val="clear" w:color="000000" w:fill="FFFFFF"/>
            <w:vAlign w:val="center"/>
          </w:tcPr>
          <w:p w14:paraId="43758230">
            <w:pPr>
              <w:pStyle w:val="57"/>
              <w:jc w:val="center"/>
              <w:rPr>
                <w:rFonts w:ascii="Times New Roman" w:cs="Times New Roman"/>
              </w:rPr>
            </w:pPr>
            <w:r>
              <w:rPr>
                <w:rFonts w:ascii="Times New Roman" w:cs="Times New Roman"/>
              </w:rPr>
              <w:t>装机动力</w:t>
            </w:r>
          </w:p>
          <w:p w14:paraId="20073140">
            <w:pPr>
              <w:pStyle w:val="57"/>
              <w:jc w:val="center"/>
              <w:rPr>
                <w:rFonts w:ascii="Times New Roman" w:cs="Times New Roman"/>
              </w:rPr>
            </w:pPr>
            <w:r>
              <w:rPr>
                <w:rFonts w:ascii="Times New Roman" w:cs="Times New Roman"/>
              </w:rPr>
              <w:t>（千瓦）</w:t>
            </w:r>
          </w:p>
        </w:tc>
        <w:tc>
          <w:tcPr>
            <w:tcW w:w="2311" w:type="dxa"/>
            <w:vMerge w:val="restart"/>
            <w:shd w:val="clear" w:color="000000" w:fill="FFFFFF"/>
            <w:vAlign w:val="center"/>
          </w:tcPr>
          <w:p w14:paraId="0FD5D8CB">
            <w:pPr>
              <w:pStyle w:val="57"/>
              <w:jc w:val="center"/>
              <w:rPr>
                <w:rFonts w:ascii="Times New Roman" w:cs="Times New Roman"/>
              </w:rPr>
            </w:pPr>
            <w:r>
              <w:rPr>
                <w:rFonts w:ascii="Times New Roman" w:cs="Times New Roman"/>
              </w:rPr>
              <w:t>流量</w:t>
            </w:r>
          </w:p>
          <w:p w14:paraId="4D0D3547">
            <w:pPr>
              <w:pStyle w:val="57"/>
              <w:jc w:val="center"/>
              <w:rPr>
                <w:rFonts w:ascii="Times New Roman" w:cs="Times New Roman"/>
              </w:rPr>
            </w:pPr>
            <w:r>
              <w:rPr>
                <w:rFonts w:ascii="Times New Roman" w:cs="Times New Roman"/>
              </w:rPr>
              <w:t>(m</w:t>
            </w:r>
            <w:r>
              <w:rPr>
                <w:rFonts w:ascii="Times New Roman" w:cs="Times New Roman"/>
                <w:vertAlign w:val="superscript"/>
              </w:rPr>
              <w:t>3</w:t>
            </w:r>
            <w:r>
              <w:rPr>
                <w:rFonts w:ascii="Times New Roman" w:cs="Times New Roman"/>
              </w:rPr>
              <w:t>/s)</w:t>
            </w:r>
          </w:p>
        </w:tc>
      </w:tr>
      <w:tr w14:paraId="350CF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817" w:type="dxa"/>
            <w:vMerge w:val="continue"/>
            <w:vAlign w:val="center"/>
          </w:tcPr>
          <w:p w14:paraId="044EBF7E">
            <w:pPr>
              <w:pStyle w:val="57"/>
              <w:jc w:val="center"/>
              <w:rPr>
                <w:rFonts w:ascii="Times New Roman" w:cs="Times New Roman"/>
              </w:rPr>
            </w:pPr>
          </w:p>
        </w:tc>
        <w:tc>
          <w:tcPr>
            <w:tcW w:w="1418" w:type="dxa"/>
            <w:vMerge w:val="continue"/>
            <w:vAlign w:val="center"/>
          </w:tcPr>
          <w:p w14:paraId="759FC5F2">
            <w:pPr>
              <w:pStyle w:val="57"/>
              <w:jc w:val="center"/>
              <w:rPr>
                <w:rFonts w:ascii="Times New Roman" w:cs="Times New Roman"/>
              </w:rPr>
            </w:pPr>
          </w:p>
        </w:tc>
        <w:tc>
          <w:tcPr>
            <w:tcW w:w="1701" w:type="dxa"/>
            <w:vMerge w:val="continue"/>
            <w:vAlign w:val="center"/>
          </w:tcPr>
          <w:p w14:paraId="7F1C3517">
            <w:pPr>
              <w:pStyle w:val="57"/>
              <w:jc w:val="center"/>
              <w:rPr>
                <w:rFonts w:ascii="Times New Roman" w:cs="Times New Roman"/>
              </w:rPr>
            </w:pPr>
          </w:p>
        </w:tc>
        <w:tc>
          <w:tcPr>
            <w:tcW w:w="1417" w:type="dxa"/>
            <w:vMerge w:val="continue"/>
            <w:vAlign w:val="center"/>
          </w:tcPr>
          <w:p w14:paraId="331AD659">
            <w:pPr>
              <w:pStyle w:val="57"/>
              <w:jc w:val="center"/>
              <w:rPr>
                <w:rFonts w:ascii="Times New Roman" w:cs="Times New Roman"/>
              </w:rPr>
            </w:pPr>
          </w:p>
        </w:tc>
        <w:tc>
          <w:tcPr>
            <w:tcW w:w="1418" w:type="dxa"/>
            <w:vMerge w:val="continue"/>
            <w:vAlign w:val="center"/>
          </w:tcPr>
          <w:p w14:paraId="250370C6">
            <w:pPr>
              <w:pStyle w:val="57"/>
              <w:jc w:val="center"/>
              <w:rPr>
                <w:rFonts w:ascii="Times New Roman" w:cs="Times New Roman"/>
              </w:rPr>
            </w:pPr>
          </w:p>
        </w:tc>
        <w:tc>
          <w:tcPr>
            <w:tcW w:w="2311" w:type="dxa"/>
            <w:vMerge w:val="continue"/>
            <w:vAlign w:val="center"/>
          </w:tcPr>
          <w:p w14:paraId="4F1D1F8B">
            <w:pPr>
              <w:pStyle w:val="57"/>
              <w:jc w:val="center"/>
              <w:rPr>
                <w:rFonts w:ascii="Times New Roman" w:cs="Times New Roman"/>
              </w:rPr>
            </w:pPr>
          </w:p>
        </w:tc>
      </w:tr>
      <w:tr w14:paraId="7E4EA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17" w:type="dxa"/>
            <w:shd w:val="clear" w:color="auto" w:fill="auto"/>
            <w:vAlign w:val="center"/>
          </w:tcPr>
          <w:p w14:paraId="2D9F7721">
            <w:pPr>
              <w:pStyle w:val="57"/>
              <w:jc w:val="center"/>
              <w:rPr>
                <w:rFonts w:ascii="Times New Roman" w:cs="Times New Roman"/>
                <w:sz w:val="20"/>
                <w:szCs w:val="20"/>
              </w:rPr>
            </w:pPr>
            <w:r>
              <w:rPr>
                <w:rFonts w:ascii="Times New Roman" w:cs="Times New Roman"/>
                <w:sz w:val="20"/>
                <w:szCs w:val="20"/>
              </w:rPr>
              <w:t>1</w:t>
            </w:r>
          </w:p>
        </w:tc>
        <w:tc>
          <w:tcPr>
            <w:tcW w:w="1418" w:type="dxa"/>
            <w:shd w:val="clear" w:color="auto" w:fill="auto"/>
            <w:vAlign w:val="center"/>
          </w:tcPr>
          <w:p w14:paraId="206BA424">
            <w:pPr>
              <w:pStyle w:val="57"/>
              <w:jc w:val="center"/>
              <w:rPr>
                <w:rFonts w:ascii="Times New Roman" w:cs="Times New Roman"/>
              </w:rPr>
            </w:pPr>
            <w:r>
              <w:rPr>
                <w:rFonts w:ascii="Times New Roman" w:cs="Times New Roman"/>
              </w:rPr>
              <w:t>医药高新区</w:t>
            </w:r>
          </w:p>
          <w:p w14:paraId="0BEE1540">
            <w:pPr>
              <w:pStyle w:val="57"/>
              <w:jc w:val="center"/>
              <w:rPr>
                <w:rFonts w:ascii="Times New Roman" w:cs="Times New Roman"/>
              </w:rPr>
            </w:pPr>
            <w:r>
              <w:rPr>
                <w:rFonts w:ascii="Times New Roman" w:cs="Times New Roman"/>
              </w:rPr>
              <w:t>（高港区）</w:t>
            </w:r>
          </w:p>
        </w:tc>
        <w:tc>
          <w:tcPr>
            <w:tcW w:w="1701" w:type="dxa"/>
            <w:shd w:val="clear" w:color="auto" w:fill="auto"/>
            <w:vAlign w:val="center"/>
          </w:tcPr>
          <w:p w14:paraId="06957BCC">
            <w:pPr>
              <w:pStyle w:val="57"/>
              <w:jc w:val="center"/>
              <w:rPr>
                <w:rFonts w:ascii="Times New Roman" w:cs="Times New Roman"/>
              </w:rPr>
            </w:pPr>
            <w:r>
              <w:rPr>
                <w:rFonts w:ascii="Times New Roman" w:cs="Times New Roman"/>
              </w:rPr>
              <w:t>高港闸</w:t>
            </w:r>
          </w:p>
        </w:tc>
        <w:tc>
          <w:tcPr>
            <w:tcW w:w="1417" w:type="dxa"/>
            <w:shd w:val="clear" w:color="auto" w:fill="auto"/>
            <w:vAlign w:val="center"/>
          </w:tcPr>
          <w:p w14:paraId="6D940FC8">
            <w:pPr>
              <w:pStyle w:val="57"/>
              <w:jc w:val="center"/>
              <w:rPr>
                <w:rFonts w:ascii="Times New Roman" w:cs="Times New Roman"/>
              </w:rPr>
            </w:pPr>
            <w:r>
              <w:rPr>
                <w:rFonts w:ascii="Times New Roman" w:cs="Times New Roman"/>
              </w:rPr>
              <w:t>199+000</w:t>
            </w:r>
          </w:p>
        </w:tc>
        <w:tc>
          <w:tcPr>
            <w:tcW w:w="1418" w:type="dxa"/>
            <w:shd w:val="clear" w:color="auto" w:fill="auto"/>
            <w:vAlign w:val="center"/>
          </w:tcPr>
          <w:p w14:paraId="0C4C9319">
            <w:pPr>
              <w:pStyle w:val="57"/>
              <w:jc w:val="center"/>
              <w:rPr>
                <w:rFonts w:ascii="Times New Roman" w:cs="Times New Roman"/>
              </w:rPr>
            </w:pPr>
            <w:r>
              <w:rPr>
                <w:rFonts w:ascii="Times New Roman" w:cs="Times New Roman"/>
              </w:rPr>
              <w:t>4*225</w:t>
            </w:r>
          </w:p>
        </w:tc>
        <w:tc>
          <w:tcPr>
            <w:tcW w:w="2311" w:type="dxa"/>
            <w:shd w:val="clear" w:color="auto" w:fill="auto"/>
            <w:vAlign w:val="center"/>
          </w:tcPr>
          <w:p w14:paraId="7F02CC12">
            <w:pPr>
              <w:pStyle w:val="57"/>
              <w:jc w:val="center"/>
              <w:rPr>
                <w:rFonts w:ascii="Times New Roman" w:cs="Times New Roman"/>
              </w:rPr>
            </w:pPr>
            <w:r>
              <w:rPr>
                <w:rFonts w:ascii="Times New Roman" w:cs="Times New Roman"/>
              </w:rPr>
              <w:t>站15，闸12</w:t>
            </w:r>
          </w:p>
        </w:tc>
      </w:tr>
      <w:tr w14:paraId="0FABE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17" w:type="dxa"/>
            <w:shd w:val="clear" w:color="auto" w:fill="auto"/>
            <w:vAlign w:val="center"/>
          </w:tcPr>
          <w:p w14:paraId="19642803">
            <w:pPr>
              <w:pStyle w:val="57"/>
              <w:jc w:val="center"/>
              <w:rPr>
                <w:rFonts w:ascii="Times New Roman" w:cs="Times New Roman"/>
                <w:sz w:val="20"/>
                <w:szCs w:val="20"/>
              </w:rPr>
            </w:pPr>
            <w:r>
              <w:rPr>
                <w:rFonts w:ascii="Times New Roman" w:cs="Times New Roman"/>
                <w:sz w:val="20"/>
                <w:szCs w:val="20"/>
              </w:rPr>
              <w:t>2</w:t>
            </w:r>
          </w:p>
        </w:tc>
        <w:tc>
          <w:tcPr>
            <w:tcW w:w="1418" w:type="dxa"/>
            <w:shd w:val="clear" w:color="auto" w:fill="auto"/>
            <w:vAlign w:val="center"/>
          </w:tcPr>
          <w:p w14:paraId="0442D6EE">
            <w:pPr>
              <w:pStyle w:val="57"/>
              <w:jc w:val="center"/>
              <w:rPr>
                <w:rFonts w:ascii="Times New Roman" w:cs="Times New Roman"/>
              </w:rPr>
            </w:pPr>
            <w:r>
              <w:rPr>
                <w:rFonts w:ascii="Times New Roman" w:cs="Times New Roman"/>
              </w:rPr>
              <w:t>医药高新区</w:t>
            </w:r>
          </w:p>
          <w:p w14:paraId="7D7D485E">
            <w:pPr>
              <w:pStyle w:val="57"/>
              <w:jc w:val="center"/>
              <w:rPr>
                <w:rFonts w:ascii="Times New Roman" w:cs="Times New Roman"/>
              </w:rPr>
            </w:pPr>
            <w:r>
              <w:rPr>
                <w:rFonts w:ascii="Times New Roman" w:cs="Times New Roman"/>
              </w:rPr>
              <w:t>（高港区）</w:t>
            </w:r>
          </w:p>
        </w:tc>
        <w:tc>
          <w:tcPr>
            <w:tcW w:w="1701" w:type="dxa"/>
            <w:shd w:val="clear" w:color="auto" w:fill="auto"/>
            <w:vAlign w:val="center"/>
          </w:tcPr>
          <w:p w14:paraId="1EFC0C5E">
            <w:pPr>
              <w:pStyle w:val="57"/>
              <w:jc w:val="center"/>
              <w:rPr>
                <w:rFonts w:ascii="Times New Roman" w:cs="Times New Roman"/>
              </w:rPr>
            </w:pPr>
            <w:r>
              <w:rPr>
                <w:rFonts w:ascii="Times New Roman" w:cs="Times New Roman"/>
              </w:rPr>
              <w:t>永安闸</w:t>
            </w:r>
          </w:p>
        </w:tc>
        <w:tc>
          <w:tcPr>
            <w:tcW w:w="1417" w:type="dxa"/>
            <w:shd w:val="clear" w:color="auto" w:fill="auto"/>
            <w:vAlign w:val="center"/>
          </w:tcPr>
          <w:p w14:paraId="0EA51540">
            <w:pPr>
              <w:pStyle w:val="57"/>
              <w:jc w:val="center"/>
              <w:rPr>
                <w:rFonts w:ascii="Times New Roman" w:cs="Times New Roman"/>
              </w:rPr>
            </w:pPr>
            <w:r>
              <w:rPr>
                <w:rFonts w:ascii="Times New Roman" w:cs="Times New Roman"/>
              </w:rPr>
              <w:t>209+450东1500</w:t>
            </w:r>
          </w:p>
        </w:tc>
        <w:tc>
          <w:tcPr>
            <w:tcW w:w="1418" w:type="dxa"/>
            <w:shd w:val="clear" w:color="auto" w:fill="auto"/>
            <w:vAlign w:val="center"/>
          </w:tcPr>
          <w:p w14:paraId="2F729D85">
            <w:pPr>
              <w:pStyle w:val="57"/>
              <w:jc w:val="center"/>
              <w:rPr>
                <w:rFonts w:ascii="Times New Roman" w:cs="Times New Roman"/>
              </w:rPr>
            </w:pPr>
            <w:r>
              <w:rPr>
                <w:rFonts w:ascii="Times New Roman" w:cs="Times New Roman"/>
              </w:rPr>
              <w:t>2*80</w:t>
            </w:r>
          </w:p>
        </w:tc>
        <w:tc>
          <w:tcPr>
            <w:tcW w:w="2311" w:type="dxa"/>
            <w:shd w:val="clear" w:color="auto" w:fill="auto"/>
            <w:vAlign w:val="center"/>
          </w:tcPr>
          <w:p w14:paraId="03BC0E19">
            <w:pPr>
              <w:pStyle w:val="57"/>
              <w:jc w:val="center"/>
              <w:rPr>
                <w:rFonts w:ascii="Times New Roman" w:cs="Times New Roman"/>
              </w:rPr>
            </w:pPr>
            <w:r>
              <w:rPr>
                <w:rFonts w:ascii="Times New Roman" w:cs="Times New Roman"/>
              </w:rPr>
              <w:t>站2*1，闸12</w:t>
            </w:r>
          </w:p>
        </w:tc>
      </w:tr>
      <w:tr w14:paraId="421C0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17" w:type="dxa"/>
            <w:shd w:val="clear" w:color="auto" w:fill="auto"/>
            <w:vAlign w:val="center"/>
          </w:tcPr>
          <w:p w14:paraId="285C6BBA">
            <w:pPr>
              <w:pStyle w:val="57"/>
              <w:jc w:val="center"/>
              <w:rPr>
                <w:rFonts w:ascii="Times New Roman" w:cs="Times New Roman"/>
                <w:sz w:val="20"/>
                <w:szCs w:val="20"/>
              </w:rPr>
            </w:pPr>
            <w:r>
              <w:rPr>
                <w:rFonts w:ascii="Times New Roman" w:cs="Times New Roman"/>
                <w:sz w:val="20"/>
                <w:szCs w:val="20"/>
              </w:rPr>
              <w:t>3</w:t>
            </w:r>
          </w:p>
        </w:tc>
        <w:tc>
          <w:tcPr>
            <w:tcW w:w="1418" w:type="dxa"/>
            <w:shd w:val="clear" w:color="auto" w:fill="auto"/>
            <w:vAlign w:val="center"/>
          </w:tcPr>
          <w:p w14:paraId="3A422776">
            <w:pPr>
              <w:pStyle w:val="57"/>
              <w:jc w:val="center"/>
              <w:rPr>
                <w:rFonts w:ascii="Times New Roman" w:cs="Times New Roman"/>
              </w:rPr>
            </w:pPr>
            <w:r>
              <w:rPr>
                <w:rFonts w:ascii="Times New Roman" w:cs="Times New Roman"/>
              </w:rPr>
              <w:t>医药高新区</w:t>
            </w:r>
          </w:p>
          <w:p w14:paraId="698DBAB8">
            <w:pPr>
              <w:pStyle w:val="57"/>
              <w:jc w:val="center"/>
              <w:rPr>
                <w:rFonts w:ascii="Times New Roman" w:cs="Times New Roman"/>
              </w:rPr>
            </w:pPr>
            <w:r>
              <w:rPr>
                <w:rFonts w:ascii="Times New Roman" w:cs="Times New Roman"/>
              </w:rPr>
              <w:t>（高港区）</w:t>
            </w:r>
          </w:p>
        </w:tc>
        <w:tc>
          <w:tcPr>
            <w:tcW w:w="1701" w:type="dxa"/>
            <w:shd w:val="clear" w:color="auto" w:fill="auto"/>
            <w:vAlign w:val="center"/>
          </w:tcPr>
          <w:p w14:paraId="1917F0A0">
            <w:pPr>
              <w:pStyle w:val="57"/>
              <w:jc w:val="center"/>
              <w:rPr>
                <w:rFonts w:ascii="Times New Roman" w:cs="Times New Roman"/>
              </w:rPr>
            </w:pPr>
            <w:r>
              <w:rPr>
                <w:rFonts w:ascii="Times New Roman" w:cs="Times New Roman"/>
              </w:rPr>
              <w:t>福利闸</w:t>
            </w:r>
          </w:p>
        </w:tc>
        <w:tc>
          <w:tcPr>
            <w:tcW w:w="1417" w:type="dxa"/>
            <w:shd w:val="clear" w:color="auto" w:fill="auto"/>
            <w:vAlign w:val="center"/>
          </w:tcPr>
          <w:p w14:paraId="638952FF">
            <w:pPr>
              <w:pStyle w:val="57"/>
              <w:jc w:val="center"/>
              <w:rPr>
                <w:rFonts w:ascii="Times New Roman" w:cs="Times New Roman"/>
              </w:rPr>
            </w:pPr>
            <w:r>
              <w:rPr>
                <w:rFonts w:ascii="Times New Roman" w:cs="Times New Roman"/>
              </w:rPr>
              <w:t>209+450东3970</w:t>
            </w:r>
          </w:p>
        </w:tc>
        <w:tc>
          <w:tcPr>
            <w:tcW w:w="1418" w:type="dxa"/>
            <w:shd w:val="clear" w:color="auto" w:fill="auto"/>
            <w:vAlign w:val="center"/>
          </w:tcPr>
          <w:p w14:paraId="3E830E5A">
            <w:pPr>
              <w:pStyle w:val="57"/>
              <w:jc w:val="center"/>
              <w:rPr>
                <w:rFonts w:ascii="Times New Roman" w:cs="Times New Roman"/>
              </w:rPr>
            </w:pPr>
            <w:r>
              <w:rPr>
                <w:rFonts w:ascii="Times New Roman" w:cs="Times New Roman"/>
              </w:rPr>
              <w:t>115</w:t>
            </w:r>
          </w:p>
        </w:tc>
        <w:tc>
          <w:tcPr>
            <w:tcW w:w="2311" w:type="dxa"/>
            <w:shd w:val="clear" w:color="auto" w:fill="auto"/>
            <w:vAlign w:val="center"/>
          </w:tcPr>
          <w:p w14:paraId="7846ACE0">
            <w:pPr>
              <w:pStyle w:val="57"/>
              <w:jc w:val="center"/>
              <w:rPr>
                <w:rFonts w:ascii="Times New Roman" w:cs="Times New Roman"/>
              </w:rPr>
            </w:pPr>
            <w:r>
              <w:rPr>
                <w:rFonts w:ascii="Times New Roman" w:cs="Times New Roman"/>
              </w:rPr>
              <w:t>站1*2，闸12</w:t>
            </w:r>
          </w:p>
        </w:tc>
      </w:tr>
      <w:tr w14:paraId="30C7B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17" w:type="dxa"/>
            <w:shd w:val="clear" w:color="auto" w:fill="auto"/>
            <w:vAlign w:val="center"/>
          </w:tcPr>
          <w:p w14:paraId="3A829A3B">
            <w:pPr>
              <w:pStyle w:val="57"/>
              <w:jc w:val="center"/>
              <w:rPr>
                <w:rFonts w:ascii="Times New Roman" w:cs="Times New Roman"/>
                <w:sz w:val="20"/>
                <w:szCs w:val="20"/>
              </w:rPr>
            </w:pPr>
            <w:r>
              <w:rPr>
                <w:rFonts w:ascii="Times New Roman" w:cs="Times New Roman"/>
                <w:sz w:val="20"/>
                <w:szCs w:val="20"/>
              </w:rPr>
              <w:t>4</w:t>
            </w:r>
          </w:p>
        </w:tc>
        <w:tc>
          <w:tcPr>
            <w:tcW w:w="1418" w:type="dxa"/>
            <w:shd w:val="clear" w:color="auto" w:fill="auto"/>
            <w:vAlign w:val="center"/>
          </w:tcPr>
          <w:p w14:paraId="62C5F933">
            <w:pPr>
              <w:pStyle w:val="57"/>
              <w:jc w:val="center"/>
              <w:rPr>
                <w:rFonts w:ascii="Times New Roman" w:cs="Times New Roman"/>
              </w:rPr>
            </w:pPr>
            <w:r>
              <w:rPr>
                <w:rFonts w:ascii="Times New Roman" w:cs="Times New Roman"/>
              </w:rPr>
              <w:t>医药高新区</w:t>
            </w:r>
          </w:p>
          <w:p w14:paraId="25393439">
            <w:pPr>
              <w:pStyle w:val="57"/>
              <w:jc w:val="center"/>
              <w:rPr>
                <w:rFonts w:ascii="Times New Roman" w:cs="Times New Roman"/>
              </w:rPr>
            </w:pPr>
            <w:r>
              <w:rPr>
                <w:rFonts w:ascii="Times New Roman" w:cs="Times New Roman"/>
              </w:rPr>
              <w:t>（高港区）</w:t>
            </w:r>
          </w:p>
        </w:tc>
        <w:tc>
          <w:tcPr>
            <w:tcW w:w="1701" w:type="dxa"/>
            <w:shd w:val="clear" w:color="auto" w:fill="auto"/>
            <w:vAlign w:val="center"/>
          </w:tcPr>
          <w:p w14:paraId="79605B77">
            <w:pPr>
              <w:pStyle w:val="57"/>
              <w:jc w:val="center"/>
              <w:rPr>
                <w:rFonts w:ascii="Times New Roman" w:cs="Times New Roman"/>
              </w:rPr>
            </w:pPr>
            <w:r>
              <w:rPr>
                <w:rFonts w:ascii="Times New Roman" w:cs="Times New Roman"/>
              </w:rPr>
              <w:t>天雨闸</w:t>
            </w:r>
          </w:p>
        </w:tc>
        <w:tc>
          <w:tcPr>
            <w:tcW w:w="1417" w:type="dxa"/>
            <w:shd w:val="clear" w:color="auto" w:fill="auto"/>
            <w:vAlign w:val="center"/>
          </w:tcPr>
          <w:p w14:paraId="19438CC5">
            <w:pPr>
              <w:pStyle w:val="57"/>
              <w:jc w:val="center"/>
              <w:rPr>
                <w:rFonts w:ascii="Times New Roman" w:cs="Times New Roman"/>
              </w:rPr>
            </w:pPr>
            <w:r>
              <w:rPr>
                <w:rFonts w:ascii="Times New Roman" w:cs="Times New Roman"/>
              </w:rPr>
              <w:t>209+450东2830</w:t>
            </w:r>
          </w:p>
        </w:tc>
        <w:tc>
          <w:tcPr>
            <w:tcW w:w="1418" w:type="dxa"/>
            <w:shd w:val="clear" w:color="auto" w:fill="auto"/>
            <w:vAlign w:val="center"/>
          </w:tcPr>
          <w:p w14:paraId="1EAC9B8A">
            <w:pPr>
              <w:pStyle w:val="57"/>
              <w:jc w:val="center"/>
              <w:rPr>
                <w:rFonts w:ascii="Times New Roman" w:cs="Times New Roman"/>
              </w:rPr>
            </w:pPr>
            <w:r>
              <w:rPr>
                <w:rFonts w:ascii="Times New Roman" w:cs="Times New Roman"/>
              </w:rPr>
              <w:t>115</w:t>
            </w:r>
          </w:p>
        </w:tc>
        <w:tc>
          <w:tcPr>
            <w:tcW w:w="2311" w:type="dxa"/>
            <w:shd w:val="clear" w:color="auto" w:fill="auto"/>
            <w:vAlign w:val="center"/>
          </w:tcPr>
          <w:p w14:paraId="3600E9F9">
            <w:pPr>
              <w:pStyle w:val="57"/>
              <w:jc w:val="center"/>
              <w:rPr>
                <w:rFonts w:ascii="Times New Roman" w:cs="Times New Roman"/>
              </w:rPr>
            </w:pPr>
            <w:r>
              <w:rPr>
                <w:rFonts w:ascii="Times New Roman" w:cs="Times New Roman"/>
              </w:rPr>
              <w:t>站1*2，闸12</w:t>
            </w:r>
          </w:p>
        </w:tc>
      </w:tr>
      <w:tr w14:paraId="77491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17" w:type="dxa"/>
            <w:shd w:val="clear" w:color="auto" w:fill="auto"/>
            <w:vAlign w:val="center"/>
          </w:tcPr>
          <w:p w14:paraId="56FFF238">
            <w:pPr>
              <w:pStyle w:val="57"/>
              <w:jc w:val="center"/>
              <w:rPr>
                <w:rFonts w:ascii="Times New Roman" w:cs="Times New Roman"/>
                <w:sz w:val="20"/>
                <w:szCs w:val="20"/>
              </w:rPr>
            </w:pPr>
            <w:r>
              <w:rPr>
                <w:rFonts w:ascii="Times New Roman" w:cs="Times New Roman"/>
                <w:sz w:val="20"/>
                <w:szCs w:val="20"/>
              </w:rPr>
              <w:t>5</w:t>
            </w:r>
          </w:p>
        </w:tc>
        <w:tc>
          <w:tcPr>
            <w:tcW w:w="1418" w:type="dxa"/>
            <w:shd w:val="clear" w:color="auto" w:fill="auto"/>
            <w:vAlign w:val="center"/>
          </w:tcPr>
          <w:p w14:paraId="30B83649">
            <w:pPr>
              <w:pStyle w:val="57"/>
              <w:jc w:val="center"/>
              <w:rPr>
                <w:rFonts w:ascii="Times New Roman" w:cs="Times New Roman"/>
              </w:rPr>
            </w:pPr>
            <w:r>
              <w:rPr>
                <w:rFonts w:ascii="Times New Roman" w:cs="Times New Roman"/>
              </w:rPr>
              <w:t>泰兴市</w:t>
            </w:r>
          </w:p>
        </w:tc>
        <w:tc>
          <w:tcPr>
            <w:tcW w:w="1701" w:type="dxa"/>
            <w:shd w:val="clear" w:color="auto" w:fill="auto"/>
            <w:vAlign w:val="center"/>
          </w:tcPr>
          <w:p w14:paraId="330FEFB0">
            <w:pPr>
              <w:pStyle w:val="57"/>
              <w:jc w:val="center"/>
              <w:rPr>
                <w:rFonts w:ascii="Times New Roman" w:cs="Times New Roman"/>
              </w:rPr>
            </w:pPr>
            <w:r>
              <w:rPr>
                <w:rFonts w:ascii="Times New Roman" w:cs="Times New Roman"/>
              </w:rPr>
              <w:t>马甸泵站</w:t>
            </w:r>
          </w:p>
        </w:tc>
        <w:tc>
          <w:tcPr>
            <w:tcW w:w="1417" w:type="dxa"/>
            <w:shd w:val="clear" w:color="auto" w:fill="auto"/>
            <w:vAlign w:val="center"/>
          </w:tcPr>
          <w:p w14:paraId="5D5C71DE">
            <w:pPr>
              <w:pStyle w:val="57"/>
              <w:jc w:val="center"/>
              <w:rPr>
                <w:rFonts w:ascii="Times New Roman" w:cs="Times New Roman"/>
              </w:rPr>
            </w:pPr>
            <w:r>
              <w:rPr>
                <w:rFonts w:ascii="Times New Roman" w:cs="Times New Roman"/>
              </w:rPr>
              <w:t>港堤</w:t>
            </w:r>
          </w:p>
        </w:tc>
        <w:tc>
          <w:tcPr>
            <w:tcW w:w="1418" w:type="dxa"/>
            <w:shd w:val="clear" w:color="auto" w:fill="auto"/>
            <w:vAlign w:val="center"/>
          </w:tcPr>
          <w:p w14:paraId="50F590A2">
            <w:pPr>
              <w:pStyle w:val="57"/>
              <w:jc w:val="center"/>
              <w:rPr>
                <w:rFonts w:ascii="Times New Roman" w:cs="Times New Roman"/>
              </w:rPr>
            </w:pPr>
            <w:r>
              <w:rPr>
                <w:rFonts w:ascii="Times New Roman" w:cs="Times New Roman"/>
              </w:rPr>
              <w:t>5*450</w:t>
            </w:r>
          </w:p>
        </w:tc>
        <w:tc>
          <w:tcPr>
            <w:tcW w:w="2311" w:type="dxa"/>
            <w:shd w:val="clear" w:color="auto" w:fill="auto"/>
            <w:vAlign w:val="center"/>
          </w:tcPr>
          <w:p w14:paraId="43FA7F3B">
            <w:pPr>
              <w:pStyle w:val="57"/>
              <w:jc w:val="center"/>
              <w:rPr>
                <w:rFonts w:ascii="Times New Roman" w:cs="Times New Roman"/>
              </w:rPr>
            </w:pPr>
            <w:r>
              <w:rPr>
                <w:rFonts w:ascii="Times New Roman" w:cs="Times New Roman"/>
              </w:rPr>
              <w:t>60</w:t>
            </w:r>
          </w:p>
        </w:tc>
      </w:tr>
      <w:tr w14:paraId="675EB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17" w:type="dxa"/>
            <w:shd w:val="clear" w:color="auto" w:fill="auto"/>
            <w:vAlign w:val="center"/>
          </w:tcPr>
          <w:p w14:paraId="12115854">
            <w:pPr>
              <w:pStyle w:val="57"/>
              <w:jc w:val="center"/>
              <w:rPr>
                <w:rFonts w:ascii="Times New Roman" w:cs="Times New Roman"/>
                <w:sz w:val="20"/>
                <w:szCs w:val="20"/>
              </w:rPr>
            </w:pPr>
            <w:r>
              <w:rPr>
                <w:rFonts w:ascii="Times New Roman" w:cs="Times New Roman"/>
                <w:sz w:val="20"/>
                <w:szCs w:val="20"/>
              </w:rPr>
              <w:t>6</w:t>
            </w:r>
          </w:p>
        </w:tc>
        <w:tc>
          <w:tcPr>
            <w:tcW w:w="1418" w:type="dxa"/>
            <w:shd w:val="clear" w:color="auto" w:fill="auto"/>
            <w:vAlign w:val="center"/>
          </w:tcPr>
          <w:p w14:paraId="01B682D4">
            <w:pPr>
              <w:pStyle w:val="57"/>
              <w:jc w:val="center"/>
              <w:rPr>
                <w:rFonts w:ascii="Times New Roman" w:cs="Times New Roman"/>
              </w:rPr>
            </w:pPr>
            <w:r>
              <w:rPr>
                <w:rFonts w:ascii="Times New Roman" w:cs="Times New Roman"/>
              </w:rPr>
              <w:t>泰兴市</w:t>
            </w:r>
          </w:p>
        </w:tc>
        <w:tc>
          <w:tcPr>
            <w:tcW w:w="1701" w:type="dxa"/>
            <w:shd w:val="clear" w:color="auto" w:fill="auto"/>
            <w:vAlign w:val="center"/>
          </w:tcPr>
          <w:p w14:paraId="5450CD77">
            <w:pPr>
              <w:pStyle w:val="57"/>
              <w:jc w:val="center"/>
              <w:rPr>
                <w:rFonts w:ascii="Times New Roman" w:cs="Times New Roman"/>
              </w:rPr>
            </w:pPr>
            <w:r>
              <w:rPr>
                <w:rFonts w:ascii="Times New Roman" w:cs="Times New Roman"/>
              </w:rPr>
              <w:t>洋思港闸站</w:t>
            </w:r>
          </w:p>
        </w:tc>
        <w:tc>
          <w:tcPr>
            <w:tcW w:w="1417" w:type="dxa"/>
            <w:shd w:val="clear" w:color="auto" w:fill="auto"/>
            <w:vAlign w:val="center"/>
          </w:tcPr>
          <w:p w14:paraId="3315C248">
            <w:pPr>
              <w:pStyle w:val="57"/>
              <w:jc w:val="center"/>
              <w:rPr>
                <w:rFonts w:ascii="Times New Roman" w:cs="Times New Roman"/>
              </w:rPr>
            </w:pPr>
            <w:r>
              <w:rPr>
                <w:rFonts w:ascii="Times New Roman" w:cs="Times New Roman"/>
              </w:rPr>
              <w:t>222+522</w:t>
            </w:r>
          </w:p>
        </w:tc>
        <w:tc>
          <w:tcPr>
            <w:tcW w:w="1418" w:type="dxa"/>
            <w:shd w:val="clear" w:color="auto" w:fill="auto"/>
            <w:vAlign w:val="center"/>
          </w:tcPr>
          <w:p w14:paraId="38D89EBF">
            <w:pPr>
              <w:pStyle w:val="57"/>
              <w:jc w:val="center"/>
              <w:rPr>
                <w:rFonts w:ascii="Times New Roman" w:cs="Times New Roman"/>
              </w:rPr>
            </w:pPr>
            <w:r>
              <w:rPr>
                <w:rFonts w:ascii="Times New Roman" w:cs="Times New Roman"/>
              </w:rPr>
              <w:t>880</w:t>
            </w:r>
          </w:p>
        </w:tc>
        <w:tc>
          <w:tcPr>
            <w:tcW w:w="2311" w:type="dxa"/>
            <w:shd w:val="clear" w:color="auto" w:fill="auto"/>
            <w:vAlign w:val="center"/>
          </w:tcPr>
          <w:p w14:paraId="5DA082AB">
            <w:pPr>
              <w:pStyle w:val="57"/>
              <w:jc w:val="center"/>
              <w:rPr>
                <w:rFonts w:ascii="Times New Roman" w:cs="Times New Roman"/>
              </w:rPr>
            </w:pPr>
            <w:r>
              <w:rPr>
                <w:rFonts w:ascii="Times New Roman" w:cs="Times New Roman"/>
              </w:rPr>
              <w:t>站引5,排10；闸10</w:t>
            </w:r>
          </w:p>
        </w:tc>
      </w:tr>
      <w:tr w14:paraId="255DE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17" w:type="dxa"/>
            <w:shd w:val="clear" w:color="auto" w:fill="auto"/>
            <w:vAlign w:val="center"/>
          </w:tcPr>
          <w:p w14:paraId="21B0E1CF">
            <w:pPr>
              <w:pStyle w:val="57"/>
              <w:jc w:val="center"/>
              <w:rPr>
                <w:rFonts w:ascii="Times New Roman" w:cs="Times New Roman"/>
                <w:sz w:val="20"/>
                <w:szCs w:val="20"/>
              </w:rPr>
            </w:pPr>
            <w:r>
              <w:rPr>
                <w:rFonts w:ascii="Times New Roman" w:cs="Times New Roman"/>
                <w:sz w:val="20"/>
                <w:szCs w:val="20"/>
              </w:rPr>
              <w:t>7</w:t>
            </w:r>
          </w:p>
        </w:tc>
        <w:tc>
          <w:tcPr>
            <w:tcW w:w="1418" w:type="dxa"/>
            <w:shd w:val="clear" w:color="auto" w:fill="auto"/>
            <w:vAlign w:val="center"/>
          </w:tcPr>
          <w:p w14:paraId="34977392">
            <w:pPr>
              <w:pStyle w:val="57"/>
              <w:jc w:val="center"/>
              <w:rPr>
                <w:rFonts w:ascii="Times New Roman" w:cs="Times New Roman"/>
              </w:rPr>
            </w:pPr>
            <w:r>
              <w:rPr>
                <w:rFonts w:ascii="Times New Roman" w:cs="Times New Roman"/>
              </w:rPr>
              <w:t>泰兴市</w:t>
            </w:r>
          </w:p>
        </w:tc>
        <w:tc>
          <w:tcPr>
            <w:tcW w:w="1701" w:type="dxa"/>
            <w:shd w:val="clear" w:color="auto" w:fill="auto"/>
            <w:vAlign w:val="center"/>
          </w:tcPr>
          <w:p w14:paraId="3C8244FE">
            <w:pPr>
              <w:pStyle w:val="57"/>
              <w:jc w:val="center"/>
              <w:rPr>
                <w:rFonts w:ascii="Times New Roman" w:cs="Times New Roman"/>
              </w:rPr>
            </w:pPr>
            <w:r>
              <w:rPr>
                <w:rFonts w:ascii="Times New Roman" w:cs="Times New Roman"/>
              </w:rPr>
              <w:t>东夹江闸站</w:t>
            </w:r>
          </w:p>
        </w:tc>
        <w:tc>
          <w:tcPr>
            <w:tcW w:w="1417" w:type="dxa"/>
            <w:shd w:val="clear" w:color="auto" w:fill="auto"/>
            <w:vAlign w:val="center"/>
          </w:tcPr>
          <w:p w14:paraId="1E396DCD">
            <w:pPr>
              <w:pStyle w:val="57"/>
              <w:jc w:val="center"/>
              <w:rPr>
                <w:rFonts w:ascii="Times New Roman" w:cs="Times New Roman"/>
              </w:rPr>
            </w:pPr>
            <w:r>
              <w:rPr>
                <w:rFonts w:ascii="Times New Roman" w:cs="Times New Roman"/>
              </w:rPr>
              <w:t>216+130</w:t>
            </w:r>
          </w:p>
        </w:tc>
        <w:tc>
          <w:tcPr>
            <w:tcW w:w="1418" w:type="dxa"/>
            <w:shd w:val="clear" w:color="auto" w:fill="auto"/>
            <w:vAlign w:val="center"/>
          </w:tcPr>
          <w:p w14:paraId="1A3AF000">
            <w:pPr>
              <w:pStyle w:val="57"/>
              <w:jc w:val="center"/>
              <w:rPr>
                <w:rFonts w:ascii="Times New Roman" w:cs="Times New Roman"/>
              </w:rPr>
            </w:pPr>
            <w:r>
              <w:rPr>
                <w:rFonts w:ascii="Times New Roman" w:cs="Times New Roman"/>
              </w:rPr>
              <w:t>180</w:t>
            </w:r>
          </w:p>
        </w:tc>
        <w:tc>
          <w:tcPr>
            <w:tcW w:w="2311" w:type="dxa"/>
            <w:shd w:val="clear" w:color="auto" w:fill="auto"/>
            <w:vAlign w:val="center"/>
          </w:tcPr>
          <w:p w14:paraId="1779BA23">
            <w:pPr>
              <w:pStyle w:val="57"/>
              <w:jc w:val="center"/>
              <w:rPr>
                <w:rFonts w:ascii="Times New Roman" w:cs="Times New Roman"/>
              </w:rPr>
            </w:pPr>
            <w:r>
              <w:rPr>
                <w:rFonts w:ascii="Times New Roman" w:cs="Times New Roman"/>
              </w:rPr>
              <w:t>站排10；闸28</w:t>
            </w:r>
          </w:p>
        </w:tc>
      </w:tr>
      <w:tr w14:paraId="7ACE4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17" w:type="dxa"/>
            <w:shd w:val="clear" w:color="auto" w:fill="auto"/>
            <w:vAlign w:val="center"/>
          </w:tcPr>
          <w:p w14:paraId="6447B55A">
            <w:pPr>
              <w:pStyle w:val="57"/>
              <w:jc w:val="center"/>
              <w:rPr>
                <w:rFonts w:ascii="Times New Roman" w:cs="Times New Roman"/>
                <w:sz w:val="20"/>
                <w:szCs w:val="20"/>
              </w:rPr>
            </w:pPr>
            <w:r>
              <w:rPr>
                <w:rFonts w:ascii="Times New Roman" w:cs="Times New Roman"/>
                <w:sz w:val="20"/>
                <w:szCs w:val="20"/>
              </w:rPr>
              <w:t>8</w:t>
            </w:r>
          </w:p>
        </w:tc>
        <w:tc>
          <w:tcPr>
            <w:tcW w:w="1418" w:type="dxa"/>
            <w:shd w:val="clear" w:color="auto" w:fill="auto"/>
            <w:vAlign w:val="center"/>
          </w:tcPr>
          <w:p w14:paraId="002B11EC">
            <w:pPr>
              <w:pStyle w:val="57"/>
              <w:jc w:val="center"/>
              <w:rPr>
                <w:rFonts w:ascii="Times New Roman" w:cs="Times New Roman"/>
              </w:rPr>
            </w:pPr>
            <w:r>
              <w:rPr>
                <w:rFonts w:ascii="Times New Roman" w:cs="Times New Roman"/>
              </w:rPr>
              <w:t>泰兴市</w:t>
            </w:r>
          </w:p>
        </w:tc>
        <w:tc>
          <w:tcPr>
            <w:tcW w:w="1701" w:type="dxa"/>
            <w:shd w:val="clear" w:color="auto" w:fill="auto"/>
            <w:vAlign w:val="center"/>
          </w:tcPr>
          <w:p w14:paraId="1278F0CA">
            <w:pPr>
              <w:pStyle w:val="57"/>
              <w:jc w:val="center"/>
              <w:rPr>
                <w:rFonts w:ascii="Times New Roman" w:cs="Times New Roman"/>
              </w:rPr>
            </w:pPr>
            <w:r>
              <w:rPr>
                <w:rFonts w:ascii="Times New Roman" w:cs="Times New Roman"/>
              </w:rPr>
              <w:t>团结河闸站</w:t>
            </w:r>
          </w:p>
        </w:tc>
        <w:tc>
          <w:tcPr>
            <w:tcW w:w="1417" w:type="dxa"/>
            <w:shd w:val="clear" w:color="auto" w:fill="auto"/>
            <w:vAlign w:val="center"/>
          </w:tcPr>
          <w:p w14:paraId="7C86D59E">
            <w:pPr>
              <w:pStyle w:val="57"/>
              <w:jc w:val="center"/>
              <w:rPr>
                <w:rFonts w:ascii="Times New Roman" w:cs="Times New Roman"/>
              </w:rPr>
            </w:pPr>
            <w:r>
              <w:rPr>
                <w:rFonts w:ascii="Times New Roman" w:cs="Times New Roman"/>
              </w:rPr>
              <w:t>217+078</w:t>
            </w:r>
          </w:p>
        </w:tc>
        <w:tc>
          <w:tcPr>
            <w:tcW w:w="1418" w:type="dxa"/>
            <w:shd w:val="clear" w:color="auto" w:fill="auto"/>
            <w:vAlign w:val="center"/>
          </w:tcPr>
          <w:p w14:paraId="5D75DA11">
            <w:pPr>
              <w:pStyle w:val="57"/>
              <w:jc w:val="center"/>
              <w:rPr>
                <w:rFonts w:ascii="Times New Roman" w:cs="Times New Roman"/>
              </w:rPr>
            </w:pPr>
            <w:r>
              <w:rPr>
                <w:rFonts w:ascii="Times New Roman" w:cs="Times New Roman"/>
              </w:rPr>
              <w:t>315</w:t>
            </w:r>
          </w:p>
        </w:tc>
        <w:tc>
          <w:tcPr>
            <w:tcW w:w="2311" w:type="dxa"/>
            <w:shd w:val="clear" w:color="auto" w:fill="auto"/>
            <w:vAlign w:val="center"/>
          </w:tcPr>
          <w:p w14:paraId="1AEF41BC">
            <w:pPr>
              <w:pStyle w:val="57"/>
              <w:jc w:val="center"/>
              <w:rPr>
                <w:rFonts w:ascii="Times New Roman" w:cs="Times New Roman"/>
              </w:rPr>
            </w:pPr>
            <w:r>
              <w:rPr>
                <w:rFonts w:ascii="Times New Roman" w:cs="Times New Roman"/>
              </w:rPr>
              <w:t>站排8；闸15</w:t>
            </w:r>
          </w:p>
        </w:tc>
      </w:tr>
      <w:tr w14:paraId="29ACE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17" w:type="dxa"/>
            <w:shd w:val="clear" w:color="auto" w:fill="auto"/>
            <w:vAlign w:val="center"/>
          </w:tcPr>
          <w:p w14:paraId="779E96EE">
            <w:pPr>
              <w:pStyle w:val="57"/>
              <w:jc w:val="center"/>
              <w:rPr>
                <w:rFonts w:ascii="Times New Roman" w:cs="Times New Roman"/>
                <w:sz w:val="20"/>
                <w:szCs w:val="20"/>
              </w:rPr>
            </w:pPr>
            <w:r>
              <w:rPr>
                <w:rFonts w:ascii="Times New Roman" w:cs="Times New Roman"/>
                <w:sz w:val="20"/>
                <w:szCs w:val="20"/>
              </w:rPr>
              <w:t>9</w:t>
            </w:r>
          </w:p>
        </w:tc>
        <w:tc>
          <w:tcPr>
            <w:tcW w:w="1418" w:type="dxa"/>
            <w:shd w:val="clear" w:color="auto" w:fill="auto"/>
            <w:vAlign w:val="center"/>
          </w:tcPr>
          <w:p w14:paraId="1559000C">
            <w:pPr>
              <w:pStyle w:val="57"/>
              <w:jc w:val="center"/>
              <w:rPr>
                <w:rFonts w:ascii="Times New Roman" w:cs="Times New Roman"/>
              </w:rPr>
            </w:pPr>
            <w:r>
              <w:rPr>
                <w:rFonts w:ascii="Times New Roman" w:cs="Times New Roman"/>
              </w:rPr>
              <w:t>泰兴市</w:t>
            </w:r>
          </w:p>
        </w:tc>
        <w:tc>
          <w:tcPr>
            <w:tcW w:w="1701" w:type="dxa"/>
            <w:shd w:val="clear" w:color="auto" w:fill="auto"/>
            <w:vAlign w:val="center"/>
          </w:tcPr>
          <w:p w14:paraId="534CF418">
            <w:pPr>
              <w:pStyle w:val="57"/>
              <w:jc w:val="center"/>
              <w:rPr>
                <w:rFonts w:ascii="Times New Roman" w:cs="Times New Roman"/>
              </w:rPr>
            </w:pPr>
            <w:r>
              <w:rPr>
                <w:rFonts w:ascii="Times New Roman" w:cs="Times New Roman"/>
              </w:rPr>
              <w:t>排涝二站</w:t>
            </w:r>
          </w:p>
        </w:tc>
        <w:tc>
          <w:tcPr>
            <w:tcW w:w="1417" w:type="dxa"/>
            <w:shd w:val="clear" w:color="auto" w:fill="auto"/>
            <w:vAlign w:val="center"/>
          </w:tcPr>
          <w:p w14:paraId="0594F5B9">
            <w:pPr>
              <w:pStyle w:val="57"/>
              <w:jc w:val="center"/>
              <w:rPr>
                <w:rFonts w:ascii="Times New Roman" w:cs="Times New Roman"/>
              </w:rPr>
            </w:pPr>
            <w:r>
              <w:rPr>
                <w:rFonts w:ascii="Times New Roman" w:cs="Times New Roman"/>
              </w:rPr>
              <w:t>217+986</w:t>
            </w:r>
          </w:p>
        </w:tc>
        <w:tc>
          <w:tcPr>
            <w:tcW w:w="1418" w:type="dxa"/>
            <w:shd w:val="clear" w:color="auto" w:fill="auto"/>
            <w:vAlign w:val="center"/>
          </w:tcPr>
          <w:p w14:paraId="4775467C">
            <w:pPr>
              <w:pStyle w:val="57"/>
              <w:jc w:val="center"/>
              <w:rPr>
                <w:rFonts w:ascii="Times New Roman" w:cs="Times New Roman"/>
              </w:rPr>
            </w:pPr>
            <w:r>
              <w:rPr>
                <w:rFonts w:ascii="Times New Roman" w:cs="Times New Roman"/>
              </w:rPr>
              <w:t>220</w:t>
            </w:r>
          </w:p>
        </w:tc>
        <w:tc>
          <w:tcPr>
            <w:tcW w:w="2311" w:type="dxa"/>
            <w:shd w:val="clear" w:color="auto" w:fill="auto"/>
            <w:vAlign w:val="center"/>
          </w:tcPr>
          <w:p w14:paraId="51989A7C">
            <w:pPr>
              <w:pStyle w:val="57"/>
              <w:jc w:val="center"/>
              <w:rPr>
                <w:rFonts w:ascii="Times New Roman" w:cs="Times New Roman"/>
              </w:rPr>
            </w:pPr>
            <w:r>
              <w:rPr>
                <w:rFonts w:ascii="Times New Roman" w:cs="Times New Roman"/>
              </w:rPr>
              <w:t>站排4；闸4</w:t>
            </w:r>
          </w:p>
        </w:tc>
      </w:tr>
      <w:tr w14:paraId="04A05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17" w:type="dxa"/>
            <w:shd w:val="clear" w:color="auto" w:fill="auto"/>
            <w:vAlign w:val="center"/>
          </w:tcPr>
          <w:p w14:paraId="42CD66EB">
            <w:pPr>
              <w:pStyle w:val="57"/>
              <w:jc w:val="center"/>
              <w:rPr>
                <w:rFonts w:ascii="Times New Roman" w:cs="Times New Roman"/>
                <w:sz w:val="20"/>
                <w:szCs w:val="20"/>
              </w:rPr>
            </w:pPr>
            <w:r>
              <w:rPr>
                <w:rFonts w:ascii="Times New Roman" w:cs="Times New Roman"/>
                <w:sz w:val="20"/>
                <w:szCs w:val="20"/>
              </w:rPr>
              <w:t>10</w:t>
            </w:r>
          </w:p>
        </w:tc>
        <w:tc>
          <w:tcPr>
            <w:tcW w:w="1418" w:type="dxa"/>
            <w:shd w:val="clear" w:color="auto" w:fill="auto"/>
            <w:vAlign w:val="center"/>
          </w:tcPr>
          <w:p w14:paraId="1D1905E2">
            <w:pPr>
              <w:pStyle w:val="57"/>
              <w:jc w:val="center"/>
              <w:rPr>
                <w:rFonts w:ascii="Times New Roman" w:cs="Times New Roman"/>
              </w:rPr>
            </w:pPr>
            <w:r>
              <w:rPr>
                <w:rFonts w:ascii="Times New Roman" w:cs="Times New Roman"/>
              </w:rPr>
              <w:t>泰兴市</w:t>
            </w:r>
          </w:p>
        </w:tc>
        <w:tc>
          <w:tcPr>
            <w:tcW w:w="1701" w:type="dxa"/>
            <w:shd w:val="clear" w:color="auto" w:fill="auto"/>
            <w:vAlign w:val="center"/>
          </w:tcPr>
          <w:p w14:paraId="2825B1E1">
            <w:pPr>
              <w:pStyle w:val="57"/>
              <w:jc w:val="center"/>
              <w:rPr>
                <w:rFonts w:ascii="Times New Roman" w:cs="Times New Roman"/>
              </w:rPr>
            </w:pPr>
            <w:r>
              <w:rPr>
                <w:rFonts w:ascii="Times New Roman" w:cs="Times New Roman"/>
              </w:rPr>
              <w:t>排涝一站</w:t>
            </w:r>
          </w:p>
        </w:tc>
        <w:tc>
          <w:tcPr>
            <w:tcW w:w="1417" w:type="dxa"/>
            <w:shd w:val="clear" w:color="auto" w:fill="auto"/>
            <w:vAlign w:val="center"/>
          </w:tcPr>
          <w:p w14:paraId="2FEFC744">
            <w:pPr>
              <w:pStyle w:val="57"/>
              <w:jc w:val="center"/>
              <w:rPr>
                <w:rFonts w:ascii="Times New Roman" w:cs="Times New Roman"/>
              </w:rPr>
            </w:pPr>
            <w:r>
              <w:rPr>
                <w:rFonts w:ascii="Times New Roman" w:cs="Times New Roman"/>
              </w:rPr>
              <w:t>219+668</w:t>
            </w:r>
          </w:p>
        </w:tc>
        <w:tc>
          <w:tcPr>
            <w:tcW w:w="1418" w:type="dxa"/>
            <w:shd w:val="clear" w:color="auto" w:fill="auto"/>
            <w:vAlign w:val="center"/>
          </w:tcPr>
          <w:p w14:paraId="19EB6D47">
            <w:pPr>
              <w:pStyle w:val="57"/>
              <w:jc w:val="center"/>
              <w:rPr>
                <w:rFonts w:ascii="Times New Roman" w:cs="Times New Roman"/>
              </w:rPr>
            </w:pPr>
            <w:r>
              <w:rPr>
                <w:rFonts w:ascii="Times New Roman" w:cs="Times New Roman"/>
              </w:rPr>
              <w:t>180</w:t>
            </w:r>
          </w:p>
        </w:tc>
        <w:tc>
          <w:tcPr>
            <w:tcW w:w="2311" w:type="dxa"/>
            <w:shd w:val="clear" w:color="auto" w:fill="auto"/>
            <w:vAlign w:val="center"/>
          </w:tcPr>
          <w:p w14:paraId="41902AF3">
            <w:pPr>
              <w:pStyle w:val="57"/>
              <w:jc w:val="center"/>
              <w:rPr>
                <w:rFonts w:ascii="Times New Roman" w:cs="Times New Roman"/>
              </w:rPr>
            </w:pPr>
            <w:r>
              <w:rPr>
                <w:rFonts w:ascii="Times New Roman" w:cs="Times New Roman"/>
              </w:rPr>
              <w:t>站排8；闸7</w:t>
            </w:r>
          </w:p>
        </w:tc>
      </w:tr>
      <w:tr w14:paraId="681FF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17" w:type="dxa"/>
            <w:shd w:val="clear" w:color="auto" w:fill="auto"/>
            <w:vAlign w:val="center"/>
          </w:tcPr>
          <w:p w14:paraId="700B53A9">
            <w:pPr>
              <w:pStyle w:val="57"/>
              <w:jc w:val="center"/>
              <w:rPr>
                <w:rFonts w:ascii="Times New Roman" w:cs="Times New Roman"/>
                <w:sz w:val="20"/>
                <w:szCs w:val="20"/>
              </w:rPr>
            </w:pPr>
            <w:r>
              <w:rPr>
                <w:rFonts w:ascii="Times New Roman" w:cs="Times New Roman"/>
                <w:sz w:val="20"/>
                <w:szCs w:val="20"/>
              </w:rPr>
              <w:t>11</w:t>
            </w:r>
          </w:p>
        </w:tc>
        <w:tc>
          <w:tcPr>
            <w:tcW w:w="1418" w:type="dxa"/>
            <w:shd w:val="clear" w:color="auto" w:fill="auto"/>
            <w:vAlign w:val="center"/>
          </w:tcPr>
          <w:p w14:paraId="709AE792">
            <w:pPr>
              <w:pStyle w:val="57"/>
              <w:jc w:val="center"/>
              <w:rPr>
                <w:rFonts w:ascii="Times New Roman" w:cs="Times New Roman"/>
              </w:rPr>
            </w:pPr>
            <w:r>
              <w:rPr>
                <w:rFonts w:ascii="Times New Roman" w:cs="Times New Roman"/>
              </w:rPr>
              <w:t>泰兴市</w:t>
            </w:r>
          </w:p>
        </w:tc>
        <w:tc>
          <w:tcPr>
            <w:tcW w:w="1701" w:type="dxa"/>
            <w:shd w:val="clear" w:color="auto" w:fill="auto"/>
            <w:vAlign w:val="center"/>
          </w:tcPr>
          <w:p w14:paraId="59395F47">
            <w:pPr>
              <w:pStyle w:val="57"/>
              <w:jc w:val="center"/>
              <w:rPr>
                <w:rFonts w:ascii="Times New Roman" w:cs="Times New Roman"/>
              </w:rPr>
            </w:pPr>
            <w:r>
              <w:rPr>
                <w:rFonts w:ascii="Times New Roman" w:cs="Times New Roman"/>
              </w:rPr>
              <w:t>芦坝港闸站</w:t>
            </w:r>
          </w:p>
        </w:tc>
        <w:tc>
          <w:tcPr>
            <w:tcW w:w="1417" w:type="dxa"/>
            <w:shd w:val="clear" w:color="auto" w:fill="auto"/>
            <w:vAlign w:val="center"/>
          </w:tcPr>
          <w:p w14:paraId="158673ED">
            <w:pPr>
              <w:pStyle w:val="57"/>
              <w:jc w:val="center"/>
              <w:rPr>
                <w:rFonts w:ascii="Times New Roman" w:cs="Times New Roman"/>
              </w:rPr>
            </w:pPr>
            <w:r>
              <w:rPr>
                <w:rFonts w:ascii="Times New Roman" w:cs="Times New Roman"/>
              </w:rPr>
              <w:t>224+213</w:t>
            </w:r>
          </w:p>
        </w:tc>
        <w:tc>
          <w:tcPr>
            <w:tcW w:w="1418" w:type="dxa"/>
            <w:shd w:val="clear" w:color="auto" w:fill="auto"/>
            <w:vAlign w:val="center"/>
          </w:tcPr>
          <w:p w14:paraId="6E7C9FFC">
            <w:pPr>
              <w:pStyle w:val="57"/>
              <w:jc w:val="center"/>
              <w:rPr>
                <w:rFonts w:ascii="Times New Roman" w:cs="Times New Roman"/>
              </w:rPr>
            </w:pPr>
            <w:r>
              <w:rPr>
                <w:rFonts w:ascii="Times New Roman" w:cs="Times New Roman"/>
              </w:rPr>
              <w:t>155</w:t>
            </w:r>
          </w:p>
        </w:tc>
        <w:tc>
          <w:tcPr>
            <w:tcW w:w="2311" w:type="dxa"/>
            <w:shd w:val="clear" w:color="auto" w:fill="auto"/>
            <w:vAlign w:val="center"/>
          </w:tcPr>
          <w:p w14:paraId="2FF5F94D">
            <w:pPr>
              <w:pStyle w:val="57"/>
              <w:jc w:val="center"/>
              <w:rPr>
                <w:rFonts w:ascii="Times New Roman" w:cs="Times New Roman"/>
              </w:rPr>
            </w:pPr>
            <w:r>
              <w:rPr>
                <w:rFonts w:ascii="Times New Roman" w:cs="Times New Roman"/>
              </w:rPr>
              <w:t>站引4，排8；闸15</w:t>
            </w:r>
          </w:p>
        </w:tc>
      </w:tr>
      <w:tr w14:paraId="17678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17" w:type="dxa"/>
            <w:shd w:val="clear" w:color="auto" w:fill="auto"/>
            <w:vAlign w:val="center"/>
          </w:tcPr>
          <w:p w14:paraId="2E1F9E6F">
            <w:pPr>
              <w:pStyle w:val="57"/>
              <w:jc w:val="center"/>
              <w:rPr>
                <w:rFonts w:ascii="Times New Roman" w:cs="Times New Roman"/>
                <w:sz w:val="20"/>
                <w:szCs w:val="20"/>
              </w:rPr>
            </w:pPr>
            <w:r>
              <w:rPr>
                <w:rFonts w:ascii="Times New Roman" w:cs="Times New Roman"/>
                <w:sz w:val="20"/>
                <w:szCs w:val="20"/>
              </w:rPr>
              <w:t>12</w:t>
            </w:r>
          </w:p>
        </w:tc>
        <w:tc>
          <w:tcPr>
            <w:tcW w:w="1418" w:type="dxa"/>
            <w:shd w:val="clear" w:color="auto" w:fill="auto"/>
            <w:vAlign w:val="center"/>
          </w:tcPr>
          <w:p w14:paraId="15CF179A">
            <w:pPr>
              <w:pStyle w:val="57"/>
              <w:jc w:val="center"/>
              <w:rPr>
                <w:rFonts w:ascii="Times New Roman" w:cs="Times New Roman"/>
              </w:rPr>
            </w:pPr>
            <w:r>
              <w:rPr>
                <w:rFonts w:ascii="Times New Roman" w:cs="Times New Roman"/>
              </w:rPr>
              <w:t>泰兴市</w:t>
            </w:r>
          </w:p>
        </w:tc>
        <w:tc>
          <w:tcPr>
            <w:tcW w:w="1701" w:type="dxa"/>
            <w:shd w:val="clear" w:color="auto" w:fill="auto"/>
            <w:vAlign w:val="center"/>
          </w:tcPr>
          <w:p w14:paraId="3DE9E791">
            <w:pPr>
              <w:pStyle w:val="57"/>
              <w:jc w:val="center"/>
              <w:rPr>
                <w:rFonts w:ascii="Times New Roman" w:cs="Times New Roman"/>
              </w:rPr>
            </w:pPr>
            <w:r>
              <w:rPr>
                <w:rFonts w:ascii="Times New Roman" w:cs="Times New Roman"/>
              </w:rPr>
              <w:t>解圩闸站</w:t>
            </w:r>
          </w:p>
        </w:tc>
        <w:tc>
          <w:tcPr>
            <w:tcW w:w="1417" w:type="dxa"/>
            <w:shd w:val="clear" w:color="auto" w:fill="auto"/>
            <w:vAlign w:val="center"/>
          </w:tcPr>
          <w:p w14:paraId="069CE62C">
            <w:pPr>
              <w:pStyle w:val="57"/>
              <w:jc w:val="center"/>
              <w:rPr>
                <w:rFonts w:ascii="Times New Roman" w:cs="Times New Roman"/>
              </w:rPr>
            </w:pPr>
            <w:r>
              <w:rPr>
                <w:rFonts w:ascii="Times New Roman" w:cs="Times New Roman"/>
              </w:rPr>
              <w:t>226+317</w:t>
            </w:r>
          </w:p>
        </w:tc>
        <w:tc>
          <w:tcPr>
            <w:tcW w:w="1418" w:type="dxa"/>
            <w:shd w:val="clear" w:color="auto" w:fill="auto"/>
            <w:vAlign w:val="center"/>
          </w:tcPr>
          <w:p w14:paraId="2E630F0A">
            <w:pPr>
              <w:pStyle w:val="57"/>
              <w:jc w:val="center"/>
              <w:rPr>
                <w:rFonts w:ascii="Times New Roman" w:cs="Times New Roman"/>
              </w:rPr>
            </w:pPr>
            <w:r>
              <w:rPr>
                <w:rFonts w:ascii="Times New Roman" w:cs="Times New Roman"/>
              </w:rPr>
              <w:t>55</w:t>
            </w:r>
          </w:p>
        </w:tc>
        <w:tc>
          <w:tcPr>
            <w:tcW w:w="2311" w:type="dxa"/>
            <w:shd w:val="clear" w:color="auto" w:fill="auto"/>
            <w:vAlign w:val="center"/>
          </w:tcPr>
          <w:p w14:paraId="14C5675C">
            <w:pPr>
              <w:pStyle w:val="57"/>
              <w:jc w:val="center"/>
              <w:rPr>
                <w:rFonts w:ascii="Times New Roman" w:cs="Times New Roman"/>
              </w:rPr>
            </w:pPr>
            <w:r>
              <w:rPr>
                <w:rFonts w:ascii="Times New Roman" w:cs="Times New Roman"/>
              </w:rPr>
              <w:t>站排1；闸4</w:t>
            </w:r>
          </w:p>
        </w:tc>
      </w:tr>
      <w:tr w14:paraId="0EC3C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17" w:type="dxa"/>
            <w:shd w:val="clear" w:color="auto" w:fill="auto"/>
            <w:vAlign w:val="center"/>
          </w:tcPr>
          <w:p w14:paraId="062CBD9F">
            <w:pPr>
              <w:pStyle w:val="57"/>
              <w:jc w:val="center"/>
              <w:rPr>
                <w:rFonts w:ascii="Times New Roman" w:cs="Times New Roman"/>
                <w:sz w:val="20"/>
                <w:szCs w:val="20"/>
              </w:rPr>
            </w:pPr>
            <w:r>
              <w:rPr>
                <w:rFonts w:ascii="Times New Roman" w:cs="Times New Roman"/>
                <w:sz w:val="20"/>
                <w:szCs w:val="20"/>
              </w:rPr>
              <w:t>13</w:t>
            </w:r>
          </w:p>
        </w:tc>
        <w:tc>
          <w:tcPr>
            <w:tcW w:w="1418" w:type="dxa"/>
            <w:shd w:val="clear" w:color="auto" w:fill="auto"/>
            <w:vAlign w:val="center"/>
          </w:tcPr>
          <w:p w14:paraId="16D6CA48">
            <w:pPr>
              <w:pStyle w:val="57"/>
              <w:jc w:val="center"/>
              <w:rPr>
                <w:rFonts w:ascii="Times New Roman" w:cs="Times New Roman"/>
              </w:rPr>
            </w:pPr>
            <w:r>
              <w:rPr>
                <w:rFonts w:ascii="Times New Roman" w:cs="Times New Roman"/>
              </w:rPr>
              <w:t>泰兴市</w:t>
            </w:r>
          </w:p>
        </w:tc>
        <w:tc>
          <w:tcPr>
            <w:tcW w:w="1701" w:type="dxa"/>
            <w:shd w:val="clear" w:color="auto" w:fill="auto"/>
            <w:vAlign w:val="center"/>
          </w:tcPr>
          <w:p w14:paraId="42814569">
            <w:pPr>
              <w:pStyle w:val="57"/>
              <w:jc w:val="center"/>
              <w:rPr>
                <w:rFonts w:ascii="Times New Roman" w:cs="Times New Roman"/>
              </w:rPr>
            </w:pPr>
            <w:r>
              <w:rPr>
                <w:rFonts w:ascii="Times New Roman" w:cs="Times New Roman"/>
              </w:rPr>
              <w:t>包港闸站</w:t>
            </w:r>
          </w:p>
        </w:tc>
        <w:tc>
          <w:tcPr>
            <w:tcW w:w="1417" w:type="dxa"/>
            <w:shd w:val="clear" w:color="auto" w:fill="auto"/>
            <w:vAlign w:val="center"/>
          </w:tcPr>
          <w:p w14:paraId="6349C8B2">
            <w:pPr>
              <w:pStyle w:val="57"/>
              <w:jc w:val="center"/>
              <w:rPr>
                <w:rFonts w:ascii="Times New Roman" w:cs="Times New Roman"/>
              </w:rPr>
            </w:pPr>
            <w:r>
              <w:rPr>
                <w:rFonts w:ascii="Times New Roman" w:cs="Times New Roman"/>
              </w:rPr>
              <w:t>225+043</w:t>
            </w:r>
          </w:p>
        </w:tc>
        <w:tc>
          <w:tcPr>
            <w:tcW w:w="1418" w:type="dxa"/>
            <w:shd w:val="clear" w:color="auto" w:fill="auto"/>
            <w:vAlign w:val="center"/>
          </w:tcPr>
          <w:p w14:paraId="3C21506D">
            <w:pPr>
              <w:pStyle w:val="57"/>
              <w:jc w:val="center"/>
              <w:rPr>
                <w:rFonts w:ascii="Times New Roman" w:cs="Times New Roman"/>
              </w:rPr>
            </w:pPr>
            <w:r>
              <w:rPr>
                <w:rFonts w:ascii="Times New Roman" w:cs="Times New Roman"/>
              </w:rPr>
              <w:t>160</w:t>
            </w:r>
          </w:p>
        </w:tc>
        <w:tc>
          <w:tcPr>
            <w:tcW w:w="2311" w:type="dxa"/>
            <w:shd w:val="clear" w:color="auto" w:fill="auto"/>
            <w:vAlign w:val="center"/>
          </w:tcPr>
          <w:p w14:paraId="6019218D">
            <w:pPr>
              <w:pStyle w:val="57"/>
              <w:jc w:val="center"/>
              <w:rPr>
                <w:rFonts w:ascii="Times New Roman" w:cs="Times New Roman"/>
              </w:rPr>
            </w:pPr>
            <w:r>
              <w:rPr>
                <w:rFonts w:ascii="Times New Roman" w:cs="Times New Roman"/>
              </w:rPr>
              <w:t>站排4；闸4</w:t>
            </w:r>
          </w:p>
        </w:tc>
      </w:tr>
      <w:tr w14:paraId="474FF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17" w:type="dxa"/>
            <w:shd w:val="clear" w:color="auto" w:fill="auto"/>
            <w:vAlign w:val="center"/>
          </w:tcPr>
          <w:p w14:paraId="41FB73D3">
            <w:pPr>
              <w:pStyle w:val="57"/>
              <w:jc w:val="center"/>
              <w:rPr>
                <w:rFonts w:ascii="Times New Roman" w:cs="Times New Roman"/>
                <w:sz w:val="20"/>
                <w:szCs w:val="20"/>
              </w:rPr>
            </w:pPr>
            <w:r>
              <w:rPr>
                <w:rFonts w:ascii="Times New Roman" w:cs="Times New Roman"/>
                <w:sz w:val="20"/>
                <w:szCs w:val="20"/>
              </w:rPr>
              <w:t>14</w:t>
            </w:r>
          </w:p>
        </w:tc>
        <w:tc>
          <w:tcPr>
            <w:tcW w:w="1418" w:type="dxa"/>
            <w:shd w:val="clear" w:color="auto" w:fill="auto"/>
            <w:vAlign w:val="center"/>
          </w:tcPr>
          <w:p w14:paraId="03AF8CD5">
            <w:pPr>
              <w:pStyle w:val="57"/>
              <w:jc w:val="center"/>
              <w:rPr>
                <w:rFonts w:ascii="Times New Roman" w:cs="Times New Roman"/>
              </w:rPr>
            </w:pPr>
            <w:r>
              <w:rPr>
                <w:rFonts w:ascii="Times New Roman" w:cs="Times New Roman"/>
              </w:rPr>
              <w:t>泰兴市</w:t>
            </w:r>
          </w:p>
        </w:tc>
        <w:tc>
          <w:tcPr>
            <w:tcW w:w="1701" w:type="dxa"/>
            <w:shd w:val="clear" w:color="auto" w:fill="auto"/>
            <w:vAlign w:val="center"/>
          </w:tcPr>
          <w:p w14:paraId="2E6F5EED">
            <w:pPr>
              <w:pStyle w:val="57"/>
              <w:jc w:val="center"/>
              <w:rPr>
                <w:rFonts w:ascii="Times New Roman" w:cs="Times New Roman"/>
              </w:rPr>
            </w:pPr>
            <w:r>
              <w:rPr>
                <w:rFonts w:ascii="Times New Roman" w:cs="Times New Roman"/>
              </w:rPr>
              <w:t>头桥排涝站</w:t>
            </w:r>
          </w:p>
        </w:tc>
        <w:tc>
          <w:tcPr>
            <w:tcW w:w="1417" w:type="dxa"/>
            <w:shd w:val="clear" w:color="auto" w:fill="auto"/>
            <w:vAlign w:val="center"/>
          </w:tcPr>
          <w:p w14:paraId="54DB6EF2">
            <w:pPr>
              <w:pStyle w:val="57"/>
              <w:jc w:val="center"/>
              <w:rPr>
                <w:rFonts w:ascii="Times New Roman" w:cs="Times New Roman"/>
              </w:rPr>
            </w:pPr>
            <w:r>
              <w:rPr>
                <w:rFonts w:ascii="Times New Roman" w:cs="Times New Roman"/>
              </w:rPr>
              <w:t>228+471</w:t>
            </w:r>
          </w:p>
        </w:tc>
        <w:tc>
          <w:tcPr>
            <w:tcW w:w="1418" w:type="dxa"/>
            <w:shd w:val="clear" w:color="auto" w:fill="auto"/>
            <w:vAlign w:val="center"/>
          </w:tcPr>
          <w:p w14:paraId="08924B18">
            <w:pPr>
              <w:pStyle w:val="57"/>
              <w:jc w:val="center"/>
              <w:rPr>
                <w:rFonts w:ascii="Times New Roman" w:cs="Times New Roman"/>
              </w:rPr>
            </w:pPr>
            <w:r>
              <w:rPr>
                <w:rFonts w:ascii="Times New Roman" w:cs="Times New Roman"/>
              </w:rPr>
              <w:t>220</w:t>
            </w:r>
          </w:p>
        </w:tc>
        <w:tc>
          <w:tcPr>
            <w:tcW w:w="2311" w:type="dxa"/>
            <w:shd w:val="clear" w:color="auto" w:fill="auto"/>
            <w:vAlign w:val="center"/>
          </w:tcPr>
          <w:p w14:paraId="13393A27">
            <w:pPr>
              <w:pStyle w:val="57"/>
              <w:jc w:val="center"/>
              <w:rPr>
                <w:rFonts w:ascii="Times New Roman" w:cs="Times New Roman"/>
              </w:rPr>
            </w:pPr>
            <w:r>
              <w:rPr>
                <w:rFonts w:ascii="Times New Roman" w:cs="Times New Roman"/>
              </w:rPr>
              <w:t>站排3；闸4</w:t>
            </w:r>
          </w:p>
        </w:tc>
      </w:tr>
      <w:tr w14:paraId="43F2D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17" w:type="dxa"/>
            <w:shd w:val="clear" w:color="auto" w:fill="auto"/>
            <w:vAlign w:val="center"/>
          </w:tcPr>
          <w:p w14:paraId="58707394">
            <w:pPr>
              <w:pStyle w:val="57"/>
              <w:jc w:val="center"/>
              <w:rPr>
                <w:rFonts w:ascii="Times New Roman" w:cs="Times New Roman"/>
                <w:sz w:val="20"/>
                <w:szCs w:val="20"/>
              </w:rPr>
            </w:pPr>
            <w:r>
              <w:rPr>
                <w:rFonts w:ascii="Times New Roman" w:cs="Times New Roman"/>
                <w:sz w:val="20"/>
                <w:szCs w:val="20"/>
              </w:rPr>
              <w:t>15</w:t>
            </w:r>
          </w:p>
        </w:tc>
        <w:tc>
          <w:tcPr>
            <w:tcW w:w="1418" w:type="dxa"/>
            <w:shd w:val="clear" w:color="auto" w:fill="auto"/>
            <w:vAlign w:val="center"/>
          </w:tcPr>
          <w:p w14:paraId="4CFA2D29">
            <w:pPr>
              <w:pStyle w:val="57"/>
              <w:jc w:val="center"/>
              <w:rPr>
                <w:rFonts w:ascii="Times New Roman" w:cs="Times New Roman"/>
              </w:rPr>
            </w:pPr>
            <w:r>
              <w:rPr>
                <w:rFonts w:ascii="Times New Roman" w:cs="Times New Roman"/>
              </w:rPr>
              <w:t>泰兴市</w:t>
            </w:r>
          </w:p>
        </w:tc>
        <w:tc>
          <w:tcPr>
            <w:tcW w:w="1701" w:type="dxa"/>
            <w:shd w:val="clear" w:color="auto" w:fill="auto"/>
            <w:vAlign w:val="center"/>
          </w:tcPr>
          <w:p w14:paraId="707CF9EC">
            <w:pPr>
              <w:pStyle w:val="57"/>
              <w:jc w:val="center"/>
              <w:rPr>
                <w:rFonts w:ascii="Times New Roman" w:cs="Times New Roman"/>
              </w:rPr>
            </w:pPr>
            <w:r>
              <w:rPr>
                <w:rFonts w:ascii="Times New Roman" w:cs="Times New Roman"/>
              </w:rPr>
              <w:t>三桥排涝站</w:t>
            </w:r>
          </w:p>
        </w:tc>
        <w:tc>
          <w:tcPr>
            <w:tcW w:w="1417" w:type="dxa"/>
            <w:shd w:val="clear" w:color="auto" w:fill="auto"/>
            <w:vAlign w:val="center"/>
          </w:tcPr>
          <w:p w14:paraId="61017D66">
            <w:pPr>
              <w:pStyle w:val="57"/>
              <w:jc w:val="center"/>
              <w:rPr>
                <w:rFonts w:ascii="Times New Roman" w:cs="Times New Roman"/>
              </w:rPr>
            </w:pPr>
            <w:r>
              <w:rPr>
                <w:rFonts w:ascii="Times New Roman" w:cs="Times New Roman"/>
              </w:rPr>
              <w:t>230+100</w:t>
            </w:r>
          </w:p>
        </w:tc>
        <w:tc>
          <w:tcPr>
            <w:tcW w:w="1418" w:type="dxa"/>
            <w:shd w:val="clear" w:color="auto" w:fill="auto"/>
            <w:vAlign w:val="center"/>
          </w:tcPr>
          <w:p w14:paraId="612A5423">
            <w:pPr>
              <w:pStyle w:val="57"/>
              <w:jc w:val="center"/>
              <w:rPr>
                <w:rFonts w:ascii="Times New Roman" w:cs="Times New Roman"/>
              </w:rPr>
            </w:pPr>
            <w:r>
              <w:rPr>
                <w:rFonts w:ascii="Times New Roman" w:cs="Times New Roman"/>
              </w:rPr>
              <w:t>260</w:t>
            </w:r>
          </w:p>
        </w:tc>
        <w:tc>
          <w:tcPr>
            <w:tcW w:w="2311" w:type="dxa"/>
            <w:shd w:val="clear" w:color="auto" w:fill="auto"/>
            <w:vAlign w:val="center"/>
          </w:tcPr>
          <w:p w14:paraId="58410ECC">
            <w:pPr>
              <w:pStyle w:val="57"/>
              <w:jc w:val="center"/>
              <w:rPr>
                <w:rFonts w:ascii="Times New Roman" w:cs="Times New Roman"/>
              </w:rPr>
            </w:pPr>
            <w:r>
              <w:rPr>
                <w:rFonts w:ascii="Times New Roman" w:cs="Times New Roman"/>
              </w:rPr>
              <w:t>站排3；闸4</w:t>
            </w:r>
          </w:p>
        </w:tc>
      </w:tr>
      <w:tr w14:paraId="04536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17" w:type="dxa"/>
            <w:shd w:val="clear" w:color="auto" w:fill="auto"/>
            <w:vAlign w:val="center"/>
          </w:tcPr>
          <w:p w14:paraId="353B7AA4">
            <w:pPr>
              <w:pStyle w:val="57"/>
              <w:jc w:val="center"/>
              <w:rPr>
                <w:rFonts w:ascii="Times New Roman" w:cs="Times New Roman"/>
                <w:sz w:val="20"/>
                <w:szCs w:val="20"/>
              </w:rPr>
            </w:pPr>
            <w:r>
              <w:rPr>
                <w:rFonts w:ascii="Times New Roman" w:cs="Times New Roman"/>
                <w:sz w:val="20"/>
                <w:szCs w:val="20"/>
              </w:rPr>
              <w:t>16</w:t>
            </w:r>
          </w:p>
        </w:tc>
        <w:tc>
          <w:tcPr>
            <w:tcW w:w="1418" w:type="dxa"/>
            <w:shd w:val="clear" w:color="auto" w:fill="auto"/>
            <w:vAlign w:val="center"/>
          </w:tcPr>
          <w:p w14:paraId="4A22E1B8">
            <w:pPr>
              <w:pStyle w:val="57"/>
              <w:jc w:val="center"/>
              <w:rPr>
                <w:rFonts w:ascii="Times New Roman" w:cs="Times New Roman"/>
              </w:rPr>
            </w:pPr>
            <w:r>
              <w:rPr>
                <w:rFonts w:ascii="Times New Roman" w:cs="Times New Roman"/>
              </w:rPr>
              <w:t>泰兴市</w:t>
            </w:r>
          </w:p>
        </w:tc>
        <w:tc>
          <w:tcPr>
            <w:tcW w:w="1701" w:type="dxa"/>
            <w:shd w:val="clear" w:color="auto" w:fill="auto"/>
            <w:vAlign w:val="center"/>
          </w:tcPr>
          <w:p w14:paraId="01DB909E">
            <w:pPr>
              <w:pStyle w:val="57"/>
              <w:jc w:val="center"/>
              <w:rPr>
                <w:rFonts w:ascii="Times New Roman" w:cs="Times New Roman"/>
              </w:rPr>
            </w:pPr>
            <w:r>
              <w:rPr>
                <w:rFonts w:ascii="Times New Roman" w:cs="Times New Roman"/>
              </w:rPr>
              <w:t>四圩闸站</w:t>
            </w:r>
          </w:p>
        </w:tc>
        <w:tc>
          <w:tcPr>
            <w:tcW w:w="1417" w:type="dxa"/>
            <w:shd w:val="clear" w:color="auto" w:fill="auto"/>
            <w:vAlign w:val="center"/>
          </w:tcPr>
          <w:p w14:paraId="330C946C">
            <w:pPr>
              <w:pStyle w:val="57"/>
              <w:jc w:val="center"/>
              <w:rPr>
                <w:rFonts w:ascii="Times New Roman" w:cs="Times New Roman"/>
              </w:rPr>
            </w:pPr>
            <w:r>
              <w:rPr>
                <w:rFonts w:ascii="Times New Roman" w:cs="Times New Roman"/>
              </w:rPr>
              <w:t>232+952</w:t>
            </w:r>
          </w:p>
        </w:tc>
        <w:tc>
          <w:tcPr>
            <w:tcW w:w="1418" w:type="dxa"/>
            <w:shd w:val="clear" w:color="auto" w:fill="auto"/>
            <w:vAlign w:val="center"/>
          </w:tcPr>
          <w:p w14:paraId="18A62816">
            <w:pPr>
              <w:pStyle w:val="57"/>
              <w:jc w:val="center"/>
              <w:rPr>
                <w:rFonts w:ascii="Times New Roman" w:cs="Times New Roman"/>
              </w:rPr>
            </w:pPr>
            <w:r>
              <w:rPr>
                <w:rFonts w:ascii="Times New Roman" w:cs="Times New Roman"/>
              </w:rPr>
              <w:t>220</w:t>
            </w:r>
          </w:p>
        </w:tc>
        <w:tc>
          <w:tcPr>
            <w:tcW w:w="2311" w:type="dxa"/>
            <w:shd w:val="clear" w:color="auto" w:fill="auto"/>
            <w:vAlign w:val="center"/>
          </w:tcPr>
          <w:p w14:paraId="5C22597A">
            <w:pPr>
              <w:pStyle w:val="57"/>
              <w:jc w:val="center"/>
              <w:rPr>
                <w:rFonts w:ascii="Times New Roman" w:cs="Times New Roman"/>
              </w:rPr>
            </w:pPr>
            <w:r>
              <w:rPr>
                <w:rFonts w:ascii="Times New Roman" w:cs="Times New Roman"/>
              </w:rPr>
              <w:t>站排3；闸4</w:t>
            </w:r>
          </w:p>
        </w:tc>
      </w:tr>
      <w:tr w14:paraId="281A6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17" w:type="dxa"/>
            <w:shd w:val="clear" w:color="auto" w:fill="auto"/>
            <w:vAlign w:val="center"/>
          </w:tcPr>
          <w:p w14:paraId="2C5CE1FD">
            <w:pPr>
              <w:pStyle w:val="57"/>
              <w:jc w:val="center"/>
              <w:rPr>
                <w:rFonts w:ascii="Times New Roman" w:cs="Times New Roman"/>
                <w:sz w:val="20"/>
                <w:szCs w:val="20"/>
              </w:rPr>
            </w:pPr>
            <w:r>
              <w:rPr>
                <w:rFonts w:ascii="Times New Roman" w:cs="Times New Roman"/>
                <w:sz w:val="20"/>
                <w:szCs w:val="20"/>
              </w:rPr>
              <w:t>17</w:t>
            </w:r>
          </w:p>
        </w:tc>
        <w:tc>
          <w:tcPr>
            <w:tcW w:w="1418" w:type="dxa"/>
            <w:shd w:val="clear" w:color="auto" w:fill="auto"/>
            <w:vAlign w:val="center"/>
          </w:tcPr>
          <w:p w14:paraId="44A7EB6C">
            <w:pPr>
              <w:pStyle w:val="57"/>
              <w:jc w:val="center"/>
              <w:rPr>
                <w:rFonts w:ascii="Times New Roman" w:cs="Times New Roman"/>
              </w:rPr>
            </w:pPr>
            <w:r>
              <w:rPr>
                <w:rFonts w:ascii="Times New Roman" w:cs="Times New Roman"/>
              </w:rPr>
              <w:t>泰兴市</w:t>
            </w:r>
          </w:p>
        </w:tc>
        <w:tc>
          <w:tcPr>
            <w:tcW w:w="1701" w:type="dxa"/>
            <w:shd w:val="clear" w:color="auto" w:fill="auto"/>
            <w:vAlign w:val="center"/>
          </w:tcPr>
          <w:p w14:paraId="2747B414">
            <w:pPr>
              <w:pStyle w:val="57"/>
              <w:jc w:val="center"/>
              <w:rPr>
                <w:rFonts w:ascii="Times New Roman" w:cs="Times New Roman"/>
              </w:rPr>
            </w:pPr>
            <w:r>
              <w:rPr>
                <w:rFonts w:ascii="Times New Roman" w:cs="Times New Roman"/>
              </w:rPr>
              <w:t>四桥闸站</w:t>
            </w:r>
          </w:p>
        </w:tc>
        <w:tc>
          <w:tcPr>
            <w:tcW w:w="1417" w:type="dxa"/>
            <w:shd w:val="clear" w:color="auto" w:fill="auto"/>
            <w:vAlign w:val="center"/>
          </w:tcPr>
          <w:p w14:paraId="2C44ABB6">
            <w:pPr>
              <w:pStyle w:val="57"/>
              <w:jc w:val="center"/>
              <w:rPr>
                <w:rFonts w:ascii="Times New Roman" w:cs="Times New Roman"/>
              </w:rPr>
            </w:pPr>
            <w:r>
              <w:rPr>
                <w:rFonts w:ascii="Times New Roman" w:cs="Times New Roman"/>
              </w:rPr>
              <w:t>231+045</w:t>
            </w:r>
          </w:p>
        </w:tc>
        <w:tc>
          <w:tcPr>
            <w:tcW w:w="1418" w:type="dxa"/>
            <w:shd w:val="clear" w:color="auto" w:fill="auto"/>
            <w:vAlign w:val="center"/>
          </w:tcPr>
          <w:p w14:paraId="6BEC40B3">
            <w:pPr>
              <w:pStyle w:val="57"/>
              <w:jc w:val="center"/>
              <w:rPr>
                <w:rFonts w:ascii="Times New Roman" w:cs="Times New Roman"/>
              </w:rPr>
            </w:pPr>
            <w:r>
              <w:rPr>
                <w:rFonts w:ascii="Times New Roman" w:cs="Times New Roman"/>
              </w:rPr>
              <w:t>370</w:t>
            </w:r>
          </w:p>
        </w:tc>
        <w:tc>
          <w:tcPr>
            <w:tcW w:w="2311" w:type="dxa"/>
            <w:shd w:val="clear" w:color="auto" w:fill="auto"/>
            <w:vAlign w:val="center"/>
          </w:tcPr>
          <w:p w14:paraId="008EC688">
            <w:pPr>
              <w:pStyle w:val="57"/>
              <w:jc w:val="center"/>
              <w:rPr>
                <w:rFonts w:ascii="Times New Roman" w:cs="Times New Roman"/>
              </w:rPr>
            </w:pPr>
            <w:r>
              <w:rPr>
                <w:rFonts w:ascii="Times New Roman" w:cs="Times New Roman"/>
              </w:rPr>
              <w:t>站排6；闸10</w:t>
            </w:r>
          </w:p>
        </w:tc>
      </w:tr>
      <w:tr w14:paraId="482F6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17" w:type="dxa"/>
            <w:shd w:val="clear" w:color="auto" w:fill="auto"/>
            <w:vAlign w:val="center"/>
          </w:tcPr>
          <w:p w14:paraId="7852BB0D">
            <w:pPr>
              <w:pStyle w:val="57"/>
              <w:jc w:val="center"/>
              <w:rPr>
                <w:rFonts w:ascii="Times New Roman" w:cs="Times New Roman"/>
                <w:sz w:val="20"/>
                <w:szCs w:val="20"/>
              </w:rPr>
            </w:pPr>
            <w:r>
              <w:rPr>
                <w:rFonts w:ascii="Times New Roman" w:cs="Times New Roman"/>
                <w:sz w:val="20"/>
                <w:szCs w:val="20"/>
              </w:rPr>
              <w:t>18</w:t>
            </w:r>
          </w:p>
        </w:tc>
        <w:tc>
          <w:tcPr>
            <w:tcW w:w="1418" w:type="dxa"/>
            <w:shd w:val="clear" w:color="auto" w:fill="auto"/>
            <w:vAlign w:val="center"/>
          </w:tcPr>
          <w:p w14:paraId="1A8DAEEE">
            <w:pPr>
              <w:pStyle w:val="57"/>
              <w:jc w:val="center"/>
              <w:rPr>
                <w:rFonts w:ascii="Times New Roman" w:cs="Times New Roman"/>
              </w:rPr>
            </w:pPr>
            <w:r>
              <w:rPr>
                <w:rFonts w:ascii="Times New Roman" w:cs="Times New Roman"/>
              </w:rPr>
              <w:t>靖江市</w:t>
            </w:r>
          </w:p>
        </w:tc>
        <w:tc>
          <w:tcPr>
            <w:tcW w:w="1701" w:type="dxa"/>
            <w:shd w:val="clear" w:color="auto" w:fill="auto"/>
            <w:vAlign w:val="center"/>
          </w:tcPr>
          <w:p w14:paraId="1E707D97">
            <w:pPr>
              <w:pStyle w:val="57"/>
              <w:jc w:val="center"/>
              <w:rPr>
                <w:rFonts w:ascii="Times New Roman" w:cs="Times New Roman"/>
              </w:rPr>
            </w:pPr>
            <w:r>
              <w:rPr>
                <w:rFonts w:ascii="Times New Roman" w:cs="Times New Roman"/>
              </w:rPr>
              <w:t>下六圩水利枢纽</w:t>
            </w:r>
          </w:p>
        </w:tc>
        <w:tc>
          <w:tcPr>
            <w:tcW w:w="1417" w:type="dxa"/>
            <w:shd w:val="clear" w:color="auto" w:fill="auto"/>
            <w:vAlign w:val="center"/>
          </w:tcPr>
          <w:p w14:paraId="641A4C4A">
            <w:pPr>
              <w:pStyle w:val="57"/>
              <w:jc w:val="center"/>
              <w:rPr>
                <w:rFonts w:ascii="Times New Roman" w:cs="Times New Roman"/>
              </w:rPr>
            </w:pPr>
            <w:r>
              <w:rPr>
                <w:rFonts w:ascii="Times New Roman" w:cs="Times New Roman"/>
              </w:rPr>
              <w:t>259+240</w:t>
            </w:r>
          </w:p>
        </w:tc>
        <w:tc>
          <w:tcPr>
            <w:tcW w:w="1418" w:type="dxa"/>
            <w:shd w:val="clear" w:color="auto" w:fill="auto"/>
            <w:vAlign w:val="center"/>
          </w:tcPr>
          <w:p w14:paraId="48B268D6">
            <w:pPr>
              <w:pStyle w:val="57"/>
              <w:jc w:val="center"/>
              <w:rPr>
                <w:rFonts w:ascii="Times New Roman" w:cs="Times New Roman"/>
              </w:rPr>
            </w:pPr>
            <w:r>
              <w:rPr>
                <w:rFonts w:ascii="Times New Roman" w:cs="Times New Roman"/>
              </w:rPr>
              <w:t>3*400</w:t>
            </w:r>
          </w:p>
        </w:tc>
        <w:tc>
          <w:tcPr>
            <w:tcW w:w="2311" w:type="dxa"/>
            <w:shd w:val="clear" w:color="auto" w:fill="auto"/>
            <w:vAlign w:val="center"/>
          </w:tcPr>
          <w:p w14:paraId="6B77195B">
            <w:pPr>
              <w:pStyle w:val="57"/>
              <w:jc w:val="center"/>
              <w:rPr>
                <w:rFonts w:ascii="Times New Roman" w:cs="Times New Roman"/>
              </w:rPr>
            </w:pPr>
            <w:r>
              <w:rPr>
                <w:rFonts w:ascii="Times New Roman" w:cs="Times New Roman"/>
              </w:rPr>
              <w:t>站3*6.7，</w:t>
            </w:r>
            <w:r>
              <w:rPr>
                <w:rFonts w:ascii="Times New Roman" w:cs="Times New Roman"/>
              </w:rPr>
              <w:br w:type="textWrapping"/>
            </w:r>
            <w:r>
              <w:rPr>
                <w:rFonts w:ascii="Times New Roman" w:cs="Times New Roman"/>
              </w:rPr>
              <w:t>闸58</w:t>
            </w:r>
          </w:p>
        </w:tc>
      </w:tr>
      <w:tr w14:paraId="3FED3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17" w:type="dxa"/>
            <w:shd w:val="clear" w:color="auto" w:fill="auto"/>
            <w:vAlign w:val="center"/>
          </w:tcPr>
          <w:p w14:paraId="7D500EB2">
            <w:pPr>
              <w:pStyle w:val="57"/>
              <w:jc w:val="center"/>
              <w:rPr>
                <w:rFonts w:ascii="Times New Roman" w:cs="Times New Roman"/>
                <w:sz w:val="20"/>
                <w:szCs w:val="20"/>
              </w:rPr>
            </w:pPr>
            <w:r>
              <w:rPr>
                <w:rFonts w:ascii="Times New Roman" w:cs="Times New Roman"/>
                <w:sz w:val="20"/>
                <w:szCs w:val="20"/>
              </w:rPr>
              <w:t>19</w:t>
            </w:r>
          </w:p>
        </w:tc>
        <w:tc>
          <w:tcPr>
            <w:tcW w:w="1418" w:type="dxa"/>
            <w:shd w:val="clear" w:color="auto" w:fill="auto"/>
            <w:vAlign w:val="center"/>
          </w:tcPr>
          <w:p w14:paraId="31476339">
            <w:pPr>
              <w:pStyle w:val="57"/>
              <w:jc w:val="center"/>
              <w:rPr>
                <w:rFonts w:ascii="Times New Roman" w:cs="Times New Roman"/>
              </w:rPr>
            </w:pPr>
            <w:r>
              <w:rPr>
                <w:rFonts w:ascii="Times New Roman" w:cs="Times New Roman"/>
              </w:rPr>
              <w:t>靖江市</w:t>
            </w:r>
          </w:p>
        </w:tc>
        <w:tc>
          <w:tcPr>
            <w:tcW w:w="1701" w:type="dxa"/>
            <w:shd w:val="clear" w:color="auto" w:fill="auto"/>
            <w:vAlign w:val="center"/>
          </w:tcPr>
          <w:p w14:paraId="2A227689">
            <w:pPr>
              <w:pStyle w:val="57"/>
              <w:jc w:val="center"/>
              <w:rPr>
                <w:rFonts w:ascii="Times New Roman" w:cs="Times New Roman"/>
              </w:rPr>
            </w:pPr>
            <w:r>
              <w:rPr>
                <w:rFonts w:ascii="Times New Roman" w:cs="Times New Roman"/>
              </w:rPr>
              <w:t>下九圩港闸站</w:t>
            </w:r>
          </w:p>
        </w:tc>
        <w:tc>
          <w:tcPr>
            <w:tcW w:w="1417" w:type="dxa"/>
            <w:shd w:val="clear" w:color="auto" w:fill="auto"/>
            <w:vAlign w:val="center"/>
          </w:tcPr>
          <w:p w14:paraId="6C58FC13">
            <w:pPr>
              <w:pStyle w:val="57"/>
              <w:jc w:val="center"/>
              <w:rPr>
                <w:rFonts w:ascii="Times New Roman" w:cs="Times New Roman"/>
              </w:rPr>
            </w:pPr>
            <w:r>
              <w:rPr>
                <w:rFonts w:ascii="Times New Roman" w:cs="Times New Roman"/>
              </w:rPr>
              <w:t>262+050</w:t>
            </w:r>
          </w:p>
        </w:tc>
        <w:tc>
          <w:tcPr>
            <w:tcW w:w="1418" w:type="dxa"/>
            <w:shd w:val="clear" w:color="auto" w:fill="auto"/>
            <w:vAlign w:val="center"/>
          </w:tcPr>
          <w:p w14:paraId="42821340">
            <w:pPr>
              <w:pStyle w:val="57"/>
              <w:jc w:val="center"/>
              <w:rPr>
                <w:rFonts w:ascii="Times New Roman" w:cs="Times New Roman"/>
              </w:rPr>
            </w:pPr>
            <w:r>
              <w:rPr>
                <w:rFonts w:ascii="Times New Roman" w:cs="Times New Roman"/>
              </w:rPr>
              <w:t>3*210</w:t>
            </w:r>
          </w:p>
        </w:tc>
        <w:tc>
          <w:tcPr>
            <w:tcW w:w="2311" w:type="dxa"/>
            <w:shd w:val="clear" w:color="auto" w:fill="auto"/>
            <w:vAlign w:val="center"/>
          </w:tcPr>
          <w:p w14:paraId="4BD613B1">
            <w:pPr>
              <w:pStyle w:val="57"/>
              <w:jc w:val="center"/>
              <w:rPr>
                <w:rFonts w:ascii="Times New Roman" w:cs="Times New Roman"/>
              </w:rPr>
            </w:pPr>
            <w:r>
              <w:rPr>
                <w:rFonts w:ascii="Times New Roman" w:cs="Times New Roman"/>
              </w:rPr>
              <w:t>站3*2.64，闸15</w:t>
            </w:r>
          </w:p>
        </w:tc>
      </w:tr>
      <w:tr w14:paraId="75612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17" w:type="dxa"/>
            <w:shd w:val="clear" w:color="auto" w:fill="auto"/>
            <w:vAlign w:val="center"/>
          </w:tcPr>
          <w:p w14:paraId="70E6FB0B">
            <w:pPr>
              <w:pStyle w:val="57"/>
              <w:jc w:val="center"/>
              <w:rPr>
                <w:rFonts w:ascii="Times New Roman" w:cs="Times New Roman"/>
                <w:sz w:val="20"/>
                <w:szCs w:val="20"/>
              </w:rPr>
            </w:pPr>
            <w:r>
              <w:rPr>
                <w:rFonts w:ascii="Times New Roman" w:cs="Times New Roman"/>
                <w:sz w:val="20"/>
                <w:szCs w:val="20"/>
              </w:rPr>
              <w:t>20</w:t>
            </w:r>
          </w:p>
        </w:tc>
        <w:tc>
          <w:tcPr>
            <w:tcW w:w="1418" w:type="dxa"/>
            <w:shd w:val="clear" w:color="auto" w:fill="auto"/>
            <w:vAlign w:val="center"/>
          </w:tcPr>
          <w:p w14:paraId="1393EA10">
            <w:pPr>
              <w:pStyle w:val="57"/>
              <w:jc w:val="center"/>
              <w:rPr>
                <w:rFonts w:ascii="Times New Roman" w:cs="Times New Roman"/>
              </w:rPr>
            </w:pPr>
            <w:r>
              <w:rPr>
                <w:rFonts w:ascii="Times New Roman" w:cs="Times New Roman"/>
              </w:rPr>
              <w:t>靖江市</w:t>
            </w:r>
          </w:p>
        </w:tc>
        <w:tc>
          <w:tcPr>
            <w:tcW w:w="1701" w:type="dxa"/>
            <w:shd w:val="clear" w:color="auto" w:fill="auto"/>
            <w:vAlign w:val="center"/>
          </w:tcPr>
          <w:p w14:paraId="3691B2D3">
            <w:pPr>
              <w:pStyle w:val="57"/>
              <w:jc w:val="center"/>
              <w:rPr>
                <w:rFonts w:ascii="Times New Roman" w:cs="Times New Roman"/>
              </w:rPr>
            </w:pPr>
            <w:r>
              <w:rPr>
                <w:rFonts w:ascii="Times New Roman" w:cs="Times New Roman"/>
              </w:rPr>
              <w:t>新小桥港闸站</w:t>
            </w:r>
          </w:p>
        </w:tc>
        <w:tc>
          <w:tcPr>
            <w:tcW w:w="1417" w:type="dxa"/>
            <w:shd w:val="clear" w:color="auto" w:fill="auto"/>
            <w:vAlign w:val="center"/>
          </w:tcPr>
          <w:p w14:paraId="74A80A00">
            <w:pPr>
              <w:pStyle w:val="57"/>
              <w:jc w:val="center"/>
              <w:rPr>
                <w:rFonts w:ascii="Times New Roman" w:cs="Times New Roman"/>
              </w:rPr>
            </w:pPr>
            <w:r>
              <w:rPr>
                <w:rFonts w:ascii="Times New Roman" w:cs="Times New Roman"/>
              </w:rPr>
              <w:t>267+900</w:t>
            </w:r>
          </w:p>
        </w:tc>
        <w:tc>
          <w:tcPr>
            <w:tcW w:w="1418" w:type="dxa"/>
            <w:shd w:val="clear" w:color="auto" w:fill="auto"/>
            <w:vAlign w:val="center"/>
          </w:tcPr>
          <w:p w14:paraId="63CEB4D1">
            <w:pPr>
              <w:pStyle w:val="57"/>
              <w:jc w:val="center"/>
              <w:rPr>
                <w:rFonts w:ascii="Times New Roman" w:cs="Times New Roman"/>
              </w:rPr>
            </w:pPr>
            <w:r>
              <w:rPr>
                <w:rFonts w:ascii="Times New Roman" w:cs="Times New Roman"/>
              </w:rPr>
              <w:t>3*330</w:t>
            </w:r>
          </w:p>
        </w:tc>
        <w:tc>
          <w:tcPr>
            <w:tcW w:w="2311" w:type="dxa"/>
            <w:shd w:val="clear" w:color="auto" w:fill="auto"/>
            <w:vAlign w:val="center"/>
          </w:tcPr>
          <w:p w14:paraId="683C77ED">
            <w:pPr>
              <w:pStyle w:val="57"/>
              <w:jc w:val="center"/>
              <w:rPr>
                <w:rFonts w:ascii="Times New Roman" w:cs="Times New Roman"/>
              </w:rPr>
            </w:pPr>
            <w:r>
              <w:rPr>
                <w:rFonts w:ascii="Times New Roman" w:cs="Times New Roman"/>
              </w:rPr>
              <w:t>站3*6.7，</w:t>
            </w:r>
            <w:r>
              <w:rPr>
                <w:rFonts w:ascii="Times New Roman" w:cs="Times New Roman"/>
              </w:rPr>
              <w:br w:type="textWrapping"/>
            </w:r>
            <w:r>
              <w:rPr>
                <w:rFonts w:ascii="Times New Roman" w:cs="Times New Roman"/>
              </w:rPr>
              <w:t>闸23.6</w:t>
            </w:r>
          </w:p>
        </w:tc>
      </w:tr>
      <w:tr w14:paraId="7BC2F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17" w:type="dxa"/>
            <w:shd w:val="clear" w:color="auto" w:fill="auto"/>
            <w:vAlign w:val="center"/>
          </w:tcPr>
          <w:p w14:paraId="31ABB45C">
            <w:pPr>
              <w:pStyle w:val="57"/>
              <w:jc w:val="center"/>
              <w:rPr>
                <w:rFonts w:ascii="Times New Roman" w:cs="Times New Roman"/>
                <w:sz w:val="20"/>
                <w:szCs w:val="20"/>
              </w:rPr>
            </w:pPr>
            <w:r>
              <w:rPr>
                <w:rFonts w:ascii="Times New Roman" w:cs="Times New Roman"/>
                <w:sz w:val="20"/>
                <w:szCs w:val="20"/>
              </w:rPr>
              <w:t>21</w:t>
            </w:r>
          </w:p>
        </w:tc>
        <w:tc>
          <w:tcPr>
            <w:tcW w:w="1418" w:type="dxa"/>
            <w:shd w:val="clear" w:color="auto" w:fill="auto"/>
            <w:vAlign w:val="center"/>
          </w:tcPr>
          <w:p w14:paraId="4A93FE4D">
            <w:pPr>
              <w:pStyle w:val="57"/>
              <w:jc w:val="center"/>
              <w:rPr>
                <w:rFonts w:ascii="Times New Roman" w:cs="Times New Roman"/>
              </w:rPr>
            </w:pPr>
            <w:r>
              <w:rPr>
                <w:rFonts w:ascii="Times New Roman" w:cs="Times New Roman"/>
              </w:rPr>
              <w:t>靖江市</w:t>
            </w:r>
          </w:p>
        </w:tc>
        <w:tc>
          <w:tcPr>
            <w:tcW w:w="1701" w:type="dxa"/>
            <w:shd w:val="clear" w:color="auto" w:fill="auto"/>
            <w:vAlign w:val="center"/>
          </w:tcPr>
          <w:p w14:paraId="5AC802D1">
            <w:pPr>
              <w:pStyle w:val="57"/>
              <w:jc w:val="center"/>
              <w:rPr>
                <w:rFonts w:ascii="Times New Roman" w:cs="Times New Roman"/>
              </w:rPr>
            </w:pPr>
            <w:r>
              <w:rPr>
                <w:rFonts w:ascii="Times New Roman" w:cs="Times New Roman"/>
              </w:rPr>
              <w:t>和尚港闸站</w:t>
            </w:r>
          </w:p>
        </w:tc>
        <w:tc>
          <w:tcPr>
            <w:tcW w:w="1417" w:type="dxa"/>
            <w:shd w:val="clear" w:color="auto" w:fill="auto"/>
            <w:vAlign w:val="center"/>
          </w:tcPr>
          <w:p w14:paraId="10E26D9D">
            <w:pPr>
              <w:pStyle w:val="57"/>
              <w:jc w:val="center"/>
              <w:rPr>
                <w:rFonts w:ascii="Times New Roman" w:cs="Times New Roman"/>
              </w:rPr>
            </w:pPr>
            <w:r>
              <w:rPr>
                <w:rFonts w:ascii="Times New Roman" w:cs="Times New Roman"/>
              </w:rPr>
              <w:t>277+630</w:t>
            </w:r>
          </w:p>
        </w:tc>
        <w:tc>
          <w:tcPr>
            <w:tcW w:w="1418" w:type="dxa"/>
            <w:shd w:val="clear" w:color="auto" w:fill="auto"/>
            <w:vAlign w:val="center"/>
          </w:tcPr>
          <w:p w14:paraId="5DCBCE26">
            <w:pPr>
              <w:pStyle w:val="57"/>
              <w:jc w:val="center"/>
              <w:rPr>
                <w:rFonts w:ascii="Times New Roman" w:cs="Times New Roman"/>
              </w:rPr>
            </w:pPr>
            <w:r>
              <w:rPr>
                <w:rFonts w:ascii="Times New Roman" w:cs="Times New Roman"/>
              </w:rPr>
              <w:t>2*95</w:t>
            </w:r>
          </w:p>
        </w:tc>
        <w:tc>
          <w:tcPr>
            <w:tcW w:w="2311" w:type="dxa"/>
            <w:shd w:val="clear" w:color="auto" w:fill="auto"/>
            <w:vAlign w:val="center"/>
          </w:tcPr>
          <w:p w14:paraId="0A0DAAC0">
            <w:pPr>
              <w:pStyle w:val="57"/>
              <w:jc w:val="center"/>
              <w:rPr>
                <w:rFonts w:ascii="Times New Roman" w:cs="Times New Roman"/>
              </w:rPr>
            </w:pPr>
            <w:r>
              <w:rPr>
                <w:rFonts w:ascii="Times New Roman" w:cs="Times New Roman"/>
              </w:rPr>
              <w:t>站2*1.5，</w:t>
            </w:r>
            <w:r>
              <w:rPr>
                <w:rFonts w:ascii="Times New Roman" w:cs="Times New Roman"/>
              </w:rPr>
              <w:br w:type="textWrapping"/>
            </w:r>
            <w:r>
              <w:rPr>
                <w:rFonts w:ascii="Times New Roman" w:cs="Times New Roman"/>
              </w:rPr>
              <w:t>闸15</w:t>
            </w:r>
          </w:p>
        </w:tc>
      </w:tr>
    </w:tbl>
    <w:p w14:paraId="1B34C2F0">
      <w:pPr>
        <w:ind w:firstLine="480"/>
      </w:pPr>
    </w:p>
    <w:p w14:paraId="7CA6CCEC">
      <w:pPr>
        <w:pStyle w:val="64"/>
      </w:pPr>
      <w:r>
        <w:br w:type="page"/>
      </w:r>
    </w:p>
    <w:p w14:paraId="106A4A0A">
      <w:pPr>
        <w:pStyle w:val="64"/>
      </w:pPr>
      <w:r>
        <w:rPr>
          <w:rFonts w:hint="eastAsia"/>
        </w:rPr>
        <w:t>附表3</w:t>
      </w:r>
      <w:r>
        <w:t xml:space="preserve">-3 </w:t>
      </w:r>
      <w:r>
        <w:rPr>
          <w:rFonts w:hint="eastAsia"/>
        </w:rPr>
        <w:t>泰州市沿江排涝站名录表</w:t>
      </w:r>
    </w:p>
    <w:tbl>
      <w:tblPr>
        <w:tblStyle w:val="29"/>
        <w:tblW w:w="0" w:type="auto"/>
        <w:tblInd w:w="113" w:type="dxa"/>
        <w:tblLayout w:type="autofit"/>
        <w:tblCellMar>
          <w:top w:w="0" w:type="dxa"/>
          <w:left w:w="108" w:type="dxa"/>
          <w:bottom w:w="0" w:type="dxa"/>
          <w:right w:w="108" w:type="dxa"/>
        </w:tblCellMar>
      </w:tblPr>
      <w:tblGrid>
        <w:gridCol w:w="845"/>
        <w:gridCol w:w="1560"/>
        <w:gridCol w:w="1707"/>
        <w:gridCol w:w="1979"/>
        <w:gridCol w:w="1701"/>
        <w:gridCol w:w="1177"/>
      </w:tblGrid>
      <w:tr w14:paraId="6CC25D72">
        <w:tblPrEx>
          <w:tblCellMar>
            <w:top w:w="0" w:type="dxa"/>
            <w:left w:w="108" w:type="dxa"/>
            <w:bottom w:w="0" w:type="dxa"/>
            <w:right w:w="108" w:type="dxa"/>
          </w:tblCellMar>
        </w:tblPrEx>
        <w:trPr>
          <w:trHeight w:val="20" w:hRule="atLeast"/>
          <w:tblHeader/>
        </w:trPr>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55BA4">
            <w:pPr>
              <w:pStyle w:val="57"/>
              <w:jc w:val="center"/>
              <w:rPr>
                <w:rFonts w:ascii="Times New Roman" w:cs="Times New Roman"/>
                <w:b/>
              </w:rPr>
            </w:pPr>
            <w:r>
              <w:rPr>
                <w:rFonts w:ascii="Times New Roman" w:cs="Times New Roman"/>
                <w:b/>
              </w:rPr>
              <w:t>序号</w:t>
            </w:r>
          </w:p>
        </w:tc>
        <w:tc>
          <w:tcPr>
            <w:tcW w:w="1560" w:type="dxa"/>
            <w:tcBorders>
              <w:top w:val="single" w:color="000000" w:sz="4" w:space="0"/>
              <w:left w:val="nil"/>
              <w:bottom w:val="single" w:color="000000" w:sz="4" w:space="0"/>
              <w:right w:val="single" w:color="000000" w:sz="4" w:space="0"/>
            </w:tcBorders>
            <w:shd w:val="clear" w:color="auto" w:fill="auto"/>
            <w:vAlign w:val="center"/>
          </w:tcPr>
          <w:p w14:paraId="3F2F93F3">
            <w:pPr>
              <w:pStyle w:val="57"/>
              <w:jc w:val="center"/>
              <w:rPr>
                <w:rFonts w:ascii="Times New Roman" w:cs="Times New Roman"/>
                <w:b/>
              </w:rPr>
            </w:pPr>
            <w:r>
              <w:rPr>
                <w:rFonts w:ascii="Times New Roman" w:cs="Times New Roman"/>
                <w:b/>
              </w:rPr>
              <w:t>市（区）</w:t>
            </w:r>
          </w:p>
        </w:tc>
        <w:tc>
          <w:tcPr>
            <w:tcW w:w="1707" w:type="dxa"/>
            <w:tcBorders>
              <w:top w:val="single" w:color="000000" w:sz="4" w:space="0"/>
              <w:left w:val="nil"/>
              <w:bottom w:val="single" w:color="000000" w:sz="4" w:space="0"/>
              <w:right w:val="single" w:color="000000" w:sz="4" w:space="0"/>
            </w:tcBorders>
            <w:shd w:val="clear" w:color="auto" w:fill="auto"/>
            <w:vAlign w:val="center"/>
          </w:tcPr>
          <w:p w14:paraId="5F3465F9">
            <w:pPr>
              <w:pStyle w:val="57"/>
              <w:jc w:val="center"/>
              <w:rPr>
                <w:rFonts w:ascii="Times New Roman" w:cs="Times New Roman"/>
                <w:b/>
              </w:rPr>
            </w:pPr>
            <w:r>
              <w:rPr>
                <w:rFonts w:ascii="Times New Roman" w:cs="Times New Roman"/>
                <w:b/>
              </w:rPr>
              <w:t>站名</w:t>
            </w:r>
          </w:p>
        </w:tc>
        <w:tc>
          <w:tcPr>
            <w:tcW w:w="1979" w:type="dxa"/>
            <w:tcBorders>
              <w:top w:val="single" w:color="000000" w:sz="4" w:space="0"/>
              <w:left w:val="nil"/>
              <w:bottom w:val="single" w:color="000000" w:sz="4" w:space="0"/>
              <w:right w:val="single" w:color="000000" w:sz="4" w:space="0"/>
            </w:tcBorders>
            <w:shd w:val="clear" w:color="auto" w:fill="auto"/>
            <w:vAlign w:val="center"/>
          </w:tcPr>
          <w:p w14:paraId="2E6C4877">
            <w:pPr>
              <w:pStyle w:val="57"/>
              <w:jc w:val="center"/>
              <w:rPr>
                <w:rFonts w:ascii="Times New Roman" w:cs="Times New Roman"/>
                <w:b/>
              </w:rPr>
            </w:pPr>
            <w:r>
              <w:rPr>
                <w:rFonts w:ascii="Times New Roman" w:cs="Times New Roman"/>
                <w:b/>
              </w:rPr>
              <w:t>泵型</w:t>
            </w:r>
          </w:p>
        </w:tc>
        <w:tc>
          <w:tcPr>
            <w:tcW w:w="1701" w:type="dxa"/>
            <w:tcBorders>
              <w:top w:val="single" w:color="000000" w:sz="4" w:space="0"/>
              <w:left w:val="nil"/>
              <w:bottom w:val="single" w:color="000000" w:sz="4" w:space="0"/>
              <w:right w:val="single" w:color="000000" w:sz="4" w:space="0"/>
            </w:tcBorders>
            <w:shd w:val="clear" w:color="auto" w:fill="auto"/>
            <w:vAlign w:val="center"/>
          </w:tcPr>
          <w:p w14:paraId="3CDE9569">
            <w:pPr>
              <w:pStyle w:val="57"/>
              <w:jc w:val="center"/>
              <w:rPr>
                <w:rFonts w:ascii="Times New Roman" w:cs="Times New Roman"/>
                <w:b/>
              </w:rPr>
            </w:pPr>
            <w:r>
              <w:rPr>
                <w:rFonts w:ascii="Times New Roman" w:cs="Times New Roman"/>
                <w:b/>
              </w:rPr>
              <w:t>装机动力</w:t>
            </w:r>
            <w:r>
              <w:rPr>
                <w:rFonts w:ascii="Times New Roman" w:cs="Times New Roman"/>
                <w:b/>
              </w:rPr>
              <w:br w:type="textWrapping"/>
            </w:r>
            <w:r>
              <w:rPr>
                <w:rFonts w:ascii="Times New Roman" w:cs="Times New Roman"/>
                <w:b/>
              </w:rPr>
              <w:t>(千瓦）</w:t>
            </w:r>
          </w:p>
        </w:tc>
        <w:tc>
          <w:tcPr>
            <w:tcW w:w="1177" w:type="dxa"/>
            <w:tcBorders>
              <w:top w:val="single" w:color="000000" w:sz="4" w:space="0"/>
              <w:left w:val="nil"/>
              <w:bottom w:val="single" w:color="000000" w:sz="4" w:space="0"/>
              <w:right w:val="single" w:color="000000" w:sz="4" w:space="0"/>
            </w:tcBorders>
            <w:shd w:val="clear" w:color="auto" w:fill="auto"/>
            <w:vAlign w:val="center"/>
          </w:tcPr>
          <w:p w14:paraId="592E7166">
            <w:pPr>
              <w:pStyle w:val="57"/>
              <w:jc w:val="center"/>
              <w:rPr>
                <w:rFonts w:ascii="Times New Roman" w:cs="Times New Roman"/>
                <w:b/>
              </w:rPr>
            </w:pPr>
            <w:r>
              <w:rPr>
                <w:rFonts w:ascii="Times New Roman" w:cs="Times New Roman"/>
                <w:b/>
              </w:rPr>
              <w:t>流量</w:t>
            </w:r>
            <w:r>
              <w:rPr>
                <w:rFonts w:ascii="Times New Roman" w:cs="Times New Roman"/>
                <w:b/>
              </w:rPr>
              <w:br w:type="textWrapping"/>
            </w:r>
            <w:r>
              <w:rPr>
                <w:rFonts w:ascii="Times New Roman" w:cs="Times New Roman"/>
                <w:b/>
              </w:rPr>
              <w:t>(m³/s)</w:t>
            </w:r>
          </w:p>
        </w:tc>
      </w:tr>
      <w:tr w14:paraId="738C57FF">
        <w:tblPrEx>
          <w:tblCellMar>
            <w:top w:w="0" w:type="dxa"/>
            <w:left w:w="108" w:type="dxa"/>
            <w:bottom w:w="0" w:type="dxa"/>
            <w:right w:w="108" w:type="dxa"/>
          </w:tblCellMar>
        </w:tblPrEx>
        <w:trPr>
          <w:trHeight w:val="20" w:hRule="atLeast"/>
        </w:trPr>
        <w:tc>
          <w:tcPr>
            <w:tcW w:w="845" w:type="dxa"/>
            <w:tcBorders>
              <w:top w:val="nil"/>
              <w:left w:val="single" w:color="000000" w:sz="4" w:space="0"/>
              <w:bottom w:val="single" w:color="000000" w:sz="4" w:space="0"/>
              <w:right w:val="single" w:color="000000" w:sz="4" w:space="0"/>
            </w:tcBorders>
            <w:shd w:val="clear" w:color="auto" w:fill="auto"/>
            <w:vAlign w:val="center"/>
          </w:tcPr>
          <w:p w14:paraId="12BA72AE">
            <w:pPr>
              <w:pStyle w:val="57"/>
              <w:jc w:val="center"/>
              <w:rPr>
                <w:rFonts w:ascii="Times New Roman" w:cs="Times New Roman"/>
              </w:rPr>
            </w:pPr>
            <w:r>
              <w:rPr>
                <w:rFonts w:ascii="Times New Roman" w:cs="Times New Roman"/>
              </w:rPr>
              <w:t>1</w:t>
            </w:r>
          </w:p>
        </w:tc>
        <w:tc>
          <w:tcPr>
            <w:tcW w:w="1560" w:type="dxa"/>
            <w:tcBorders>
              <w:top w:val="nil"/>
              <w:left w:val="nil"/>
              <w:bottom w:val="single" w:color="000000" w:sz="4" w:space="0"/>
              <w:right w:val="single" w:color="000000" w:sz="4" w:space="0"/>
            </w:tcBorders>
            <w:shd w:val="clear" w:color="auto" w:fill="auto"/>
            <w:vAlign w:val="center"/>
          </w:tcPr>
          <w:p w14:paraId="7DDD5618">
            <w:pPr>
              <w:pStyle w:val="57"/>
              <w:jc w:val="center"/>
              <w:rPr>
                <w:rFonts w:ascii="Times New Roman" w:cs="Times New Roman"/>
              </w:rPr>
            </w:pPr>
            <w:r>
              <w:rPr>
                <w:rFonts w:ascii="Times New Roman" w:cs="Times New Roman"/>
              </w:rPr>
              <w:t>医药高新区</w:t>
            </w:r>
          </w:p>
          <w:p w14:paraId="03B9F1D9">
            <w:pPr>
              <w:pStyle w:val="57"/>
              <w:jc w:val="center"/>
              <w:rPr>
                <w:rFonts w:ascii="Times New Roman" w:cs="Times New Roman"/>
              </w:rPr>
            </w:pPr>
            <w:r>
              <w:rPr>
                <w:rFonts w:ascii="Times New Roman" w:cs="Times New Roman"/>
              </w:rPr>
              <w:t>（高港区）</w:t>
            </w:r>
          </w:p>
        </w:tc>
        <w:tc>
          <w:tcPr>
            <w:tcW w:w="1707" w:type="dxa"/>
            <w:tcBorders>
              <w:top w:val="nil"/>
              <w:left w:val="nil"/>
              <w:bottom w:val="single" w:color="000000" w:sz="4" w:space="0"/>
              <w:right w:val="single" w:color="000000" w:sz="4" w:space="0"/>
            </w:tcBorders>
            <w:shd w:val="clear" w:color="auto" w:fill="auto"/>
            <w:vAlign w:val="center"/>
          </w:tcPr>
          <w:p w14:paraId="5DA49DC7">
            <w:pPr>
              <w:pStyle w:val="57"/>
              <w:jc w:val="center"/>
              <w:rPr>
                <w:rFonts w:ascii="Times New Roman" w:cs="Times New Roman"/>
              </w:rPr>
            </w:pPr>
            <w:r>
              <w:rPr>
                <w:rFonts w:ascii="Times New Roman" w:cs="Times New Roman"/>
              </w:rPr>
              <w:t>永长圩泵站</w:t>
            </w:r>
          </w:p>
        </w:tc>
        <w:tc>
          <w:tcPr>
            <w:tcW w:w="1979" w:type="dxa"/>
            <w:tcBorders>
              <w:top w:val="nil"/>
              <w:left w:val="nil"/>
              <w:bottom w:val="single" w:color="000000" w:sz="4" w:space="0"/>
              <w:right w:val="single" w:color="000000" w:sz="4" w:space="0"/>
            </w:tcBorders>
            <w:shd w:val="clear" w:color="auto" w:fill="auto"/>
            <w:vAlign w:val="center"/>
          </w:tcPr>
          <w:p w14:paraId="3D85C21E">
            <w:pPr>
              <w:pStyle w:val="57"/>
              <w:jc w:val="center"/>
              <w:rPr>
                <w:rFonts w:ascii="Times New Roman" w:cs="Times New Roman"/>
              </w:rPr>
            </w:pPr>
            <w:r>
              <w:rPr>
                <w:rFonts w:ascii="Times New Roman" w:cs="Times New Roman"/>
              </w:rPr>
              <w:t>900QZ</w:t>
            </w:r>
          </w:p>
        </w:tc>
        <w:tc>
          <w:tcPr>
            <w:tcW w:w="1701" w:type="dxa"/>
            <w:tcBorders>
              <w:top w:val="nil"/>
              <w:left w:val="nil"/>
              <w:bottom w:val="single" w:color="000000" w:sz="4" w:space="0"/>
              <w:right w:val="single" w:color="000000" w:sz="4" w:space="0"/>
            </w:tcBorders>
            <w:shd w:val="clear" w:color="auto" w:fill="auto"/>
            <w:vAlign w:val="center"/>
          </w:tcPr>
          <w:p w14:paraId="5A672378">
            <w:pPr>
              <w:pStyle w:val="57"/>
              <w:jc w:val="center"/>
              <w:rPr>
                <w:rFonts w:ascii="Times New Roman" w:cs="Times New Roman"/>
              </w:rPr>
            </w:pPr>
            <w:r>
              <w:rPr>
                <w:rFonts w:ascii="Times New Roman" w:cs="Times New Roman"/>
              </w:rPr>
              <w:t>110*3</w:t>
            </w:r>
          </w:p>
        </w:tc>
        <w:tc>
          <w:tcPr>
            <w:tcW w:w="1177" w:type="dxa"/>
            <w:tcBorders>
              <w:top w:val="nil"/>
              <w:left w:val="nil"/>
              <w:bottom w:val="single" w:color="000000" w:sz="4" w:space="0"/>
              <w:right w:val="single" w:color="000000" w:sz="4" w:space="0"/>
            </w:tcBorders>
            <w:shd w:val="clear" w:color="auto" w:fill="auto"/>
            <w:vAlign w:val="center"/>
          </w:tcPr>
          <w:p w14:paraId="59FBE84F">
            <w:pPr>
              <w:pStyle w:val="57"/>
              <w:jc w:val="center"/>
              <w:rPr>
                <w:rFonts w:ascii="Times New Roman" w:cs="Times New Roman"/>
              </w:rPr>
            </w:pPr>
            <w:r>
              <w:rPr>
                <w:rFonts w:ascii="Times New Roman" w:cs="Times New Roman"/>
              </w:rPr>
              <w:t>4.5</w:t>
            </w:r>
          </w:p>
        </w:tc>
      </w:tr>
      <w:tr w14:paraId="4C1F5C3E">
        <w:tblPrEx>
          <w:tblCellMar>
            <w:top w:w="0" w:type="dxa"/>
            <w:left w:w="108" w:type="dxa"/>
            <w:bottom w:w="0" w:type="dxa"/>
            <w:right w:w="108" w:type="dxa"/>
          </w:tblCellMar>
        </w:tblPrEx>
        <w:trPr>
          <w:trHeight w:val="20" w:hRule="atLeast"/>
        </w:trPr>
        <w:tc>
          <w:tcPr>
            <w:tcW w:w="845" w:type="dxa"/>
            <w:tcBorders>
              <w:top w:val="nil"/>
              <w:left w:val="single" w:color="000000" w:sz="4" w:space="0"/>
              <w:bottom w:val="single" w:color="000000" w:sz="4" w:space="0"/>
              <w:right w:val="single" w:color="000000" w:sz="4" w:space="0"/>
            </w:tcBorders>
            <w:shd w:val="clear" w:color="auto" w:fill="auto"/>
            <w:vAlign w:val="center"/>
          </w:tcPr>
          <w:p w14:paraId="73B51446">
            <w:pPr>
              <w:pStyle w:val="57"/>
              <w:jc w:val="center"/>
              <w:rPr>
                <w:rFonts w:ascii="Times New Roman" w:cs="Times New Roman"/>
              </w:rPr>
            </w:pPr>
            <w:r>
              <w:rPr>
                <w:rFonts w:ascii="Times New Roman" w:cs="Times New Roman"/>
              </w:rPr>
              <w:t>2</w:t>
            </w:r>
          </w:p>
        </w:tc>
        <w:tc>
          <w:tcPr>
            <w:tcW w:w="1560" w:type="dxa"/>
            <w:tcBorders>
              <w:top w:val="nil"/>
              <w:left w:val="nil"/>
              <w:bottom w:val="single" w:color="000000" w:sz="4" w:space="0"/>
              <w:right w:val="single" w:color="000000" w:sz="4" w:space="0"/>
            </w:tcBorders>
            <w:shd w:val="clear" w:color="auto" w:fill="auto"/>
            <w:vAlign w:val="center"/>
          </w:tcPr>
          <w:p w14:paraId="3649FD69">
            <w:pPr>
              <w:pStyle w:val="57"/>
              <w:jc w:val="center"/>
              <w:rPr>
                <w:rFonts w:ascii="Times New Roman" w:cs="Times New Roman"/>
              </w:rPr>
            </w:pPr>
            <w:r>
              <w:rPr>
                <w:rFonts w:ascii="Times New Roman" w:cs="Times New Roman"/>
              </w:rPr>
              <w:t>医药高新区</w:t>
            </w:r>
          </w:p>
          <w:p w14:paraId="5F9EEB51">
            <w:pPr>
              <w:pStyle w:val="57"/>
              <w:jc w:val="center"/>
              <w:rPr>
                <w:rFonts w:ascii="Times New Roman" w:cs="Times New Roman"/>
              </w:rPr>
            </w:pPr>
            <w:r>
              <w:rPr>
                <w:rFonts w:ascii="Times New Roman" w:cs="Times New Roman"/>
              </w:rPr>
              <w:t>（高港区）</w:t>
            </w:r>
          </w:p>
        </w:tc>
        <w:tc>
          <w:tcPr>
            <w:tcW w:w="1707" w:type="dxa"/>
            <w:tcBorders>
              <w:top w:val="nil"/>
              <w:left w:val="nil"/>
              <w:bottom w:val="single" w:color="000000" w:sz="4" w:space="0"/>
              <w:right w:val="single" w:color="000000" w:sz="4" w:space="0"/>
            </w:tcBorders>
            <w:shd w:val="clear" w:color="auto" w:fill="auto"/>
            <w:vAlign w:val="center"/>
          </w:tcPr>
          <w:p w14:paraId="2A63F388">
            <w:pPr>
              <w:pStyle w:val="57"/>
              <w:jc w:val="center"/>
              <w:rPr>
                <w:rFonts w:ascii="Times New Roman" w:cs="Times New Roman"/>
              </w:rPr>
            </w:pPr>
            <w:r>
              <w:rPr>
                <w:rFonts w:ascii="Times New Roman" w:cs="Times New Roman"/>
              </w:rPr>
              <w:t>友谊排涝站</w:t>
            </w:r>
          </w:p>
        </w:tc>
        <w:tc>
          <w:tcPr>
            <w:tcW w:w="1979" w:type="dxa"/>
            <w:tcBorders>
              <w:top w:val="nil"/>
              <w:left w:val="nil"/>
              <w:bottom w:val="single" w:color="000000" w:sz="4" w:space="0"/>
              <w:right w:val="single" w:color="000000" w:sz="4" w:space="0"/>
            </w:tcBorders>
            <w:shd w:val="clear" w:color="auto" w:fill="auto"/>
            <w:vAlign w:val="center"/>
          </w:tcPr>
          <w:p w14:paraId="078758C9">
            <w:pPr>
              <w:pStyle w:val="57"/>
              <w:jc w:val="center"/>
              <w:rPr>
                <w:rFonts w:ascii="Times New Roman" w:cs="Times New Roman"/>
              </w:rPr>
            </w:pPr>
            <w:r>
              <w:rPr>
                <w:rFonts w:ascii="Times New Roman" w:cs="Times New Roman"/>
              </w:rPr>
              <w:t>600ZLBc-100</w:t>
            </w:r>
          </w:p>
        </w:tc>
        <w:tc>
          <w:tcPr>
            <w:tcW w:w="1701" w:type="dxa"/>
            <w:tcBorders>
              <w:top w:val="nil"/>
              <w:left w:val="nil"/>
              <w:bottom w:val="single" w:color="000000" w:sz="4" w:space="0"/>
              <w:right w:val="single" w:color="000000" w:sz="4" w:space="0"/>
            </w:tcBorders>
            <w:shd w:val="clear" w:color="auto" w:fill="auto"/>
            <w:vAlign w:val="center"/>
          </w:tcPr>
          <w:p w14:paraId="0A9D4591">
            <w:pPr>
              <w:pStyle w:val="57"/>
              <w:jc w:val="center"/>
              <w:rPr>
                <w:rFonts w:ascii="Times New Roman" w:cs="Times New Roman"/>
              </w:rPr>
            </w:pPr>
            <w:r>
              <w:rPr>
                <w:rFonts w:ascii="Times New Roman" w:cs="Times New Roman"/>
              </w:rPr>
              <w:t>55*3</w:t>
            </w:r>
          </w:p>
        </w:tc>
        <w:tc>
          <w:tcPr>
            <w:tcW w:w="1177" w:type="dxa"/>
            <w:tcBorders>
              <w:top w:val="nil"/>
              <w:left w:val="nil"/>
              <w:bottom w:val="single" w:color="000000" w:sz="4" w:space="0"/>
              <w:right w:val="single" w:color="000000" w:sz="4" w:space="0"/>
            </w:tcBorders>
            <w:shd w:val="clear" w:color="auto" w:fill="auto"/>
            <w:vAlign w:val="center"/>
          </w:tcPr>
          <w:p w14:paraId="18794C55">
            <w:pPr>
              <w:pStyle w:val="57"/>
              <w:jc w:val="center"/>
              <w:rPr>
                <w:rFonts w:ascii="Times New Roman" w:cs="Times New Roman"/>
              </w:rPr>
            </w:pPr>
            <w:r>
              <w:rPr>
                <w:rFonts w:ascii="Times New Roman" w:cs="Times New Roman"/>
              </w:rPr>
              <w:t>3</w:t>
            </w:r>
          </w:p>
        </w:tc>
      </w:tr>
      <w:tr w14:paraId="23A6D813">
        <w:tblPrEx>
          <w:tblCellMar>
            <w:top w:w="0" w:type="dxa"/>
            <w:left w:w="108" w:type="dxa"/>
            <w:bottom w:w="0" w:type="dxa"/>
            <w:right w:w="108" w:type="dxa"/>
          </w:tblCellMar>
        </w:tblPrEx>
        <w:trPr>
          <w:trHeight w:val="20" w:hRule="atLeast"/>
        </w:trPr>
        <w:tc>
          <w:tcPr>
            <w:tcW w:w="845" w:type="dxa"/>
            <w:tcBorders>
              <w:top w:val="nil"/>
              <w:left w:val="single" w:color="000000" w:sz="4" w:space="0"/>
              <w:bottom w:val="single" w:color="000000" w:sz="4" w:space="0"/>
              <w:right w:val="single" w:color="000000" w:sz="4" w:space="0"/>
            </w:tcBorders>
            <w:shd w:val="clear" w:color="auto" w:fill="auto"/>
            <w:vAlign w:val="center"/>
          </w:tcPr>
          <w:p w14:paraId="5C0B4652">
            <w:pPr>
              <w:pStyle w:val="57"/>
              <w:jc w:val="center"/>
              <w:rPr>
                <w:rFonts w:ascii="Times New Roman" w:cs="Times New Roman"/>
              </w:rPr>
            </w:pPr>
            <w:r>
              <w:rPr>
                <w:rFonts w:ascii="Times New Roman" w:cs="Times New Roman"/>
              </w:rPr>
              <w:t>3</w:t>
            </w:r>
          </w:p>
        </w:tc>
        <w:tc>
          <w:tcPr>
            <w:tcW w:w="1560" w:type="dxa"/>
            <w:tcBorders>
              <w:top w:val="nil"/>
              <w:left w:val="nil"/>
              <w:bottom w:val="single" w:color="000000" w:sz="4" w:space="0"/>
              <w:right w:val="single" w:color="000000" w:sz="4" w:space="0"/>
            </w:tcBorders>
            <w:shd w:val="clear" w:color="auto" w:fill="auto"/>
            <w:vAlign w:val="center"/>
          </w:tcPr>
          <w:p w14:paraId="380DFB17">
            <w:pPr>
              <w:pStyle w:val="57"/>
              <w:jc w:val="center"/>
              <w:rPr>
                <w:rFonts w:ascii="Times New Roman" w:cs="Times New Roman"/>
              </w:rPr>
            </w:pPr>
            <w:r>
              <w:rPr>
                <w:rFonts w:ascii="Times New Roman" w:cs="Times New Roman"/>
              </w:rPr>
              <w:t>医药高新区</w:t>
            </w:r>
          </w:p>
          <w:p w14:paraId="19D4529E">
            <w:pPr>
              <w:pStyle w:val="57"/>
              <w:jc w:val="center"/>
              <w:rPr>
                <w:rFonts w:ascii="Times New Roman" w:cs="Times New Roman"/>
              </w:rPr>
            </w:pPr>
            <w:r>
              <w:rPr>
                <w:rFonts w:ascii="Times New Roman" w:cs="Times New Roman"/>
              </w:rPr>
              <w:t>（高港区）</w:t>
            </w:r>
          </w:p>
        </w:tc>
        <w:tc>
          <w:tcPr>
            <w:tcW w:w="1707" w:type="dxa"/>
            <w:tcBorders>
              <w:top w:val="nil"/>
              <w:left w:val="nil"/>
              <w:bottom w:val="single" w:color="000000" w:sz="4" w:space="0"/>
              <w:right w:val="single" w:color="000000" w:sz="4" w:space="0"/>
            </w:tcBorders>
            <w:shd w:val="clear" w:color="auto" w:fill="auto"/>
            <w:vAlign w:val="center"/>
          </w:tcPr>
          <w:p w14:paraId="1FEE1FB2">
            <w:pPr>
              <w:pStyle w:val="57"/>
              <w:jc w:val="center"/>
              <w:rPr>
                <w:rFonts w:ascii="Times New Roman" w:cs="Times New Roman"/>
              </w:rPr>
            </w:pPr>
            <w:r>
              <w:rPr>
                <w:rFonts w:ascii="Times New Roman" w:cs="Times New Roman"/>
              </w:rPr>
              <w:t>龙窝排涝站</w:t>
            </w:r>
          </w:p>
        </w:tc>
        <w:tc>
          <w:tcPr>
            <w:tcW w:w="1979" w:type="dxa"/>
            <w:tcBorders>
              <w:top w:val="nil"/>
              <w:left w:val="nil"/>
              <w:bottom w:val="single" w:color="000000" w:sz="4" w:space="0"/>
              <w:right w:val="single" w:color="000000" w:sz="4" w:space="0"/>
            </w:tcBorders>
            <w:shd w:val="clear" w:color="auto" w:fill="auto"/>
            <w:vAlign w:val="center"/>
          </w:tcPr>
          <w:p w14:paraId="26EC7BA3">
            <w:pPr>
              <w:pStyle w:val="57"/>
              <w:jc w:val="center"/>
              <w:rPr>
                <w:rFonts w:ascii="Times New Roman" w:cs="Times New Roman"/>
              </w:rPr>
            </w:pPr>
            <w:r>
              <w:rPr>
                <w:rFonts w:ascii="Times New Roman" w:cs="Times New Roman"/>
              </w:rPr>
              <w:t>24吋轴流泵</w:t>
            </w:r>
          </w:p>
        </w:tc>
        <w:tc>
          <w:tcPr>
            <w:tcW w:w="1701" w:type="dxa"/>
            <w:tcBorders>
              <w:top w:val="nil"/>
              <w:left w:val="nil"/>
              <w:bottom w:val="single" w:color="000000" w:sz="4" w:space="0"/>
              <w:right w:val="single" w:color="000000" w:sz="4" w:space="0"/>
            </w:tcBorders>
            <w:shd w:val="clear" w:color="auto" w:fill="auto"/>
            <w:vAlign w:val="center"/>
          </w:tcPr>
          <w:p w14:paraId="1CB10457">
            <w:pPr>
              <w:pStyle w:val="57"/>
              <w:jc w:val="center"/>
              <w:rPr>
                <w:rFonts w:ascii="Times New Roman" w:cs="Times New Roman"/>
              </w:rPr>
            </w:pPr>
            <w:r>
              <w:rPr>
                <w:rFonts w:ascii="Times New Roman" w:cs="Times New Roman"/>
              </w:rPr>
              <w:t>55*3</w:t>
            </w:r>
          </w:p>
        </w:tc>
        <w:tc>
          <w:tcPr>
            <w:tcW w:w="1177" w:type="dxa"/>
            <w:tcBorders>
              <w:top w:val="nil"/>
              <w:left w:val="nil"/>
              <w:bottom w:val="single" w:color="000000" w:sz="4" w:space="0"/>
              <w:right w:val="single" w:color="000000" w:sz="4" w:space="0"/>
            </w:tcBorders>
            <w:shd w:val="clear" w:color="auto" w:fill="auto"/>
            <w:vAlign w:val="center"/>
          </w:tcPr>
          <w:p w14:paraId="69C3B40E">
            <w:pPr>
              <w:pStyle w:val="57"/>
              <w:jc w:val="center"/>
              <w:rPr>
                <w:rFonts w:ascii="Times New Roman" w:cs="Times New Roman"/>
              </w:rPr>
            </w:pPr>
            <w:r>
              <w:rPr>
                <w:rFonts w:ascii="Times New Roman" w:cs="Times New Roman"/>
              </w:rPr>
              <w:t>3</w:t>
            </w:r>
          </w:p>
        </w:tc>
      </w:tr>
      <w:tr w14:paraId="7A26A044">
        <w:tblPrEx>
          <w:tblCellMar>
            <w:top w:w="0" w:type="dxa"/>
            <w:left w:w="108" w:type="dxa"/>
            <w:bottom w:w="0" w:type="dxa"/>
            <w:right w:w="108" w:type="dxa"/>
          </w:tblCellMar>
        </w:tblPrEx>
        <w:trPr>
          <w:trHeight w:val="20" w:hRule="atLeast"/>
        </w:trPr>
        <w:tc>
          <w:tcPr>
            <w:tcW w:w="845" w:type="dxa"/>
            <w:tcBorders>
              <w:top w:val="nil"/>
              <w:left w:val="single" w:color="000000" w:sz="4" w:space="0"/>
              <w:bottom w:val="single" w:color="000000" w:sz="4" w:space="0"/>
              <w:right w:val="single" w:color="000000" w:sz="4" w:space="0"/>
            </w:tcBorders>
            <w:shd w:val="clear" w:color="auto" w:fill="auto"/>
            <w:vAlign w:val="center"/>
          </w:tcPr>
          <w:p w14:paraId="3F3DAD39">
            <w:pPr>
              <w:pStyle w:val="57"/>
              <w:jc w:val="center"/>
              <w:rPr>
                <w:rFonts w:ascii="Times New Roman" w:cs="Times New Roman"/>
              </w:rPr>
            </w:pPr>
            <w:r>
              <w:rPr>
                <w:rFonts w:ascii="Times New Roman" w:cs="Times New Roman"/>
              </w:rPr>
              <w:t>4</w:t>
            </w:r>
          </w:p>
        </w:tc>
        <w:tc>
          <w:tcPr>
            <w:tcW w:w="1560" w:type="dxa"/>
            <w:tcBorders>
              <w:top w:val="nil"/>
              <w:left w:val="nil"/>
              <w:bottom w:val="single" w:color="000000" w:sz="4" w:space="0"/>
              <w:right w:val="single" w:color="000000" w:sz="4" w:space="0"/>
            </w:tcBorders>
            <w:shd w:val="clear" w:color="auto" w:fill="auto"/>
            <w:vAlign w:val="center"/>
          </w:tcPr>
          <w:p w14:paraId="401FC97E">
            <w:pPr>
              <w:pStyle w:val="57"/>
              <w:jc w:val="center"/>
              <w:rPr>
                <w:rFonts w:ascii="Times New Roman" w:cs="Times New Roman"/>
              </w:rPr>
            </w:pPr>
            <w:r>
              <w:rPr>
                <w:rFonts w:ascii="Times New Roman" w:cs="Times New Roman"/>
              </w:rPr>
              <w:t>医药高新区</w:t>
            </w:r>
          </w:p>
          <w:p w14:paraId="4BC5F12A">
            <w:pPr>
              <w:pStyle w:val="57"/>
              <w:jc w:val="center"/>
              <w:rPr>
                <w:rFonts w:ascii="Times New Roman" w:cs="Times New Roman"/>
              </w:rPr>
            </w:pPr>
            <w:r>
              <w:rPr>
                <w:rFonts w:ascii="Times New Roman" w:cs="Times New Roman"/>
              </w:rPr>
              <w:t>（高港区）</w:t>
            </w:r>
          </w:p>
        </w:tc>
        <w:tc>
          <w:tcPr>
            <w:tcW w:w="1707" w:type="dxa"/>
            <w:tcBorders>
              <w:top w:val="nil"/>
              <w:left w:val="nil"/>
              <w:bottom w:val="single" w:color="000000" w:sz="4" w:space="0"/>
              <w:right w:val="single" w:color="000000" w:sz="4" w:space="0"/>
            </w:tcBorders>
            <w:shd w:val="clear" w:color="auto" w:fill="auto"/>
            <w:vAlign w:val="center"/>
          </w:tcPr>
          <w:p w14:paraId="47023C86">
            <w:pPr>
              <w:pStyle w:val="57"/>
              <w:jc w:val="center"/>
              <w:rPr>
                <w:rFonts w:ascii="Times New Roman" w:cs="Times New Roman"/>
              </w:rPr>
            </w:pPr>
            <w:r>
              <w:rPr>
                <w:rFonts w:ascii="Times New Roman" w:cs="Times New Roman"/>
              </w:rPr>
              <w:t>双新排涝站</w:t>
            </w:r>
          </w:p>
        </w:tc>
        <w:tc>
          <w:tcPr>
            <w:tcW w:w="1979" w:type="dxa"/>
            <w:tcBorders>
              <w:top w:val="nil"/>
              <w:left w:val="nil"/>
              <w:bottom w:val="single" w:color="000000" w:sz="4" w:space="0"/>
              <w:right w:val="single" w:color="000000" w:sz="4" w:space="0"/>
            </w:tcBorders>
            <w:shd w:val="clear" w:color="auto" w:fill="auto"/>
            <w:vAlign w:val="center"/>
          </w:tcPr>
          <w:p w14:paraId="3E70F2AB">
            <w:pPr>
              <w:pStyle w:val="57"/>
              <w:jc w:val="center"/>
              <w:rPr>
                <w:rFonts w:ascii="Times New Roman" w:cs="Times New Roman"/>
              </w:rPr>
            </w:pPr>
            <w:r>
              <w:rPr>
                <w:rFonts w:ascii="Times New Roman" w:cs="Times New Roman"/>
              </w:rPr>
              <w:t>32吋轴流泵</w:t>
            </w:r>
          </w:p>
        </w:tc>
        <w:tc>
          <w:tcPr>
            <w:tcW w:w="1701" w:type="dxa"/>
            <w:tcBorders>
              <w:top w:val="nil"/>
              <w:left w:val="nil"/>
              <w:bottom w:val="single" w:color="000000" w:sz="4" w:space="0"/>
              <w:right w:val="single" w:color="000000" w:sz="4" w:space="0"/>
            </w:tcBorders>
            <w:shd w:val="clear" w:color="auto" w:fill="auto"/>
            <w:vAlign w:val="center"/>
          </w:tcPr>
          <w:p w14:paraId="2D82E2B6">
            <w:pPr>
              <w:pStyle w:val="57"/>
              <w:jc w:val="center"/>
              <w:rPr>
                <w:rFonts w:ascii="Times New Roman" w:cs="Times New Roman"/>
              </w:rPr>
            </w:pPr>
            <w:r>
              <w:rPr>
                <w:rFonts w:ascii="Times New Roman" w:cs="Times New Roman"/>
              </w:rPr>
              <w:t>55</w:t>
            </w:r>
          </w:p>
        </w:tc>
        <w:tc>
          <w:tcPr>
            <w:tcW w:w="1177" w:type="dxa"/>
            <w:tcBorders>
              <w:top w:val="nil"/>
              <w:left w:val="nil"/>
              <w:bottom w:val="single" w:color="000000" w:sz="4" w:space="0"/>
              <w:right w:val="single" w:color="000000" w:sz="4" w:space="0"/>
            </w:tcBorders>
            <w:shd w:val="clear" w:color="auto" w:fill="auto"/>
            <w:vAlign w:val="center"/>
          </w:tcPr>
          <w:p w14:paraId="52CD4EED">
            <w:pPr>
              <w:pStyle w:val="57"/>
              <w:jc w:val="center"/>
              <w:rPr>
                <w:rFonts w:ascii="Times New Roman" w:cs="Times New Roman"/>
              </w:rPr>
            </w:pPr>
            <w:r>
              <w:rPr>
                <w:rFonts w:ascii="Times New Roman" w:cs="Times New Roman"/>
              </w:rPr>
              <w:t>1</w:t>
            </w:r>
          </w:p>
        </w:tc>
      </w:tr>
      <w:tr w14:paraId="76210E06">
        <w:tblPrEx>
          <w:tblCellMar>
            <w:top w:w="0" w:type="dxa"/>
            <w:left w:w="108" w:type="dxa"/>
            <w:bottom w:w="0" w:type="dxa"/>
            <w:right w:w="108" w:type="dxa"/>
          </w:tblCellMar>
        </w:tblPrEx>
        <w:trPr>
          <w:trHeight w:val="20" w:hRule="atLeast"/>
        </w:trPr>
        <w:tc>
          <w:tcPr>
            <w:tcW w:w="845" w:type="dxa"/>
            <w:tcBorders>
              <w:top w:val="nil"/>
              <w:left w:val="single" w:color="000000" w:sz="4" w:space="0"/>
              <w:bottom w:val="single" w:color="000000" w:sz="4" w:space="0"/>
              <w:right w:val="single" w:color="000000" w:sz="4" w:space="0"/>
            </w:tcBorders>
            <w:shd w:val="clear" w:color="auto" w:fill="auto"/>
            <w:vAlign w:val="center"/>
          </w:tcPr>
          <w:p w14:paraId="0C0B7CF4">
            <w:pPr>
              <w:pStyle w:val="57"/>
              <w:jc w:val="center"/>
              <w:rPr>
                <w:rFonts w:ascii="Times New Roman" w:cs="Times New Roman"/>
              </w:rPr>
            </w:pPr>
            <w:r>
              <w:rPr>
                <w:rFonts w:ascii="Times New Roman" w:cs="Times New Roman"/>
              </w:rPr>
              <w:t>5</w:t>
            </w:r>
          </w:p>
        </w:tc>
        <w:tc>
          <w:tcPr>
            <w:tcW w:w="1560" w:type="dxa"/>
            <w:tcBorders>
              <w:top w:val="nil"/>
              <w:left w:val="nil"/>
              <w:bottom w:val="single" w:color="000000" w:sz="4" w:space="0"/>
              <w:right w:val="single" w:color="000000" w:sz="4" w:space="0"/>
            </w:tcBorders>
            <w:shd w:val="clear" w:color="auto" w:fill="auto"/>
            <w:vAlign w:val="center"/>
          </w:tcPr>
          <w:p w14:paraId="135FF8E0">
            <w:pPr>
              <w:pStyle w:val="57"/>
              <w:jc w:val="center"/>
              <w:rPr>
                <w:rFonts w:ascii="Times New Roman" w:cs="Times New Roman"/>
              </w:rPr>
            </w:pPr>
            <w:r>
              <w:rPr>
                <w:rFonts w:ascii="Times New Roman" w:cs="Times New Roman"/>
              </w:rPr>
              <w:t>医药高新区</w:t>
            </w:r>
          </w:p>
          <w:p w14:paraId="0A8CC1C2">
            <w:pPr>
              <w:pStyle w:val="57"/>
              <w:jc w:val="center"/>
              <w:rPr>
                <w:rFonts w:ascii="Times New Roman" w:cs="Times New Roman"/>
              </w:rPr>
            </w:pPr>
            <w:r>
              <w:rPr>
                <w:rFonts w:ascii="Times New Roman" w:cs="Times New Roman"/>
              </w:rPr>
              <w:t>（高港区）</w:t>
            </w:r>
          </w:p>
        </w:tc>
        <w:tc>
          <w:tcPr>
            <w:tcW w:w="1707" w:type="dxa"/>
            <w:tcBorders>
              <w:top w:val="nil"/>
              <w:left w:val="nil"/>
              <w:bottom w:val="single" w:color="000000" w:sz="4" w:space="0"/>
              <w:right w:val="single" w:color="000000" w:sz="4" w:space="0"/>
            </w:tcBorders>
            <w:shd w:val="clear" w:color="auto" w:fill="auto"/>
            <w:vAlign w:val="center"/>
          </w:tcPr>
          <w:p w14:paraId="122F0607">
            <w:pPr>
              <w:pStyle w:val="57"/>
              <w:jc w:val="center"/>
              <w:rPr>
                <w:rFonts w:ascii="Times New Roman" w:cs="Times New Roman"/>
              </w:rPr>
            </w:pPr>
            <w:r>
              <w:rPr>
                <w:rFonts w:ascii="Times New Roman" w:cs="Times New Roman"/>
              </w:rPr>
              <w:t>小四圩排涝站</w:t>
            </w:r>
          </w:p>
        </w:tc>
        <w:tc>
          <w:tcPr>
            <w:tcW w:w="1979" w:type="dxa"/>
            <w:tcBorders>
              <w:top w:val="nil"/>
              <w:left w:val="nil"/>
              <w:bottom w:val="single" w:color="000000" w:sz="4" w:space="0"/>
              <w:right w:val="single" w:color="000000" w:sz="4" w:space="0"/>
            </w:tcBorders>
            <w:shd w:val="clear" w:color="auto" w:fill="auto"/>
            <w:vAlign w:val="center"/>
          </w:tcPr>
          <w:p w14:paraId="431256EF">
            <w:pPr>
              <w:pStyle w:val="57"/>
              <w:jc w:val="center"/>
              <w:rPr>
                <w:rFonts w:ascii="Times New Roman" w:cs="Times New Roman"/>
              </w:rPr>
            </w:pPr>
            <w:r>
              <w:rPr>
                <w:rFonts w:ascii="Times New Roman" w:cs="Times New Roman"/>
              </w:rPr>
              <w:t>800ZLB-125</w:t>
            </w:r>
          </w:p>
        </w:tc>
        <w:tc>
          <w:tcPr>
            <w:tcW w:w="1701" w:type="dxa"/>
            <w:tcBorders>
              <w:top w:val="nil"/>
              <w:left w:val="nil"/>
              <w:bottom w:val="single" w:color="000000" w:sz="4" w:space="0"/>
              <w:right w:val="single" w:color="000000" w:sz="4" w:space="0"/>
            </w:tcBorders>
            <w:shd w:val="clear" w:color="auto" w:fill="auto"/>
            <w:vAlign w:val="center"/>
          </w:tcPr>
          <w:p w14:paraId="31175F72">
            <w:pPr>
              <w:pStyle w:val="57"/>
              <w:jc w:val="center"/>
              <w:rPr>
                <w:rFonts w:ascii="Times New Roman" w:cs="Times New Roman"/>
              </w:rPr>
            </w:pPr>
            <w:r>
              <w:rPr>
                <w:rFonts w:ascii="Times New Roman" w:cs="Times New Roman"/>
              </w:rPr>
              <w:t>200*3</w:t>
            </w:r>
          </w:p>
        </w:tc>
        <w:tc>
          <w:tcPr>
            <w:tcW w:w="1177" w:type="dxa"/>
            <w:tcBorders>
              <w:top w:val="nil"/>
              <w:left w:val="nil"/>
              <w:bottom w:val="single" w:color="000000" w:sz="4" w:space="0"/>
              <w:right w:val="single" w:color="000000" w:sz="4" w:space="0"/>
            </w:tcBorders>
            <w:shd w:val="clear" w:color="auto" w:fill="auto"/>
            <w:vAlign w:val="center"/>
          </w:tcPr>
          <w:p w14:paraId="7BA1E2C4">
            <w:pPr>
              <w:pStyle w:val="57"/>
              <w:jc w:val="center"/>
              <w:rPr>
                <w:rFonts w:ascii="Times New Roman" w:cs="Times New Roman"/>
              </w:rPr>
            </w:pPr>
            <w:r>
              <w:rPr>
                <w:rFonts w:ascii="Times New Roman" w:cs="Times New Roman"/>
              </w:rPr>
              <w:t>8</w:t>
            </w:r>
          </w:p>
        </w:tc>
      </w:tr>
      <w:tr w14:paraId="0F1612EF">
        <w:tblPrEx>
          <w:tblCellMar>
            <w:top w:w="0" w:type="dxa"/>
            <w:left w:w="108" w:type="dxa"/>
            <w:bottom w:w="0" w:type="dxa"/>
            <w:right w:w="108" w:type="dxa"/>
          </w:tblCellMar>
        </w:tblPrEx>
        <w:trPr>
          <w:trHeight w:val="20" w:hRule="atLeast"/>
        </w:trPr>
        <w:tc>
          <w:tcPr>
            <w:tcW w:w="845" w:type="dxa"/>
            <w:tcBorders>
              <w:top w:val="nil"/>
              <w:left w:val="single" w:color="000000" w:sz="4" w:space="0"/>
              <w:bottom w:val="single" w:color="000000" w:sz="4" w:space="0"/>
              <w:right w:val="single" w:color="000000" w:sz="4" w:space="0"/>
            </w:tcBorders>
            <w:shd w:val="clear" w:color="auto" w:fill="auto"/>
            <w:vAlign w:val="center"/>
          </w:tcPr>
          <w:p w14:paraId="1C770789">
            <w:pPr>
              <w:pStyle w:val="57"/>
              <w:jc w:val="center"/>
              <w:rPr>
                <w:rFonts w:ascii="Times New Roman" w:cs="Times New Roman"/>
              </w:rPr>
            </w:pPr>
            <w:r>
              <w:rPr>
                <w:rFonts w:ascii="Times New Roman" w:cs="Times New Roman"/>
              </w:rPr>
              <w:t>6</w:t>
            </w:r>
          </w:p>
        </w:tc>
        <w:tc>
          <w:tcPr>
            <w:tcW w:w="1560" w:type="dxa"/>
            <w:tcBorders>
              <w:top w:val="nil"/>
              <w:left w:val="nil"/>
              <w:bottom w:val="single" w:color="000000" w:sz="4" w:space="0"/>
              <w:right w:val="single" w:color="000000" w:sz="4" w:space="0"/>
            </w:tcBorders>
            <w:shd w:val="clear" w:color="auto" w:fill="auto"/>
            <w:vAlign w:val="center"/>
          </w:tcPr>
          <w:p w14:paraId="78059135">
            <w:pPr>
              <w:pStyle w:val="57"/>
              <w:jc w:val="center"/>
              <w:rPr>
                <w:rFonts w:ascii="Times New Roman" w:cs="Times New Roman"/>
              </w:rPr>
            </w:pPr>
            <w:r>
              <w:rPr>
                <w:rFonts w:ascii="Times New Roman" w:cs="Times New Roman"/>
              </w:rPr>
              <w:t>医药高新区</w:t>
            </w:r>
          </w:p>
          <w:p w14:paraId="338C0B59">
            <w:pPr>
              <w:pStyle w:val="57"/>
              <w:jc w:val="center"/>
              <w:rPr>
                <w:rFonts w:ascii="Times New Roman" w:cs="Times New Roman"/>
              </w:rPr>
            </w:pPr>
            <w:r>
              <w:rPr>
                <w:rFonts w:ascii="Times New Roman" w:cs="Times New Roman"/>
              </w:rPr>
              <w:t>（高港区）</w:t>
            </w:r>
          </w:p>
        </w:tc>
        <w:tc>
          <w:tcPr>
            <w:tcW w:w="1707" w:type="dxa"/>
            <w:tcBorders>
              <w:top w:val="nil"/>
              <w:left w:val="nil"/>
              <w:bottom w:val="single" w:color="000000" w:sz="4" w:space="0"/>
              <w:right w:val="single" w:color="000000" w:sz="4" w:space="0"/>
            </w:tcBorders>
            <w:shd w:val="clear" w:color="auto" w:fill="auto"/>
            <w:vAlign w:val="center"/>
          </w:tcPr>
          <w:p w14:paraId="68AE947E">
            <w:pPr>
              <w:pStyle w:val="57"/>
              <w:jc w:val="center"/>
              <w:rPr>
                <w:rFonts w:ascii="Times New Roman" w:cs="Times New Roman"/>
              </w:rPr>
            </w:pPr>
            <w:r>
              <w:rPr>
                <w:rFonts w:ascii="Times New Roman" w:cs="Times New Roman"/>
              </w:rPr>
              <w:t>小明沟排涝站</w:t>
            </w:r>
          </w:p>
        </w:tc>
        <w:tc>
          <w:tcPr>
            <w:tcW w:w="1979" w:type="dxa"/>
            <w:tcBorders>
              <w:top w:val="nil"/>
              <w:left w:val="nil"/>
              <w:bottom w:val="single" w:color="000000" w:sz="4" w:space="0"/>
              <w:right w:val="single" w:color="000000" w:sz="4" w:space="0"/>
            </w:tcBorders>
            <w:shd w:val="clear" w:color="auto" w:fill="auto"/>
            <w:vAlign w:val="center"/>
          </w:tcPr>
          <w:p w14:paraId="347FDDAB">
            <w:pPr>
              <w:pStyle w:val="57"/>
              <w:jc w:val="center"/>
              <w:rPr>
                <w:rFonts w:ascii="Times New Roman" w:cs="Times New Roman"/>
              </w:rPr>
            </w:pPr>
            <w:r>
              <w:rPr>
                <w:rFonts w:ascii="Times New Roman" w:cs="Times New Roman"/>
              </w:rPr>
              <w:t>700ZLBc-125</w:t>
            </w:r>
          </w:p>
        </w:tc>
        <w:tc>
          <w:tcPr>
            <w:tcW w:w="1701" w:type="dxa"/>
            <w:tcBorders>
              <w:top w:val="nil"/>
              <w:left w:val="nil"/>
              <w:bottom w:val="single" w:color="000000" w:sz="4" w:space="0"/>
              <w:right w:val="single" w:color="000000" w:sz="4" w:space="0"/>
            </w:tcBorders>
            <w:shd w:val="clear" w:color="auto" w:fill="auto"/>
            <w:vAlign w:val="center"/>
          </w:tcPr>
          <w:p w14:paraId="1FFBA116">
            <w:pPr>
              <w:pStyle w:val="57"/>
              <w:jc w:val="center"/>
              <w:rPr>
                <w:rFonts w:ascii="Times New Roman" w:cs="Times New Roman"/>
              </w:rPr>
            </w:pPr>
            <w:r>
              <w:rPr>
                <w:rFonts w:ascii="Times New Roman" w:cs="Times New Roman"/>
              </w:rPr>
              <w:t>130*2</w:t>
            </w:r>
          </w:p>
        </w:tc>
        <w:tc>
          <w:tcPr>
            <w:tcW w:w="1177" w:type="dxa"/>
            <w:tcBorders>
              <w:top w:val="nil"/>
              <w:left w:val="nil"/>
              <w:bottom w:val="single" w:color="000000" w:sz="4" w:space="0"/>
              <w:right w:val="single" w:color="000000" w:sz="4" w:space="0"/>
            </w:tcBorders>
            <w:shd w:val="clear" w:color="auto" w:fill="auto"/>
            <w:vAlign w:val="center"/>
          </w:tcPr>
          <w:p w14:paraId="3EBBF6E8">
            <w:pPr>
              <w:pStyle w:val="57"/>
              <w:jc w:val="center"/>
              <w:rPr>
                <w:rFonts w:ascii="Times New Roman" w:cs="Times New Roman"/>
              </w:rPr>
            </w:pPr>
            <w:r>
              <w:rPr>
                <w:rFonts w:ascii="Times New Roman" w:cs="Times New Roman"/>
              </w:rPr>
              <w:t>3</w:t>
            </w:r>
          </w:p>
        </w:tc>
      </w:tr>
      <w:tr w14:paraId="0784A1B8">
        <w:tblPrEx>
          <w:tblCellMar>
            <w:top w:w="0" w:type="dxa"/>
            <w:left w:w="108" w:type="dxa"/>
            <w:bottom w:w="0" w:type="dxa"/>
            <w:right w:w="108" w:type="dxa"/>
          </w:tblCellMar>
        </w:tblPrEx>
        <w:trPr>
          <w:trHeight w:val="20" w:hRule="atLeast"/>
        </w:trPr>
        <w:tc>
          <w:tcPr>
            <w:tcW w:w="845" w:type="dxa"/>
            <w:tcBorders>
              <w:top w:val="nil"/>
              <w:left w:val="single" w:color="000000" w:sz="4" w:space="0"/>
              <w:bottom w:val="single" w:color="000000" w:sz="4" w:space="0"/>
              <w:right w:val="single" w:color="000000" w:sz="4" w:space="0"/>
            </w:tcBorders>
            <w:shd w:val="clear" w:color="auto" w:fill="auto"/>
            <w:vAlign w:val="center"/>
          </w:tcPr>
          <w:p w14:paraId="18EA60FF">
            <w:pPr>
              <w:pStyle w:val="57"/>
              <w:jc w:val="center"/>
              <w:rPr>
                <w:rFonts w:ascii="Times New Roman" w:cs="Times New Roman"/>
              </w:rPr>
            </w:pPr>
            <w:r>
              <w:rPr>
                <w:rFonts w:ascii="Times New Roman" w:cs="Times New Roman"/>
              </w:rPr>
              <w:t>7</w:t>
            </w:r>
          </w:p>
        </w:tc>
        <w:tc>
          <w:tcPr>
            <w:tcW w:w="1560" w:type="dxa"/>
            <w:tcBorders>
              <w:top w:val="nil"/>
              <w:left w:val="nil"/>
              <w:bottom w:val="single" w:color="000000" w:sz="4" w:space="0"/>
              <w:right w:val="single" w:color="000000" w:sz="4" w:space="0"/>
            </w:tcBorders>
            <w:shd w:val="clear" w:color="auto" w:fill="auto"/>
            <w:vAlign w:val="center"/>
          </w:tcPr>
          <w:p w14:paraId="0BAEFBC0">
            <w:pPr>
              <w:pStyle w:val="57"/>
              <w:jc w:val="center"/>
              <w:rPr>
                <w:rFonts w:ascii="Times New Roman" w:cs="Times New Roman"/>
              </w:rPr>
            </w:pPr>
            <w:r>
              <w:rPr>
                <w:rFonts w:ascii="Times New Roman" w:cs="Times New Roman"/>
              </w:rPr>
              <w:t>医药高新区</w:t>
            </w:r>
          </w:p>
          <w:p w14:paraId="41AC2372">
            <w:pPr>
              <w:pStyle w:val="57"/>
              <w:jc w:val="center"/>
              <w:rPr>
                <w:rFonts w:ascii="Times New Roman" w:cs="Times New Roman"/>
              </w:rPr>
            </w:pPr>
            <w:r>
              <w:rPr>
                <w:rFonts w:ascii="Times New Roman" w:cs="Times New Roman"/>
              </w:rPr>
              <w:t>（高港区）</w:t>
            </w:r>
          </w:p>
        </w:tc>
        <w:tc>
          <w:tcPr>
            <w:tcW w:w="1707" w:type="dxa"/>
            <w:tcBorders>
              <w:top w:val="nil"/>
              <w:left w:val="nil"/>
              <w:bottom w:val="single" w:color="000000" w:sz="4" w:space="0"/>
              <w:right w:val="single" w:color="000000" w:sz="4" w:space="0"/>
            </w:tcBorders>
            <w:shd w:val="clear" w:color="auto" w:fill="auto"/>
            <w:vAlign w:val="center"/>
          </w:tcPr>
          <w:p w14:paraId="190F99B9">
            <w:pPr>
              <w:pStyle w:val="57"/>
              <w:jc w:val="center"/>
              <w:rPr>
                <w:rFonts w:ascii="Times New Roman" w:cs="Times New Roman"/>
              </w:rPr>
            </w:pPr>
            <w:r>
              <w:rPr>
                <w:rFonts w:ascii="Times New Roman" w:cs="Times New Roman"/>
              </w:rPr>
              <w:t>引江排涝站</w:t>
            </w:r>
          </w:p>
        </w:tc>
        <w:tc>
          <w:tcPr>
            <w:tcW w:w="1979" w:type="dxa"/>
            <w:tcBorders>
              <w:top w:val="nil"/>
              <w:left w:val="nil"/>
              <w:bottom w:val="single" w:color="000000" w:sz="4" w:space="0"/>
              <w:right w:val="single" w:color="000000" w:sz="4" w:space="0"/>
            </w:tcBorders>
            <w:shd w:val="clear" w:color="auto" w:fill="auto"/>
            <w:vAlign w:val="center"/>
          </w:tcPr>
          <w:p w14:paraId="39AC57CB">
            <w:pPr>
              <w:pStyle w:val="57"/>
              <w:jc w:val="center"/>
              <w:rPr>
                <w:rFonts w:ascii="Times New Roman" w:cs="Times New Roman"/>
              </w:rPr>
            </w:pPr>
            <w:r>
              <w:rPr>
                <w:rFonts w:ascii="Times New Roman" w:cs="Times New Roman"/>
              </w:rPr>
              <w:t>1000ZLB-4</w:t>
            </w:r>
          </w:p>
        </w:tc>
        <w:tc>
          <w:tcPr>
            <w:tcW w:w="1701" w:type="dxa"/>
            <w:tcBorders>
              <w:top w:val="nil"/>
              <w:left w:val="nil"/>
              <w:bottom w:val="single" w:color="000000" w:sz="4" w:space="0"/>
              <w:right w:val="single" w:color="000000" w:sz="4" w:space="0"/>
            </w:tcBorders>
            <w:shd w:val="clear" w:color="auto" w:fill="auto"/>
            <w:vAlign w:val="center"/>
          </w:tcPr>
          <w:p w14:paraId="37D414C0">
            <w:pPr>
              <w:pStyle w:val="57"/>
              <w:jc w:val="center"/>
              <w:rPr>
                <w:rFonts w:ascii="Times New Roman" w:cs="Times New Roman"/>
              </w:rPr>
            </w:pPr>
            <w:r>
              <w:rPr>
                <w:rFonts w:ascii="Times New Roman" w:cs="Times New Roman"/>
              </w:rPr>
              <w:t>180*3</w:t>
            </w:r>
          </w:p>
        </w:tc>
        <w:tc>
          <w:tcPr>
            <w:tcW w:w="1177" w:type="dxa"/>
            <w:tcBorders>
              <w:top w:val="nil"/>
              <w:left w:val="nil"/>
              <w:bottom w:val="single" w:color="000000" w:sz="4" w:space="0"/>
              <w:right w:val="single" w:color="000000" w:sz="4" w:space="0"/>
            </w:tcBorders>
            <w:shd w:val="clear" w:color="auto" w:fill="auto"/>
            <w:vAlign w:val="center"/>
          </w:tcPr>
          <w:p w14:paraId="7932E4E2">
            <w:pPr>
              <w:pStyle w:val="57"/>
              <w:jc w:val="center"/>
              <w:rPr>
                <w:rFonts w:ascii="Times New Roman" w:cs="Times New Roman"/>
              </w:rPr>
            </w:pPr>
            <w:r>
              <w:rPr>
                <w:rFonts w:ascii="Times New Roman" w:cs="Times New Roman"/>
              </w:rPr>
              <w:t>8</w:t>
            </w:r>
          </w:p>
        </w:tc>
      </w:tr>
      <w:tr w14:paraId="51884F7D">
        <w:tblPrEx>
          <w:tblCellMar>
            <w:top w:w="0" w:type="dxa"/>
            <w:left w:w="108" w:type="dxa"/>
            <w:bottom w:w="0" w:type="dxa"/>
            <w:right w:w="108" w:type="dxa"/>
          </w:tblCellMar>
        </w:tblPrEx>
        <w:trPr>
          <w:trHeight w:val="20" w:hRule="atLeast"/>
        </w:trPr>
        <w:tc>
          <w:tcPr>
            <w:tcW w:w="845" w:type="dxa"/>
            <w:tcBorders>
              <w:top w:val="nil"/>
              <w:left w:val="single" w:color="000000" w:sz="4" w:space="0"/>
              <w:bottom w:val="single" w:color="000000" w:sz="4" w:space="0"/>
              <w:right w:val="single" w:color="000000" w:sz="4" w:space="0"/>
            </w:tcBorders>
            <w:shd w:val="clear" w:color="auto" w:fill="auto"/>
            <w:vAlign w:val="center"/>
          </w:tcPr>
          <w:p w14:paraId="69657387">
            <w:pPr>
              <w:pStyle w:val="57"/>
              <w:jc w:val="center"/>
              <w:rPr>
                <w:rFonts w:ascii="Times New Roman" w:cs="Times New Roman"/>
              </w:rPr>
            </w:pPr>
            <w:r>
              <w:rPr>
                <w:rFonts w:ascii="Times New Roman" w:cs="Times New Roman"/>
              </w:rPr>
              <w:t>8</w:t>
            </w:r>
          </w:p>
        </w:tc>
        <w:tc>
          <w:tcPr>
            <w:tcW w:w="1560" w:type="dxa"/>
            <w:tcBorders>
              <w:top w:val="nil"/>
              <w:left w:val="nil"/>
              <w:bottom w:val="single" w:color="000000" w:sz="4" w:space="0"/>
              <w:right w:val="single" w:color="000000" w:sz="4" w:space="0"/>
            </w:tcBorders>
            <w:shd w:val="clear" w:color="auto" w:fill="auto"/>
            <w:vAlign w:val="center"/>
          </w:tcPr>
          <w:p w14:paraId="1D41671F">
            <w:pPr>
              <w:pStyle w:val="57"/>
              <w:jc w:val="center"/>
              <w:rPr>
                <w:rFonts w:ascii="Times New Roman" w:cs="Times New Roman"/>
              </w:rPr>
            </w:pPr>
            <w:r>
              <w:rPr>
                <w:rFonts w:ascii="Times New Roman" w:cs="Times New Roman"/>
              </w:rPr>
              <w:t>医药高新区</w:t>
            </w:r>
          </w:p>
          <w:p w14:paraId="351A4902">
            <w:pPr>
              <w:pStyle w:val="57"/>
              <w:jc w:val="center"/>
              <w:rPr>
                <w:rFonts w:ascii="Times New Roman" w:cs="Times New Roman"/>
              </w:rPr>
            </w:pPr>
            <w:r>
              <w:rPr>
                <w:rFonts w:ascii="Times New Roman" w:cs="Times New Roman"/>
              </w:rPr>
              <w:t>（高港区）</w:t>
            </w:r>
          </w:p>
        </w:tc>
        <w:tc>
          <w:tcPr>
            <w:tcW w:w="1707" w:type="dxa"/>
            <w:tcBorders>
              <w:top w:val="nil"/>
              <w:left w:val="nil"/>
              <w:bottom w:val="single" w:color="000000" w:sz="4" w:space="0"/>
              <w:right w:val="single" w:color="000000" w:sz="4" w:space="0"/>
            </w:tcBorders>
            <w:shd w:val="clear" w:color="auto" w:fill="auto"/>
            <w:vAlign w:val="center"/>
          </w:tcPr>
          <w:p w14:paraId="03EB26B1">
            <w:pPr>
              <w:pStyle w:val="57"/>
              <w:jc w:val="center"/>
              <w:rPr>
                <w:rFonts w:ascii="Times New Roman" w:cs="Times New Roman"/>
              </w:rPr>
            </w:pPr>
            <w:r>
              <w:rPr>
                <w:rFonts w:ascii="Times New Roman" w:cs="Times New Roman"/>
              </w:rPr>
              <w:t>同联排涝站</w:t>
            </w:r>
          </w:p>
        </w:tc>
        <w:tc>
          <w:tcPr>
            <w:tcW w:w="1979" w:type="dxa"/>
            <w:tcBorders>
              <w:top w:val="nil"/>
              <w:left w:val="nil"/>
              <w:bottom w:val="single" w:color="000000" w:sz="4" w:space="0"/>
              <w:right w:val="single" w:color="000000" w:sz="4" w:space="0"/>
            </w:tcBorders>
            <w:shd w:val="clear" w:color="auto" w:fill="auto"/>
            <w:vAlign w:val="center"/>
          </w:tcPr>
          <w:p w14:paraId="015256C8">
            <w:pPr>
              <w:pStyle w:val="57"/>
              <w:jc w:val="center"/>
              <w:rPr>
                <w:rFonts w:ascii="Times New Roman" w:cs="Times New Roman"/>
              </w:rPr>
            </w:pPr>
            <w:r>
              <w:rPr>
                <w:rFonts w:ascii="Times New Roman" w:cs="Times New Roman"/>
              </w:rPr>
              <w:t>900ZLB-125</w:t>
            </w:r>
          </w:p>
        </w:tc>
        <w:tc>
          <w:tcPr>
            <w:tcW w:w="1701" w:type="dxa"/>
            <w:tcBorders>
              <w:top w:val="nil"/>
              <w:left w:val="nil"/>
              <w:bottom w:val="single" w:color="000000" w:sz="4" w:space="0"/>
              <w:right w:val="single" w:color="000000" w:sz="4" w:space="0"/>
            </w:tcBorders>
            <w:shd w:val="clear" w:color="auto" w:fill="auto"/>
            <w:vAlign w:val="center"/>
          </w:tcPr>
          <w:p w14:paraId="5CD7525F">
            <w:pPr>
              <w:pStyle w:val="57"/>
              <w:jc w:val="center"/>
              <w:rPr>
                <w:rFonts w:ascii="Times New Roman" w:cs="Times New Roman"/>
              </w:rPr>
            </w:pPr>
            <w:r>
              <w:rPr>
                <w:rFonts w:ascii="Times New Roman" w:cs="Times New Roman"/>
              </w:rPr>
              <w:t>180*3</w:t>
            </w:r>
          </w:p>
        </w:tc>
        <w:tc>
          <w:tcPr>
            <w:tcW w:w="1177" w:type="dxa"/>
            <w:tcBorders>
              <w:top w:val="nil"/>
              <w:left w:val="nil"/>
              <w:bottom w:val="single" w:color="000000" w:sz="4" w:space="0"/>
              <w:right w:val="single" w:color="000000" w:sz="4" w:space="0"/>
            </w:tcBorders>
            <w:shd w:val="clear" w:color="auto" w:fill="auto"/>
            <w:vAlign w:val="center"/>
          </w:tcPr>
          <w:p w14:paraId="0C5B6C64">
            <w:pPr>
              <w:pStyle w:val="57"/>
              <w:jc w:val="center"/>
              <w:rPr>
                <w:rFonts w:ascii="Times New Roman" w:cs="Times New Roman"/>
              </w:rPr>
            </w:pPr>
            <w:r>
              <w:rPr>
                <w:rFonts w:ascii="Times New Roman" w:cs="Times New Roman"/>
              </w:rPr>
              <w:t>8</w:t>
            </w:r>
          </w:p>
        </w:tc>
      </w:tr>
      <w:tr w14:paraId="28FE9CC1">
        <w:tblPrEx>
          <w:tblCellMar>
            <w:top w:w="0" w:type="dxa"/>
            <w:left w:w="108" w:type="dxa"/>
            <w:bottom w:w="0" w:type="dxa"/>
            <w:right w:w="108" w:type="dxa"/>
          </w:tblCellMar>
        </w:tblPrEx>
        <w:trPr>
          <w:trHeight w:val="20" w:hRule="atLeast"/>
        </w:trPr>
        <w:tc>
          <w:tcPr>
            <w:tcW w:w="845" w:type="dxa"/>
            <w:tcBorders>
              <w:top w:val="nil"/>
              <w:left w:val="single" w:color="000000" w:sz="4" w:space="0"/>
              <w:bottom w:val="single" w:color="000000" w:sz="4" w:space="0"/>
              <w:right w:val="single" w:color="000000" w:sz="4" w:space="0"/>
            </w:tcBorders>
            <w:shd w:val="clear" w:color="auto" w:fill="auto"/>
            <w:vAlign w:val="center"/>
          </w:tcPr>
          <w:p w14:paraId="78CD6A40">
            <w:pPr>
              <w:pStyle w:val="57"/>
              <w:jc w:val="center"/>
              <w:rPr>
                <w:rFonts w:ascii="Times New Roman" w:cs="Times New Roman"/>
              </w:rPr>
            </w:pPr>
            <w:r>
              <w:rPr>
                <w:rFonts w:ascii="Times New Roman" w:cs="Times New Roman"/>
              </w:rPr>
              <w:t>9</w:t>
            </w:r>
          </w:p>
        </w:tc>
        <w:tc>
          <w:tcPr>
            <w:tcW w:w="1560" w:type="dxa"/>
            <w:tcBorders>
              <w:top w:val="nil"/>
              <w:left w:val="nil"/>
              <w:bottom w:val="single" w:color="000000" w:sz="4" w:space="0"/>
              <w:right w:val="single" w:color="000000" w:sz="4" w:space="0"/>
            </w:tcBorders>
            <w:shd w:val="clear" w:color="auto" w:fill="auto"/>
            <w:vAlign w:val="center"/>
          </w:tcPr>
          <w:p w14:paraId="73F19869">
            <w:pPr>
              <w:pStyle w:val="57"/>
              <w:jc w:val="center"/>
              <w:rPr>
                <w:rFonts w:ascii="Times New Roman" w:cs="Times New Roman"/>
              </w:rPr>
            </w:pPr>
            <w:r>
              <w:rPr>
                <w:rFonts w:ascii="Times New Roman" w:cs="Times New Roman"/>
              </w:rPr>
              <w:t>医药高新区</w:t>
            </w:r>
          </w:p>
          <w:p w14:paraId="45380397">
            <w:pPr>
              <w:pStyle w:val="57"/>
              <w:jc w:val="center"/>
              <w:rPr>
                <w:rFonts w:ascii="Times New Roman" w:cs="Times New Roman"/>
              </w:rPr>
            </w:pPr>
            <w:r>
              <w:rPr>
                <w:rFonts w:ascii="Times New Roman" w:cs="Times New Roman"/>
              </w:rPr>
              <w:t>（高港区）</w:t>
            </w:r>
          </w:p>
        </w:tc>
        <w:tc>
          <w:tcPr>
            <w:tcW w:w="1707" w:type="dxa"/>
            <w:tcBorders>
              <w:top w:val="nil"/>
              <w:left w:val="nil"/>
              <w:bottom w:val="single" w:color="000000" w:sz="4" w:space="0"/>
              <w:right w:val="single" w:color="000000" w:sz="4" w:space="0"/>
            </w:tcBorders>
            <w:shd w:val="clear" w:color="auto" w:fill="auto"/>
            <w:vAlign w:val="center"/>
          </w:tcPr>
          <w:p w14:paraId="48E36AC3">
            <w:pPr>
              <w:pStyle w:val="57"/>
              <w:jc w:val="center"/>
              <w:rPr>
                <w:rFonts w:ascii="Times New Roman" w:cs="Times New Roman"/>
              </w:rPr>
            </w:pPr>
            <w:r>
              <w:rPr>
                <w:rFonts w:ascii="Times New Roman" w:cs="Times New Roman"/>
              </w:rPr>
              <w:t>盘头排涝站</w:t>
            </w:r>
          </w:p>
        </w:tc>
        <w:tc>
          <w:tcPr>
            <w:tcW w:w="1979" w:type="dxa"/>
            <w:tcBorders>
              <w:top w:val="nil"/>
              <w:left w:val="nil"/>
              <w:bottom w:val="single" w:color="000000" w:sz="4" w:space="0"/>
              <w:right w:val="single" w:color="000000" w:sz="4" w:space="0"/>
            </w:tcBorders>
            <w:shd w:val="clear" w:color="auto" w:fill="auto"/>
            <w:vAlign w:val="center"/>
          </w:tcPr>
          <w:p w14:paraId="50593B3D">
            <w:pPr>
              <w:pStyle w:val="57"/>
              <w:jc w:val="center"/>
              <w:rPr>
                <w:rFonts w:ascii="Times New Roman" w:cs="Times New Roman"/>
              </w:rPr>
            </w:pPr>
            <w:r>
              <w:rPr>
                <w:rFonts w:ascii="Times New Roman" w:cs="Times New Roman"/>
              </w:rPr>
              <w:t>800ZLB-125</w:t>
            </w:r>
          </w:p>
        </w:tc>
        <w:tc>
          <w:tcPr>
            <w:tcW w:w="1701" w:type="dxa"/>
            <w:tcBorders>
              <w:top w:val="nil"/>
              <w:left w:val="nil"/>
              <w:bottom w:val="single" w:color="000000" w:sz="4" w:space="0"/>
              <w:right w:val="single" w:color="000000" w:sz="4" w:space="0"/>
            </w:tcBorders>
            <w:shd w:val="clear" w:color="auto" w:fill="auto"/>
            <w:vAlign w:val="center"/>
          </w:tcPr>
          <w:p w14:paraId="12993A7A">
            <w:pPr>
              <w:pStyle w:val="57"/>
              <w:jc w:val="center"/>
              <w:rPr>
                <w:rFonts w:ascii="Times New Roman" w:cs="Times New Roman"/>
              </w:rPr>
            </w:pPr>
            <w:r>
              <w:rPr>
                <w:rFonts w:ascii="Times New Roman" w:cs="Times New Roman"/>
              </w:rPr>
              <w:t>115*2</w:t>
            </w:r>
          </w:p>
        </w:tc>
        <w:tc>
          <w:tcPr>
            <w:tcW w:w="1177" w:type="dxa"/>
            <w:tcBorders>
              <w:top w:val="nil"/>
              <w:left w:val="nil"/>
              <w:bottom w:val="single" w:color="000000" w:sz="4" w:space="0"/>
              <w:right w:val="single" w:color="000000" w:sz="4" w:space="0"/>
            </w:tcBorders>
            <w:shd w:val="clear" w:color="auto" w:fill="auto"/>
            <w:vAlign w:val="center"/>
          </w:tcPr>
          <w:p w14:paraId="29C0AFBC">
            <w:pPr>
              <w:pStyle w:val="57"/>
              <w:jc w:val="center"/>
              <w:rPr>
                <w:rFonts w:ascii="Times New Roman" w:cs="Times New Roman"/>
              </w:rPr>
            </w:pPr>
            <w:r>
              <w:rPr>
                <w:rFonts w:ascii="Times New Roman" w:cs="Times New Roman"/>
              </w:rPr>
              <w:t>4</w:t>
            </w:r>
          </w:p>
        </w:tc>
      </w:tr>
      <w:tr w14:paraId="5F7FCFC1">
        <w:tblPrEx>
          <w:tblCellMar>
            <w:top w:w="0" w:type="dxa"/>
            <w:left w:w="108" w:type="dxa"/>
            <w:bottom w:w="0" w:type="dxa"/>
            <w:right w:w="108" w:type="dxa"/>
          </w:tblCellMar>
        </w:tblPrEx>
        <w:trPr>
          <w:trHeight w:val="20" w:hRule="atLeast"/>
        </w:trPr>
        <w:tc>
          <w:tcPr>
            <w:tcW w:w="845" w:type="dxa"/>
            <w:tcBorders>
              <w:top w:val="nil"/>
              <w:left w:val="single" w:color="000000" w:sz="4" w:space="0"/>
              <w:bottom w:val="single" w:color="000000" w:sz="4" w:space="0"/>
              <w:right w:val="single" w:color="000000" w:sz="4" w:space="0"/>
            </w:tcBorders>
            <w:shd w:val="clear" w:color="auto" w:fill="auto"/>
            <w:vAlign w:val="center"/>
          </w:tcPr>
          <w:p w14:paraId="7F974049">
            <w:pPr>
              <w:pStyle w:val="57"/>
              <w:jc w:val="center"/>
              <w:rPr>
                <w:rFonts w:ascii="Times New Roman" w:cs="Times New Roman"/>
              </w:rPr>
            </w:pPr>
            <w:r>
              <w:rPr>
                <w:rFonts w:ascii="Times New Roman" w:cs="Times New Roman"/>
              </w:rPr>
              <w:t>10</w:t>
            </w:r>
          </w:p>
        </w:tc>
        <w:tc>
          <w:tcPr>
            <w:tcW w:w="1560" w:type="dxa"/>
            <w:tcBorders>
              <w:top w:val="nil"/>
              <w:left w:val="nil"/>
              <w:bottom w:val="single" w:color="000000" w:sz="4" w:space="0"/>
              <w:right w:val="single" w:color="000000" w:sz="4" w:space="0"/>
            </w:tcBorders>
            <w:shd w:val="clear" w:color="auto" w:fill="auto"/>
            <w:vAlign w:val="center"/>
          </w:tcPr>
          <w:p w14:paraId="799EDBD4">
            <w:pPr>
              <w:pStyle w:val="57"/>
              <w:jc w:val="center"/>
              <w:rPr>
                <w:rFonts w:ascii="Times New Roman" w:cs="Times New Roman"/>
              </w:rPr>
            </w:pPr>
            <w:r>
              <w:rPr>
                <w:rFonts w:ascii="Times New Roman" w:cs="Times New Roman"/>
              </w:rPr>
              <w:t>医药高新区</w:t>
            </w:r>
          </w:p>
          <w:p w14:paraId="34E23385">
            <w:pPr>
              <w:pStyle w:val="57"/>
              <w:jc w:val="center"/>
              <w:rPr>
                <w:rFonts w:ascii="Times New Roman" w:cs="Times New Roman"/>
              </w:rPr>
            </w:pPr>
            <w:r>
              <w:rPr>
                <w:rFonts w:ascii="Times New Roman" w:cs="Times New Roman"/>
              </w:rPr>
              <w:t>（高港区）</w:t>
            </w:r>
          </w:p>
        </w:tc>
        <w:tc>
          <w:tcPr>
            <w:tcW w:w="1707" w:type="dxa"/>
            <w:tcBorders>
              <w:top w:val="nil"/>
              <w:left w:val="nil"/>
              <w:bottom w:val="single" w:color="000000" w:sz="4" w:space="0"/>
              <w:right w:val="single" w:color="000000" w:sz="4" w:space="0"/>
            </w:tcBorders>
            <w:shd w:val="clear" w:color="auto" w:fill="auto"/>
            <w:vAlign w:val="center"/>
          </w:tcPr>
          <w:p w14:paraId="1B04B942">
            <w:pPr>
              <w:pStyle w:val="57"/>
              <w:jc w:val="center"/>
              <w:rPr>
                <w:rFonts w:ascii="Times New Roman" w:cs="Times New Roman"/>
              </w:rPr>
            </w:pPr>
            <w:r>
              <w:rPr>
                <w:rFonts w:ascii="Times New Roman" w:cs="Times New Roman"/>
              </w:rPr>
              <w:t>胜利排涝站</w:t>
            </w:r>
          </w:p>
        </w:tc>
        <w:tc>
          <w:tcPr>
            <w:tcW w:w="1979" w:type="dxa"/>
            <w:tcBorders>
              <w:top w:val="nil"/>
              <w:left w:val="nil"/>
              <w:bottom w:val="single" w:color="000000" w:sz="4" w:space="0"/>
              <w:right w:val="single" w:color="000000" w:sz="4" w:space="0"/>
            </w:tcBorders>
            <w:shd w:val="clear" w:color="auto" w:fill="auto"/>
            <w:vAlign w:val="center"/>
          </w:tcPr>
          <w:p w14:paraId="0F357336">
            <w:pPr>
              <w:pStyle w:val="57"/>
              <w:jc w:val="center"/>
              <w:rPr>
                <w:rFonts w:ascii="Times New Roman" w:cs="Times New Roman"/>
              </w:rPr>
            </w:pPr>
            <w:r>
              <w:rPr>
                <w:rFonts w:ascii="Times New Roman" w:cs="Times New Roman"/>
              </w:rPr>
              <w:t>900ZLB-125</w:t>
            </w:r>
          </w:p>
        </w:tc>
        <w:tc>
          <w:tcPr>
            <w:tcW w:w="1701" w:type="dxa"/>
            <w:tcBorders>
              <w:top w:val="nil"/>
              <w:left w:val="nil"/>
              <w:bottom w:val="single" w:color="000000" w:sz="4" w:space="0"/>
              <w:right w:val="single" w:color="000000" w:sz="4" w:space="0"/>
            </w:tcBorders>
            <w:shd w:val="clear" w:color="auto" w:fill="auto"/>
            <w:vAlign w:val="center"/>
          </w:tcPr>
          <w:p w14:paraId="137C660D">
            <w:pPr>
              <w:pStyle w:val="57"/>
              <w:jc w:val="center"/>
              <w:rPr>
                <w:rFonts w:ascii="Times New Roman" w:cs="Times New Roman"/>
              </w:rPr>
            </w:pPr>
            <w:r>
              <w:rPr>
                <w:rFonts w:ascii="Times New Roman" w:cs="Times New Roman"/>
              </w:rPr>
              <w:t>180*3</w:t>
            </w:r>
          </w:p>
        </w:tc>
        <w:tc>
          <w:tcPr>
            <w:tcW w:w="1177" w:type="dxa"/>
            <w:tcBorders>
              <w:top w:val="nil"/>
              <w:left w:val="nil"/>
              <w:bottom w:val="single" w:color="000000" w:sz="4" w:space="0"/>
              <w:right w:val="single" w:color="000000" w:sz="4" w:space="0"/>
            </w:tcBorders>
            <w:shd w:val="clear" w:color="auto" w:fill="auto"/>
            <w:vAlign w:val="center"/>
          </w:tcPr>
          <w:p w14:paraId="63FA42D6">
            <w:pPr>
              <w:pStyle w:val="57"/>
              <w:jc w:val="center"/>
              <w:rPr>
                <w:rFonts w:ascii="Times New Roman" w:cs="Times New Roman"/>
              </w:rPr>
            </w:pPr>
            <w:r>
              <w:rPr>
                <w:rFonts w:ascii="Times New Roman" w:cs="Times New Roman"/>
              </w:rPr>
              <w:t>8</w:t>
            </w:r>
          </w:p>
        </w:tc>
      </w:tr>
      <w:tr w14:paraId="097AAD29">
        <w:tblPrEx>
          <w:tblCellMar>
            <w:top w:w="0" w:type="dxa"/>
            <w:left w:w="108" w:type="dxa"/>
            <w:bottom w:w="0" w:type="dxa"/>
            <w:right w:w="108" w:type="dxa"/>
          </w:tblCellMar>
        </w:tblPrEx>
        <w:trPr>
          <w:trHeight w:val="20" w:hRule="atLeast"/>
        </w:trPr>
        <w:tc>
          <w:tcPr>
            <w:tcW w:w="845" w:type="dxa"/>
            <w:tcBorders>
              <w:top w:val="nil"/>
              <w:left w:val="single" w:color="000000" w:sz="4" w:space="0"/>
              <w:bottom w:val="single" w:color="000000" w:sz="4" w:space="0"/>
              <w:right w:val="single" w:color="000000" w:sz="4" w:space="0"/>
            </w:tcBorders>
            <w:shd w:val="clear" w:color="auto" w:fill="auto"/>
            <w:vAlign w:val="center"/>
          </w:tcPr>
          <w:p w14:paraId="196EA10B">
            <w:pPr>
              <w:pStyle w:val="57"/>
              <w:jc w:val="center"/>
              <w:rPr>
                <w:rFonts w:ascii="Times New Roman" w:cs="Times New Roman"/>
              </w:rPr>
            </w:pPr>
            <w:r>
              <w:rPr>
                <w:rFonts w:ascii="Times New Roman" w:cs="Times New Roman"/>
              </w:rPr>
              <w:t>11</w:t>
            </w:r>
          </w:p>
        </w:tc>
        <w:tc>
          <w:tcPr>
            <w:tcW w:w="1560" w:type="dxa"/>
            <w:tcBorders>
              <w:top w:val="nil"/>
              <w:left w:val="nil"/>
              <w:bottom w:val="single" w:color="000000" w:sz="4" w:space="0"/>
              <w:right w:val="single" w:color="000000" w:sz="4" w:space="0"/>
            </w:tcBorders>
            <w:shd w:val="clear" w:color="auto" w:fill="auto"/>
            <w:vAlign w:val="center"/>
          </w:tcPr>
          <w:p w14:paraId="58694F70">
            <w:pPr>
              <w:pStyle w:val="57"/>
              <w:jc w:val="center"/>
              <w:rPr>
                <w:rFonts w:ascii="Times New Roman" w:cs="Times New Roman"/>
              </w:rPr>
            </w:pPr>
            <w:r>
              <w:rPr>
                <w:rFonts w:ascii="Times New Roman" w:cs="Times New Roman"/>
              </w:rPr>
              <w:t>医药高新区</w:t>
            </w:r>
          </w:p>
          <w:p w14:paraId="71193935">
            <w:pPr>
              <w:pStyle w:val="57"/>
              <w:jc w:val="center"/>
              <w:rPr>
                <w:rFonts w:ascii="Times New Roman" w:cs="Times New Roman"/>
              </w:rPr>
            </w:pPr>
            <w:r>
              <w:rPr>
                <w:rFonts w:ascii="Times New Roman" w:cs="Times New Roman"/>
              </w:rPr>
              <w:t>（高港区）</w:t>
            </w:r>
          </w:p>
        </w:tc>
        <w:tc>
          <w:tcPr>
            <w:tcW w:w="1707" w:type="dxa"/>
            <w:tcBorders>
              <w:top w:val="nil"/>
              <w:left w:val="nil"/>
              <w:bottom w:val="single" w:color="000000" w:sz="4" w:space="0"/>
              <w:right w:val="single" w:color="000000" w:sz="4" w:space="0"/>
            </w:tcBorders>
            <w:shd w:val="clear" w:color="auto" w:fill="auto"/>
            <w:vAlign w:val="center"/>
          </w:tcPr>
          <w:p w14:paraId="7C55221D">
            <w:pPr>
              <w:pStyle w:val="57"/>
              <w:jc w:val="center"/>
              <w:rPr>
                <w:rFonts w:ascii="Times New Roman" w:cs="Times New Roman"/>
              </w:rPr>
            </w:pPr>
            <w:r>
              <w:rPr>
                <w:rFonts w:ascii="Times New Roman" w:cs="Times New Roman"/>
              </w:rPr>
              <w:t>同兴七队排涝站</w:t>
            </w:r>
          </w:p>
        </w:tc>
        <w:tc>
          <w:tcPr>
            <w:tcW w:w="1979" w:type="dxa"/>
            <w:tcBorders>
              <w:top w:val="nil"/>
              <w:left w:val="nil"/>
              <w:bottom w:val="single" w:color="000000" w:sz="4" w:space="0"/>
              <w:right w:val="single" w:color="000000" w:sz="4" w:space="0"/>
            </w:tcBorders>
            <w:shd w:val="clear" w:color="auto" w:fill="auto"/>
            <w:vAlign w:val="center"/>
          </w:tcPr>
          <w:p w14:paraId="5C4CBBF4">
            <w:pPr>
              <w:pStyle w:val="57"/>
              <w:jc w:val="center"/>
              <w:rPr>
                <w:rFonts w:ascii="Times New Roman" w:cs="Times New Roman"/>
              </w:rPr>
            </w:pPr>
            <w:r>
              <w:rPr>
                <w:rFonts w:ascii="Times New Roman" w:cs="Times New Roman"/>
              </w:rPr>
              <w:t>14吋轴流泵</w:t>
            </w:r>
          </w:p>
        </w:tc>
        <w:tc>
          <w:tcPr>
            <w:tcW w:w="1701" w:type="dxa"/>
            <w:tcBorders>
              <w:top w:val="nil"/>
              <w:left w:val="nil"/>
              <w:bottom w:val="single" w:color="000000" w:sz="4" w:space="0"/>
              <w:right w:val="single" w:color="000000" w:sz="4" w:space="0"/>
            </w:tcBorders>
            <w:shd w:val="clear" w:color="auto" w:fill="auto"/>
            <w:vAlign w:val="center"/>
          </w:tcPr>
          <w:p w14:paraId="04719D1F">
            <w:pPr>
              <w:pStyle w:val="57"/>
              <w:jc w:val="center"/>
              <w:rPr>
                <w:rFonts w:ascii="Times New Roman" w:cs="Times New Roman"/>
              </w:rPr>
            </w:pPr>
            <w:r>
              <w:rPr>
                <w:rFonts w:ascii="Times New Roman" w:cs="Times New Roman"/>
              </w:rPr>
              <w:t>30*1</w:t>
            </w:r>
          </w:p>
        </w:tc>
        <w:tc>
          <w:tcPr>
            <w:tcW w:w="1177" w:type="dxa"/>
            <w:tcBorders>
              <w:top w:val="nil"/>
              <w:left w:val="nil"/>
              <w:bottom w:val="single" w:color="000000" w:sz="4" w:space="0"/>
              <w:right w:val="single" w:color="000000" w:sz="4" w:space="0"/>
            </w:tcBorders>
            <w:shd w:val="clear" w:color="auto" w:fill="auto"/>
            <w:vAlign w:val="center"/>
          </w:tcPr>
          <w:p w14:paraId="7F6DA56C">
            <w:pPr>
              <w:pStyle w:val="57"/>
              <w:jc w:val="center"/>
              <w:rPr>
                <w:rFonts w:ascii="Times New Roman" w:cs="Times New Roman"/>
              </w:rPr>
            </w:pPr>
            <w:r>
              <w:rPr>
                <w:rFonts w:ascii="Times New Roman" w:cs="Times New Roman"/>
              </w:rPr>
              <w:t>0.37</w:t>
            </w:r>
          </w:p>
        </w:tc>
      </w:tr>
      <w:tr w14:paraId="2B506E2B">
        <w:tblPrEx>
          <w:tblCellMar>
            <w:top w:w="0" w:type="dxa"/>
            <w:left w:w="108" w:type="dxa"/>
            <w:bottom w:w="0" w:type="dxa"/>
            <w:right w:w="108" w:type="dxa"/>
          </w:tblCellMar>
        </w:tblPrEx>
        <w:trPr>
          <w:trHeight w:val="20" w:hRule="atLeast"/>
        </w:trPr>
        <w:tc>
          <w:tcPr>
            <w:tcW w:w="845" w:type="dxa"/>
            <w:tcBorders>
              <w:top w:val="nil"/>
              <w:left w:val="single" w:color="000000" w:sz="4" w:space="0"/>
              <w:bottom w:val="single" w:color="000000" w:sz="4" w:space="0"/>
              <w:right w:val="single" w:color="000000" w:sz="4" w:space="0"/>
            </w:tcBorders>
            <w:shd w:val="clear" w:color="auto" w:fill="auto"/>
            <w:vAlign w:val="center"/>
          </w:tcPr>
          <w:p w14:paraId="7B240227">
            <w:pPr>
              <w:pStyle w:val="57"/>
              <w:jc w:val="center"/>
              <w:rPr>
                <w:rFonts w:ascii="Times New Roman" w:cs="Times New Roman"/>
              </w:rPr>
            </w:pPr>
            <w:r>
              <w:rPr>
                <w:rFonts w:ascii="Times New Roman" w:cs="Times New Roman"/>
              </w:rPr>
              <w:t>12</w:t>
            </w:r>
          </w:p>
        </w:tc>
        <w:tc>
          <w:tcPr>
            <w:tcW w:w="1560" w:type="dxa"/>
            <w:tcBorders>
              <w:top w:val="nil"/>
              <w:left w:val="nil"/>
              <w:bottom w:val="single" w:color="000000" w:sz="4" w:space="0"/>
              <w:right w:val="single" w:color="000000" w:sz="4" w:space="0"/>
            </w:tcBorders>
            <w:shd w:val="clear" w:color="auto" w:fill="auto"/>
            <w:vAlign w:val="center"/>
          </w:tcPr>
          <w:p w14:paraId="2A376282">
            <w:pPr>
              <w:pStyle w:val="57"/>
              <w:jc w:val="center"/>
              <w:rPr>
                <w:rFonts w:ascii="Times New Roman" w:cs="Times New Roman"/>
              </w:rPr>
            </w:pPr>
            <w:r>
              <w:rPr>
                <w:rFonts w:ascii="Times New Roman" w:cs="Times New Roman"/>
              </w:rPr>
              <w:t>医药高新区</w:t>
            </w:r>
          </w:p>
          <w:p w14:paraId="57D89CE0">
            <w:pPr>
              <w:pStyle w:val="57"/>
              <w:jc w:val="center"/>
              <w:rPr>
                <w:rFonts w:ascii="Times New Roman" w:cs="Times New Roman"/>
              </w:rPr>
            </w:pPr>
            <w:r>
              <w:rPr>
                <w:rFonts w:ascii="Times New Roman" w:cs="Times New Roman"/>
              </w:rPr>
              <w:t>（高港区）</w:t>
            </w:r>
          </w:p>
        </w:tc>
        <w:tc>
          <w:tcPr>
            <w:tcW w:w="1707" w:type="dxa"/>
            <w:tcBorders>
              <w:top w:val="nil"/>
              <w:left w:val="nil"/>
              <w:bottom w:val="single" w:color="000000" w:sz="4" w:space="0"/>
              <w:right w:val="single" w:color="000000" w:sz="4" w:space="0"/>
            </w:tcBorders>
            <w:shd w:val="clear" w:color="auto" w:fill="auto"/>
            <w:vAlign w:val="center"/>
          </w:tcPr>
          <w:p w14:paraId="57AF6F5A">
            <w:pPr>
              <w:pStyle w:val="57"/>
              <w:jc w:val="center"/>
              <w:rPr>
                <w:rFonts w:ascii="Times New Roman" w:cs="Times New Roman"/>
              </w:rPr>
            </w:pPr>
            <w:r>
              <w:rPr>
                <w:rFonts w:ascii="Times New Roman" w:cs="Times New Roman"/>
              </w:rPr>
              <w:t>北沙排涝站</w:t>
            </w:r>
          </w:p>
        </w:tc>
        <w:tc>
          <w:tcPr>
            <w:tcW w:w="1979" w:type="dxa"/>
            <w:tcBorders>
              <w:top w:val="nil"/>
              <w:left w:val="nil"/>
              <w:bottom w:val="single" w:color="000000" w:sz="4" w:space="0"/>
              <w:right w:val="single" w:color="000000" w:sz="4" w:space="0"/>
            </w:tcBorders>
            <w:shd w:val="clear" w:color="auto" w:fill="auto"/>
            <w:vAlign w:val="center"/>
          </w:tcPr>
          <w:p w14:paraId="63E02538">
            <w:pPr>
              <w:pStyle w:val="57"/>
              <w:jc w:val="center"/>
              <w:rPr>
                <w:rFonts w:ascii="Times New Roman" w:cs="Times New Roman"/>
              </w:rPr>
            </w:pPr>
            <w:r>
              <w:rPr>
                <w:rFonts w:ascii="Times New Roman" w:cs="Times New Roman"/>
              </w:rPr>
              <w:t>24吋轴流泵</w:t>
            </w:r>
          </w:p>
        </w:tc>
        <w:tc>
          <w:tcPr>
            <w:tcW w:w="1701" w:type="dxa"/>
            <w:tcBorders>
              <w:top w:val="nil"/>
              <w:left w:val="nil"/>
              <w:bottom w:val="single" w:color="000000" w:sz="4" w:space="0"/>
              <w:right w:val="single" w:color="000000" w:sz="4" w:space="0"/>
            </w:tcBorders>
            <w:shd w:val="clear" w:color="auto" w:fill="auto"/>
            <w:vAlign w:val="center"/>
          </w:tcPr>
          <w:p w14:paraId="778EC26B">
            <w:pPr>
              <w:pStyle w:val="57"/>
              <w:jc w:val="center"/>
              <w:rPr>
                <w:rFonts w:ascii="Times New Roman" w:cs="Times New Roman"/>
              </w:rPr>
            </w:pPr>
            <w:r>
              <w:rPr>
                <w:rFonts w:ascii="Times New Roman" w:cs="Times New Roman"/>
              </w:rPr>
              <w:t>55*1</w:t>
            </w:r>
          </w:p>
        </w:tc>
        <w:tc>
          <w:tcPr>
            <w:tcW w:w="1177" w:type="dxa"/>
            <w:tcBorders>
              <w:top w:val="nil"/>
              <w:left w:val="nil"/>
              <w:bottom w:val="single" w:color="000000" w:sz="4" w:space="0"/>
              <w:right w:val="single" w:color="000000" w:sz="4" w:space="0"/>
            </w:tcBorders>
            <w:shd w:val="clear" w:color="auto" w:fill="auto"/>
            <w:vAlign w:val="center"/>
          </w:tcPr>
          <w:p w14:paraId="48ECE81E">
            <w:pPr>
              <w:pStyle w:val="57"/>
              <w:jc w:val="center"/>
              <w:rPr>
                <w:rFonts w:ascii="Times New Roman" w:cs="Times New Roman"/>
              </w:rPr>
            </w:pPr>
            <w:r>
              <w:rPr>
                <w:rFonts w:ascii="Times New Roman" w:cs="Times New Roman"/>
              </w:rPr>
              <w:t>1</w:t>
            </w:r>
          </w:p>
        </w:tc>
      </w:tr>
      <w:tr w14:paraId="52720C12">
        <w:tblPrEx>
          <w:tblCellMar>
            <w:top w:w="0" w:type="dxa"/>
            <w:left w:w="108" w:type="dxa"/>
            <w:bottom w:w="0" w:type="dxa"/>
            <w:right w:w="108" w:type="dxa"/>
          </w:tblCellMar>
        </w:tblPrEx>
        <w:trPr>
          <w:trHeight w:val="20" w:hRule="atLeast"/>
        </w:trPr>
        <w:tc>
          <w:tcPr>
            <w:tcW w:w="845" w:type="dxa"/>
            <w:tcBorders>
              <w:top w:val="nil"/>
              <w:left w:val="single" w:color="000000" w:sz="4" w:space="0"/>
              <w:bottom w:val="single" w:color="000000" w:sz="4" w:space="0"/>
              <w:right w:val="single" w:color="000000" w:sz="4" w:space="0"/>
            </w:tcBorders>
            <w:shd w:val="clear" w:color="auto" w:fill="auto"/>
            <w:vAlign w:val="center"/>
          </w:tcPr>
          <w:p w14:paraId="50D57A7C">
            <w:pPr>
              <w:pStyle w:val="57"/>
              <w:jc w:val="center"/>
              <w:rPr>
                <w:rFonts w:ascii="Times New Roman" w:cs="Times New Roman"/>
              </w:rPr>
            </w:pPr>
            <w:r>
              <w:rPr>
                <w:rFonts w:ascii="Times New Roman" w:cs="Times New Roman"/>
              </w:rPr>
              <w:t>13</w:t>
            </w:r>
          </w:p>
        </w:tc>
        <w:tc>
          <w:tcPr>
            <w:tcW w:w="1560" w:type="dxa"/>
            <w:tcBorders>
              <w:top w:val="nil"/>
              <w:left w:val="nil"/>
              <w:bottom w:val="single" w:color="000000" w:sz="4" w:space="0"/>
              <w:right w:val="single" w:color="000000" w:sz="4" w:space="0"/>
            </w:tcBorders>
            <w:shd w:val="clear" w:color="auto" w:fill="auto"/>
            <w:vAlign w:val="center"/>
          </w:tcPr>
          <w:p w14:paraId="54CAC0BC">
            <w:pPr>
              <w:pStyle w:val="57"/>
              <w:jc w:val="center"/>
              <w:rPr>
                <w:rFonts w:ascii="Times New Roman" w:cs="Times New Roman"/>
              </w:rPr>
            </w:pPr>
            <w:r>
              <w:rPr>
                <w:rFonts w:ascii="Times New Roman" w:cs="Times New Roman"/>
              </w:rPr>
              <w:t>泰兴市</w:t>
            </w:r>
          </w:p>
        </w:tc>
        <w:tc>
          <w:tcPr>
            <w:tcW w:w="1707" w:type="dxa"/>
            <w:tcBorders>
              <w:top w:val="nil"/>
              <w:left w:val="nil"/>
              <w:bottom w:val="single" w:color="000000" w:sz="4" w:space="0"/>
              <w:right w:val="single" w:color="000000" w:sz="4" w:space="0"/>
            </w:tcBorders>
            <w:shd w:val="clear" w:color="auto" w:fill="auto"/>
            <w:vAlign w:val="center"/>
          </w:tcPr>
          <w:p w14:paraId="406FC170">
            <w:pPr>
              <w:pStyle w:val="57"/>
              <w:jc w:val="center"/>
              <w:rPr>
                <w:rFonts w:ascii="Times New Roman" w:cs="Times New Roman"/>
              </w:rPr>
            </w:pPr>
            <w:r>
              <w:rPr>
                <w:rFonts w:ascii="Times New Roman" w:cs="Times New Roman"/>
              </w:rPr>
              <w:t>西江排涝站</w:t>
            </w:r>
          </w:p>
        </w:tc>
        <w:tc>
          <w:tcPr>
            <w:tcW w:w="1979" w:type="dxa"/>
            <w:tcBorders>
              <w:top w:val="nil"/>
              <w:left w:val="nil"/>
              <w:bottom w:val="single" w:color="000000" w:sz="4" w:space="0"/>
              <w:right w:val="single" w:color="000000" w:sz="4" w:space="0"/>
            </w:tcBorders>
            <w:shd w:val="clear" w:color="auto" w:fill="auto"/>
            <w:vAlign w:val="center"/>
          </w:tcPr>
          <w:p w14:paraId="6C810389">
            <w:pPr>
              <w:pStyle w:val="57"/>
              <w:jc w:val="center"/>
              <w:rPr>
                <w:rFonts w:ascii="Times New Roman" w:cs="Times New Roman"/>
              </w:rPr>
            </w:pPr>
            <w:r>
              <w:rPr>
                <w:rFonts w:ascii="Times New Roman" w:cs="Times New Roman"/>
              </w:rPr>
              <w:t>24吋轴流泵</w:t>
            </w:r>
          </w:p>
        </w:tc>
        <w:tc>
          <w:tcPr>
            <w:tcW w:w="1701" w:type="dxa"/>
            <w:tcBorders>
              <w:top w:val="nil"/>
              <w:left w:val="nil"/>
              <w:bottom w:val="single" w:color="000000" w:sz="4" w:space="0"/>
              <w:right w:val="single" w:color="000000" w:sz="4" w:space="0"/>
            </w:tcBorders>
            <w:shd w:val="clear" w:color="auto" w:fill="auto"/>
            <w:vAlign w:val="center"/>
          </w:tcPr>
          <w:p w14:paraId="67EB36A2">
            <w:pPr>
              <w:pStyle w:val="57"/>
              <w:jc w:val="center"/>
              <w:rPr>
                <w:rFonts w:ascii="Times New Roman" w:cs="Times New Roman"/>
              </w:rPr>
            </w:pPr>
            <w:r>
              <w:rPr>
                <w:rFonts w:ascii="Times New Roman" w:cs="Times New Roman"/>
              </w:rPr>
              <w:t>220</w:t>
            </w:r>
          </w:p>
        </w:tc>
        <w:tc>
          <w:tcPr>
            <w:tcW w:w="1177" w:type="dxa"/>
            <w:tcBorders>
              <w:top w:val="nil"/>
              <w:left w:val="nil"/>
              <w:bottom w:val="single" w:color="000000" w:sz="4" w:space="0"/>
              <w:right w:val="single" w:color="000000" w:sz="4" w:space="0"/>
            </w:tcBorders>
            <w:shd w:val="clear" w:color="auto" w:fill="auto"/>
            <w:vAlign w:val="center"/>
          </w:tcPr>
          <w:p w14:paraId="4F9153F6">
            <w:pPr>
              <w:pStyle w:val="57"/>
              <w:jc w:val="center"/>
              <w:rPr>
                <w:rFonts w:ascii="Times New Roman" w:cs="Times New Roman"/>
              </w:rPr>
            </w:pPr>
            <w:r>
              <w:rPr>
                <w:rFonts w:ascii="Times New Roman" w:cs="Times New Roman"/>
              </w:rPr>
              <w:t>4</w:t>
            </w:r>
          </w:p>
        </w:tc>
      </w:tr>
      <w:tr w14:paraId="60B47BA7">
        <w:tblPrEx>
          <w:tblCellMar>
            <w:top w:w="0" w:type="dxa"/>
            <w:left w:w="108" w:type="dxa"/>
            <w:bottom w:w="0" w:type="dxa"/>
            <w:right w:w="108" w:type="dxa"/>
          </w:tblCellMar>
        </w:tblPrEx>
        <w:trPr>
          <w:trHeight w:val="20" w:hRule="atLeast"/>
        </w:trPr>
        <w:tc>
          <w:tcPr>
            <w:tcW w:w="845" w:type="dxa"/>
            <w:tcBorders>
              <w:top w:val="nil"/>
              <w:left w:val="single" w:color="000000" w:sz="4" w:space="0"/>
              <w:bottom w:val="single" w:color="000000" w:sz="4" w:space="0"/>
              <w:right w:val="single" w:color="000000" w:sz="4" w:space="0"/>
            </w:tcBorders>
            <w:shd w:val="clear" w:color="auto" w:fill="auto"/>
            <w:vAlign w:val="center"/>
          </w:tcPr>
          <w:p w14:paraId="14E3E8D9">
            <w:pPr>
              <w:pStyle w:val="57"/>
              <w:jc w:val="center"/>
              <w:rPr>
                <w:rFonts w:ascii="Times New Roman" w:cs="Times New Roman"/>
              </w:rPr>
            </w:pPr>
            <w:r>
              <w:rPr>
                <w:rFonts w:ascii="Times New Roman" w:cs="Times New Roman"/>
              </w:rPr>
              <w:t>14</w:t>
            </w:r>
          </w:p>
        </w:tc>
        <w:tc>
          <w:tcPr>
            <w:tcW w:w="1560" w:type="dxa"/>
            <w:tcBorders>
              <w:top w:val="nil"/>
              <w:left w:val="nil"/>
              <w:bottom w:val="single" w:color="000000" w:sz="4" w:space="0"/>
              <w:right w:val="single" w:color="000000" w:sz="4" w:space="0"/>
            </w:tcBorders>
            <w:shd w:val="clear" w:color="auto" w:fill="auto"/>
            <w:vAlign w:val="center"/>
          </w:tcPr>
          <w:p w14:paraId="1DD9E044">
            <w:pPr>
              <w:pStyle w:val="57"/>
              <w:jc w:val="center"/>
              <w:rPr>
                <w:rFonts w:ascii="Times New Roman" w:cs="Times New Roman"/>
              </w:rPr>
            </w:pPr>
            <w:r>
              <w:rPr>
                <w:rFonts w:ascii="Times New Roman" w:cs="Times New Roman"/>
              </w:rPr>
              <w:t>泰兴市</w:t>
            </w:r>
          </w:p>
        </w:tc>
        <w:tc>
          <w:tcPr>
            <w:tcW w:w="1707" w:type="dxa"/>
            <w:tcBorders>
              <w:top w:val="nil"/>
              <w:left w:val="nil"/>
              <w:bottom w:val="single" w:color="000000" w:sz="4" w:space="0"/>
              <w:right w:val="single" w:color="000000" w:sz="4" w:space="0"/>
            </w:tcBorders>
            <w:shd w:val="clear" w:color="auto" w:fill="auto"/>
            <w:vAlign w:val="center"/>
          </w:tcPr>
          <w:p w14:paraId="1068BF29">
            <w:pPr>
              <w:pStyle w:val="57"/>
              <w:jc w:val="center"/>
              <w:rPr>
                <w:rFonts w:ascii="Times New Roman" w:cs="Times New Roman"/>
              </w:rPr>
            </w:pPr>
            <w:r>
              <w:rPr>
                <w:rFonts w:ascii="Times New Roman" w:cs="Times New Roman"/>
              </w:rPr>
              <w:t>当铺排涝站</w:t>
            </w:r>
          </w:p>
        </w:tc>
        <w:tc>
          <w:tcPr>
            <w:tcW w:w="1979" w:type="dxa"/>
            <w:tcBorders>
              <w:top w:val="nil"/>
              <w:left w:val="nil"/>
              <w:bottom w:val="single" w:color="000000" w:sz="4" w:space="0"/>
              <w:right w:val="single" w:color="000000" w:sz="4" w:space="0"/>
            </w:tcBorders>
            <w:shd w:val="clear" w:color="auto" w:fill="auto"/>
            <w:vAlign w:val="center"/>
          </w:tcPr>
          <w:p w14:paraId="770AD41B">
            <w:pPr>
              <w:pStyle w:val="57"/>
              <w:jc w:val="center"/>
              <w:rPr>
                <w:rFonts w:ascii="Times New Roman" w:cs="Times New Roman"/>
              </w:rPr>
            </w:pPr>
            <w:r>
              <w:rPr>
                <w:rFonts w:ascii="Times New Roman" w:cs="Times New Roman"/>
              </w:rPr>
              <w:t>24吋轴流泵</w:t>
            </w:r>
          </w:p>
        </w:tc>
        <w:tc>
          <w:tcPr>
            <w:tcW w:w="1701" w:type="dxa"/>
            <w:tcBorders>
              <w:top w:val="nil"/>
              <w:left w:val="nil"/>
              <w:bottom w:val="single" w:color="000000" w:sz="4" w:space="0"/>
              <w:right w:val="single" w:color="000000" w:sz="4" w:space="0"/>
            </w:tcBorders>
            <w:shd w:val="clear" w:color="auto" w:fill="auto"/>
            <w:vAlign w:val="center"/>
          </w:tcPr>
          <w:p w14:paraId="15B9555A">
            <w:pPr>
              <w:pStyle w:val="57"/>
              <w:jc w:val="center"/>
              <w:rPr>
                <w:rFonts w:ascii="Times New Roman" w:cs="Times New Roman"/>
              </w:rPr>
            </w:pPr>
            <w:r>
              <w:rPr>
                <w:rFonts w:ascii="Times New Roman" w:cs="Times New Roman"/>
              </w:rPr>
              <w:t>110</w:t>
            </w:r>
          </w:p>
        </w:tc>
        <w:tc>
          <w:tcPr>
            <w:tcW w:w="1177" w:type="dxa"/>
            <w:tcBorders>
              <w:top w:val="nil"/>
              <w:left w:val="nil"/>
              <w:bottom w:val="single" w:color="000000" w:sz="4" w:space="0"/>
              <w:right w:val="single" w:color="000000" w:sz="4" w:space="0"/>
            </w:tcBorders>
            <w:shd w:val="clear" w:color="auto" w:fill="auto"/>
            <w:vAlign w:val="center"/>
          </w:tcPr>
          <w:p w14:paraId="397CB1C1">
            <w:pPr>
              <w:pStyle w:val="57"/>
              <w:jc w:val="center"/>
              <w:rPr>
                <w:rFonts w:ascii="Times New Roman" w:cs="Times New Roman"/>
              </w:rPr>
            </w:pPr>
            <w:r>
              <w:rPr>
                <w:rFonts w:ascii="Times New Roman" w:cs="Times New Roman"/>
              </w:rPr>
              <w:t>2</w:t>
            </w:r>
          </w:p>
        </w:tc>
      </w:tr>
      <w:tr w14:paraId="2CCD7636">
        <w:tblPrEx>
          <w:tblCellMar>
            <w:top w:w="0" w:type="dxa"/>
            <w:left w:w="108" w:type="dxa"/>
            <w:bottom w:w="0" w:type="dxa"/>
            <w:right w:w="108" w:type="dxa"/>
          </w:tblCellMar>
        </w:tblPrEx>
        <w:trPr>
          <w:trHeight w:val="20" w:hRule="atLeast"/>
        </w:trPr>
        <w:tc>
          <w:tcPr>
            <w:tcW w:w="845" w:type="dxa"/>
            <w:tcBorders>
              <w:top w:val="nil"/>
              <w:left w:val="single" w:color="000000" w:sz="4" w:space="0"/>
              <w:bottom w:val="single" w:color="000000" w:sz="4" w:space="0"/>
              <w:right w:val="single" w:color="000000" w:sz="4" w:space="0"/>
            </w:tcBorders>
            <w:shd w:val="clear" w:color="auto" w:fill="auto"/>
            <w:vAlign w:val="center"/>
          </w:tcPr>
          <w:p w14:paraId="15C5CCDC">
            <w:pPr>
              <w:pStyle w:val="57"/>
              <w:jc w:val="center"/>
              <w:rPr>
                <w:rFonts w:ascii="Times New Roman" w:cs="Times New Roman"/>
              </w:rPr>
            </w:pPr>
            <w:r>
              <w:rPr>
                <w:rFonts w:ascii="Times New Roman" w:cs="Times New Roman"/>
              </w:rPr>
              <w:t>15</w:t>
            </w:r>
          </w:p>
        </w:tc>
        <w:tc>
          <w:tcPr>
            <w:tcW w:w="1560" w:type="dxa"/>
            <w:tcBorders>
              <w:top w:val="nil"/>
              <w:left w:val="nil"/>
              <w:bottom w:val="single" w:color="000000" w:sz="4" w:space="0"/>
              <w:right w:val="single" w:color="000000" w:sz="4" w:space="0"/>
            </w:tcBorders>
            <w:shd w:val="clear" w:color="auto" w:fill="auto"/>
            <w:vAlign w:val="center"/>
          </w:tcPr>
          <w:p w14:paraId="0FB3CE83">
            <w:pPr>
              <w:pStyle w:val="57"/>
              <w:jc w:val="center"/>
              <w:rPr>
                <w:rFonts w:ascii="Times New Roman" w:cs="Times New Roman"/>
              </w:rPr>
            </w:pPr>
            <w:r>
              <w:rPr>
                <w:rFonts w:ascii="Times New Roman" w:cs="Times New Roman"/>
              </w:rPr>
              <w:t>泰兴市</w:t>
            </w:r>
          </w:p>
        </w:tc>
        <w:tc>
          <w:tcPr>
            <w:tcW w:w="1707" w:type="dxa"/>
            <w:tcBorders>
              <w:top w:val="nil"/>
              <w:left w:val="nil"/>
              <w:bottom w:val="single" w:color="000000" w:sz="4" w:space="0"/>
              <w:right w:val="single" w:color="000000" w:sz="4" w:space="0"/>
            </w:tcBorders>
            <w:shd w:val="clear" w:color="auto" w:fill="auto"/>
            <w:vAlign w:val="center"/>
          </w:tcPr>
          <w:p w14:paraId="5788F202">
            <w:pPr>
              <w:pStyle w:val="57"/>
              <w:jc w:val="center"/>
              <w:rPr>
                <w:rFonts w:ascii="Times New Roman" w:cs="Times New Roman"/>
              </w:rPr>
            </w:pPr>
            <w:r>
              <w:rPr>
                <w:rFonts w:ascii="Times New Roman" w:cs="Times New Roman"/>
              </w:rPr>
              <w:t>老段港排涝站</w:t>
            </w:r>
          </w:p>
        </w:tc>
        <w:tc>
          <w:tcPr>
            <w:tcW w:w="1979" w:type="dxa"/>
            <w:tcBorders>
              <w:top w:val="nil"/>
              <w:left w:val="nil"/>
              <w:bottom w:val="single" w:color="000000" w:sz="4" w:space="0"/>
              <w:right w:val="single" w:color="000000" w:sz="4" w:space="0"/>
            </w:tcBorders>
            <w:shd w:val="clear" w:color="auto" w:fill="auto"/>
            <w:vAlign w:val="center"/>
          </w:tcPr>
          <w:p w14:paraId="70E9B5FC">
            <w:pPr>
              <w:pStyle w:val="57"/>
              <w:jc w:val="center"/>
              <w:rPr>
                <w:rFonts w:ascii="Times New Roman" w:cs="Times New Roman"/>
              </w:rPr>
            </w:pPr>
            <w:r>
              <w:rPr>
                <w:rFonts w:ascii="Times New Roman" w:cs="Times New Roman"/>
              </w:rPr>
              <w:t>24吋轴流泵</w:t>
            </w:r>
          </w:p>
        </w:tc>
        <w:tc>
          <w:tcPr>
            <w:tcW w:w="1701" w:type="dxa"/>
            <w:tcBorders>
              <w:top w:val="nil"/>
              <w:left w:val="nil"/>
              <w:bottom w:val="single" w:color="000000" w:sz="4" w:space="0"/>
              <w:right w:val="single" w:color="000000" w:sz="4" w:space="0"/>
            </w:tcBorders>
            <w:shd w:val="clear" w:color="auto" w:fill="auto"/>
            <w:vAlign w:val="center"/>
          </w:tcPr>
          <w:p w14:paraId="04521B04">
            <w:pPr>
              <w:pStyle w:val="57"/>
              <w:jc w:val="center"/>
              <w:rPr>
                <w:rFonts w:ascii="Times New Roman" w:cs="Times New Roman"/>
              </w:rPr>
            </w:pPr>
            <w:r>
              <w:rPr>
                <w:rFonts w:ascii="Times New Roman" w:cs="Times New Roman"/>
              </w:rPr>
              <w:t>165</w:t>
            </w:r>
          </w:p>
        </w:tc>
        <w:tc>
          <w:tcPr>
            <w:tcW w:w="1177" w:type="dxa"/>
            <w:tcBorders>
              <w:top w:val="nil"/>
              <w:left w:val="nil"/>
              <w:bottom w:val="single" w:color="000000" w:sz="4" w:space="0"/>
              <w:right w:val="single" w:color="000000" w:sz="4" w:space="0"/>
            </w:tcBorders>
            <w:shd w:val="clear" w:color="auto" w:fill="auto"/>
            <w:vAlign w:val="center"/>
          </w:tcPr>
          <w:p w14:paraId="3639F805">
            <w:pPr>
              <w:pStyle w:val="57"/>
              <w:jc w:val="center"/>
              <w:rPr>
                <w:rFonts w:ascii="Times New Roman" w:cs="Times New Roman"/>
              </w:rPr>
            </w:pPr>
            <w:r>
              <w:rPr>
                <w:rFonts w:ascii="Times New Roman" w:cs="Times New Roman"/>
              </w:rPr>
              <w:t>7.5</w:t>
            </w:r>
          </w:p>
        </w:tc>
      </w:tr>
      <w:tr w14:paraId="2FA2FF07">
        <w:tblPrEx>
          <w:tblCellMar>
            <w:top w:w="0" w:type="dxa"/>
            <w:left w:w="108" w:type="dxa"/>
            <w:bottom w:w="0" w:type="dxa"/>
            <w:right w:w="108" w:type="dxa"/>
          </w:tblCellMar>
        </w:tblPrEx>
        <w:trPr>
          <w:trHeight w:val="20" w:hRule="atLeast"/>
        </w:trPr>
        <w:tc>
          <w:tcPr>
            <w:tcW w:w="845" w:type="dxa"/>
            <w:tcBorders>
              <w:top w:val="nil"/>
              <w:left w:val="single" w:color="000000" w:sz="4" w:space="0"/>
              <w:bottom w:val="single" w:color="000000" w:sz="4" w:space="0"/>
              <w:right w:val="single" w:color="000000" w:sz="4" w:space="0"/>
            </w:tcBorders>
            <w:shd w:val="clear" w:color="auto" w:fill="auto"/>
            <w:vAlign w:val="center"/>
          </w:tcPr>
          <w:p w14:paraId="7F8C77F4">
            <w:pPr>
              <w:pStyle w:val="57"/>
              <w:jc w:val="center"/>
              <w:rPr>
                <w:rFonts w:ascii="Times New Roman" w:cs="Times New Roman"/>
              </w:rPr>
            </w:pPr>
            <w:r>
              <w:rPr>
                <w:rFonts w:ascii="Times New Roman" w:cs="Times New Roman"/>
              </w:rPr>
              <w:t>16</w:t>
            </w:r>
          </w:p>
        </w:tc>
        <w:tc>
          <w:tcPr>
            <w:tcW w:w="1560" w:type="dxa"/>
            <w:tcBorders>
              <w:top w:val="nil"/>
              <w:left w:val="nil"/>
              <w:bottom w:val="single" w:color="000000" w:sz="4" w:space="0"/>
              <w:right w:val="single" w:color="000000" w:sz="4" w:space="0"/>
            </w:tcBorders>
            <w:shd w:val="clear" w:color="auto" w:fill="auto"/>
            <w:vAlign w:val="center"/>
          </w:tcPr>
          <w:p w14:paraId="2F158F84">
            <w:pPr>
              <w:pStyle w:val="57"/>
              <w:jc w:val="center"/>
              <w:rPr>
                <w:rFonts w:ascii="Times New Roman" w:cs="Times New Roman"/>
              </w:rPr>
            </w:pPr>
            <w:r>
              <w:rPr>
                <w:rFonts w:ascii="Times New Roman" w:cs="Times New Roman"/>
              </w:rPr>
              <w:t>泰兴市</w:t>
            </w:r>
          </w:p>
        </w:tc>
        <w:tc>
          <w:tcPr>
            <w:tcW w:w="1707" w:type="dxa"/>
            <w:tcBorders>
              <w:top w:val="nil"/>
              <w:left w:val="nil"/>
              <w:bottom w:val="single" w:color="000000" w:sz="4" w:space="0"/>
              <w:right w:val="single" w:color="000000" w:sz="4" w:space="0"/>
            </w:tcBorders>
            <w:shd w:val="clear" w:color="auto" w:fill="auto"/>
            <w:vAlign w:val="center"/>
          </w:tcPr>
          <w:p w14:paraId="4B0C0FF5">
            <w:pPr>
              <w:pStyle w:val="57"/>
              <w:jc w:val="center"/>
              <w:rPr>
                <w:rFonts w:ascii="Times New Roman" w:cs="Times New Roman"/>
              </w:rPr>
            </w:pPr>
            <w:r>
              <w:rPr>
                <w:rFonts w:ascii="Times New Roman" w:cs="Times New Roman"/>
              </w:rPr>
              <w:t>友联排涝站</w:t>
            </w:r>
          </w:p>
        </w:tc>
        <w:tc>
          <w:tcPr>
            <w:tcW w:w="1979" w:type="dxa"/>
            <w:tcBorders>
              <w:top w:val="nil"/>
              <w:left w:val="nil"/>
              <w:bottom w:val="single" w:color="000000" w:sz="4" w:space="0"/>
              <w:right w:val="single" w:color="000000" w:sz="4" w:space="0"/>
            </w:tcBorders>
            <w:shd w:val="clear" w:color="auto" w:fill="auto"/>
            <w:vAlign w:val="center"/>
          </w:tcPr>
          <w:p w14:paraId="01B957DA">
            <w:pPr>
              <w:pStyle w:val="57"/>
              <w:jc w:val="center"/>
              <w:rPr>
                <w:rFonts w:ascii="Times New Roman" w:cs="Times New Roman"/>
              </w:rPr>
            </w:pPr>
            <w:r>
              <w:rPr>
                <w:rFonts w:ascii="Times New Roman" w:cs="Times New Roman"/>
              </w:rPr>
              <w:t>24吋轴流泵</w:t>
            </w:r>
          </w:p>
        </w:tc>
        <w:tc>
          <w:tcPr>
            <w:tcW w:w="1701" w:type="dxa"/>
            <w:tcBorders>
              <w:top w:val="nil"/>
              <w:left w:val="nil"/>
              <w:bottom w:val="single" w:color="000000" w:sz="4" w:space="0"/>
              <w:right w:val="single" w:color="000000" w:sz="4" w:space="0"/>
            </w:tcBorders>
            <w:shd w:val="clear" w:color="auto" w:fill="auto"/>
            <w:vAlign w:val="center"/>
          </w:tcPr>
          <w:p w14:paraId="065E1EA5">
            <w:pPr>
              <w:pStyle w:val="57"/>
              <w:jc w:val="center"/>
              <w:rPr>
                <w:rFonts w:ascii="Times New Roman" w:cs="Times New Roman"/>
              </w:rPr>
            </w:pPr>
            <w:r>
              <w:rPr>
                <w:rFonts w:ascii="Times New Roman" w:cs="Times New Roman"/>
              </w:rPr>
              <w:t>110</w:t>
            </w:r>
          </w:p>
        </w:tc>
        <w:tc>
          <w:tcPr>
            <w:tcW w:w="1177" w:type="dxa"/>
            <w:tcBorders>
              <w:top w:val="nil"/>
              <w:left w:val="nil"/>
              <w:bottom w:val="single" w:color="000000" w:sz="4" w:space="0"/>
              <w:right w:val="single" w:color="000000" w:sz="4" w:space="0"/>
            </w:tcBorders>
            <w:shd w:val="clear" w:color="auto" w:fill="auto"/>
            <w:vAlign w:val="center"/>
          </w:tcPr>
          <w:p w14:paraId="09512480">
            <w:pPr>
              <w:pStyle w:val="57"/>
              <w:jc w:val="center"/>
              <w:rPr>
                <w:rFonts w:ascii="Times New Roman" w:cs="Times New Roman"/>
              </w:rPr>
            </w:pPr>
            <w:r>
              <w:rPr>
                <w:rFonts w:ascii="Times New Roman" w:cs="Times New Roman"/>
              </w:rPr>
              <w:t>2</w:t>
            </w:r>
          </w:p>
        </w:tc>
      </w:tr>
      <w:tr w14:paraId="3B591532">
        <w:tblPrEx>
          <w:tblCellMar>
            <w:top w:w="0" w:type="dxa"/>
            <w:left w:w="108" w:type="dxa"/>
            <w:bottom w:w="0" w:type="dxa"/>
            <w:right w:w="108" w:type="dxa"/>
          </w:tblCellMar>
        </w:tblPrEx>
        <w:trPr>
          <w:trHeight w:val="20" w:hRule="atLeast"/>
        </w:trPr>
        <w:tc>
          <w:tcPr>
            <w:tcW w:w="845" w:type="dxa"/>
            <w:tcBorders>
              <w:top w:val="nil"/>
              <w:left w:val="single" w:color="000000" w:sz="4" w:space="0"/>
              <w:bottom w:val="single" w:color="000000" w:sz="4" w:space="0"/>
              <w:right w:val="single" w:color="000000" w:sz="4" w:space="0"/>
            </w:tcBorders>
            <w:shd w:val="clear" w:color="auto" w:fill="auto"/>
            <w:vAlign w:val="center"/>
          </w:tcPr>
          <w:p w14:paraId="44CA2A2F">
            <w:pPr>
              <w:pStyle w:val="57"/>
              <w:jc w:val="center"/>
              <w:rPr>
                <w:rFonts w:ascii="Times New Roman" w:cs="Times New Roman"/>
              </w:rPr>
            </w:pPr>
            <w:r>
              <w:rPr>
                <w:rFonts w:ascii="Times New Roman" w:cs="Times New Roman"/>
              </w:rPr>
              <w:t>17</w:t>
            </w:r>
          </w:p>
        </w:tc>
        <w:tc>
          <w:tcPr>
            <w:tcW w:w="1560" w:type="dxa"/>
            <w:tcBorders>
              <w:top w:val="nil"/>
              <w:left w:val="nil"/>
              <w:bottom w:val="single" w:color="000000" w:sz="4" w:space="0"/>
              <w:right w:val="single" w:color="000000" w:sz="4" w:space="0"/>
            </w:tcBorders>
            <w:shd w:val="clear" w:color="auto" w:fill="auto"/>
            <w:vAlign w:val="center"/>
          </w:tcPr>
          <w:p w14:paraId="551B0990">
            <w:pPr>
              <w:pStyle w:val="57"/>
              <w:jc w:val="center"/>
              <w:rPr>
                <w:rFonts w:ascii="Times New Roman" w:cs="Times New Roman"/>
              </w:rPr>
            </w:pPr>
            <w:r>
              <w:rPr>
                <w:rFonts w:ascii="Times New Roman" w:cs="Times New Roman"/>
              </w:rPr>
              <w:t>泰兴市</w:t>
            </w:r>
          </w:p>
        </w:tc>
        <w:tc>
          <w:tcPr>
            <w:tcW w:w="1707" w:type="dxa"/>
            <w:tcBorders>
              <w:top w:val="nil"/>
              <w:left w:val="nil"/>
              <w:bottom w:val="single" w:color="000000" w:sz="4" w:space="0"/>
              <w:right w:val="single" w:color="000000" w:sz="4" w:space="0"/>
            </w:tcBorders>
            <w:shd w:val="clear" w:color="auto" w:fill="auto"/>
            <w:vAlign w:val="center"/>
          </w:tcPr>
          <w:p w14:paraId="1ED67327">
            <w:pPr>
              <w:pStyle w:val="57"/>
              <w:jc w:val="center"/>
              <w:rPr>
                <w:rFonts w:ascii="Times New Roman" w:cs="Times New Roman"/>
              </w:rPr>
            </w:pPr>
            <w:r>
              <w:rPr>
                <w:rFonts w:ascii="Times New Roman" w:cs="Times New Roman"/>
              </w:rPr>
              <w:t>新街排涝站</w:t>
            </w:r>
          </w:p>
        </w:tc>
        <w:tc>
          <w:tcPr>
            <w:tcW w:w="1979" w:type="dxa"/>
            <w:tcBorders>
              <w:top w:val="nil"/>
              <w:left w:val="nil"/>
              <w:bottom w:val="single" w:color="000000" w:sz="4" w:space="0"/>
              <w:right w:val="single" w:color="000000" w:sz="4" w:space="0"/>
            </w:tcBorders>
            <w:shd w:val="clear" w:color="auto" w:fill="auto"/>
            <w:vAlign w:val="center"/>
          </w:tcPr>
          <w:p w14:paraId="41CCA468">
            <w:pPr>
              <w:pStyle w:val="57"/>
              <w:jc w:val="center"/>
              <w:rPr>
                <w:rFonts w:ascii="Times New Roman" w:cs="Times New Roman"/>
              </w:rPr>
            </w:pPr>
            <w:r>
              <w:rPr>
                <w:rFonts w:ascii="Times New Roman" w:cs="Times New Roman"/>
              </w:rPr>
              <w:t>12吋轴流泵</w:t>
            </w:r>
          </w:p>
        </w:tc>
        <w:tc>
          <w:tcPr>
            <w:tcW w:w="1701" w:type="dxa"/>
            <w:tcBorders>
              <w:top w:val="nil"/>
              <w:left w:val="nil"/>
              <w:bottom w:val="single" w:color="000000" w:sz="4" w:space="0"/>
              <w:right w:val="single" w:color="000000" w:sz="4" w:space="0"/>
            </w:tcBorders>
            <w:shd w:val="clear" w:color="auto" w:fill="auto"/>
            <w:vAlign w:val="center"/>
          </w:tcPr>
          <w:p w14:paraId="64F264BE">
            <w:pPr>
              <w:pStyle w:val="57"/>
              <w:jc w:val="center"/>
              <w:rPr>
                <w:rFonts w:ascii="Times New Roman" w:cs="Times New Roman"/>
              </w:rPr>
            </w:pPr>
            <w:r>
              <w:rPr>
                <w:rFonts w:ascii="Times New Roman" w:cs="Times New Roman"/>
              </w:rPr>
              <w:t>44</w:t>
            </w:r>
          </w:p>
        </w:tc>
        <w:tc>
          <w:tcPr>
            <w:tcW w:w="1177" w:type="dxa"/>
            <w:tcBorders>
              <w:top w:val="nil"/>
              <w:left w:val="nil"/>
              <w:bottom w:val="single" w:color="000000" w:sz="4" w:space="0"/>
              <w:right w:val="single" w:color="000000" w:sz="4" w:space="0"/>
            </w:tcBorders>
            <w:shd w:val="clear" w:color="auto" w:fill="auto"/>
            <w:vAlign w:val="center"/>
          </w:tcPr>
          <w:p w14:paraId="52CB2D12">
            <w:pPr>
              <w:pStyle w:val="57"/>
              <w:jc w:val="center"/>
              <w:rPr>
                <w:rFonts w:ascii="Times New Roman" w:cs="Times New Roman"/>
              </w:rPr>
            </w:pPr>
            <w:r>
              <w:rPr>
                <w:rFonts w:ascii="Times New Roman" w:cs="Times New Roman"/>
              </w:rPr>
              <w:t>0.44</w:t>
            </w:r>
          </w:p>
        </w:tc>
      </w:tr>
      <w:tr w14:paraId="256A0E2F">
        <w:tblPrEx>
          <w:tblCellMar>
            <w:top w:w="0" w:type="dxa"/>
            <w:left w:w="108" w:type="dxa"/>
            <w:bottom w:w="0" w:type="dxa"/>
            <w:right w:w="108" w:type="dxa"/>
          </w:tblCellMar>
        </w:tblPrEx>
        <w:trPr>
          <w:trHeight w:val="20" w:hRule="atLeast"/>
        </w:trPr>
        <w:tc>
          <w:tcPr>
            <w:tcW w:w="845" w:type="dxa"/>
            <w:tcBorders>
              <w:top w:val="nil"/>
              <w:left w:val="single" w:color="000000" w:sz="4" w:space="0"/>
              <w:bottom w:val="single" w:color="000000" w:sz="4" w:space="0"/>
              <w:right w:val="single" w:color="000000" w:sz="4" w:space="0"/>
            </w:tcBorders>
            <w:shd w:val="clear" w:color="auto" w:fill="auto"/>
            <w:vAlign w:val="center"/>
          </w:tcPr>
          <w:p w14:paraId="3016D001">
            <w:pPr>
              <w:pStyle w:val="57"/>
              <w:jc w:val="center"/>
              <w:rPr>
                <w:rFonts w:ascii="Times New Roman" w:cs="Times New Roman"/>
              </w:rPr>
            </w:pPr>
            <w:r>
              <w:rPr>
                <w:rFonts w:ascii="Times New Roman" w:cs="Times New Roman"/>
              </w:rPr>
              <w:t>18</w:t>
            </w:r>
          </w:p>
        </w:tc>
        <w:tc>
          <w:tcPr>
            <w:tcW w:w="1560" w:type="dxa"/>
            <w:tcBorders>
              <w:top w:val="nil"/>
              <w:left w:val="nil"/>
              <w:bottom w:val="single" w:color="000000" w:sz="4" w:space="0"/>
              <w:right w:val="single" w:color="000000" w:sz="4" w:space="0"/>
            </w:tcBorders>
            <w:shd w:val="clear" w:color="auto" w:fill="auto"/>
            <w:vAlign w:val="center"/>
          </w:tcPr>
          <w:p w14:paraId="7A8506A9">
            <w:pPr>
              <w:pStyle w:val="57"/>
              <w:jc w:val="center"/>
              <w:rPr>
                <w:rFonts w:ascii="Times New Roman" w:cs="Times New Roman"/>
              </w:rPr>
            </w:pPr>
            <w:r>
              <w:rPr>
                <w:rFonts w:ascii="Times New Roman" w:cs="Times New Roman"/>
              </w:rPr>
              <w:t>泰兴市</w:t>
            </w:r>
          </w:p>
        </w:tc>
        <w:tc>
          <w:tcPr>
            <w:tcW w:w="1707" w:type="dxa"/>
            <w:tcBorders>
              <w:top w:val="nil"/>
              <w:left w:val="nil"/>
              <w:bottom w:val="single" w:color="000000" w:sz="4" w:space="0"/>
              <w:right w:val="single" w:color="000000" w:sz="4" w:space="0"/>
            </w:tcBorders>
            <w:shd w:val="clear" w:color="auto" w:fill="auto"/>
            <w:vAlign w:val="center"/>
          </w:tcPr>
          <w:p w14:paraId="79EF635B">
            <w:pPr>
              <w:pStyle w:val="57"/>
              <w:jc w:val="center"/>
              <w:rPr>
                <w:rFonts w:ascii="Times New Roman" w:cs="Times New Roman"/>
              </w:rPr>
            </w:pPr>
            <w:r>
              <w:rPr>
                <w:rFonts w:ascii="Times New Roman" w:cs="Times New Roman"/>
              </w:rPr>
              <w:t>老口排涝站</w:t>
            </w:r>
          </w:p>
        </w:tc>
        <w:tc>
          <w:tcPr>
            <w:tcW w:w="1979" w:type="dxa"/>
            <w:tcBorders>
              <w:top w:val="nil"/>
              <w:left w:val="nil"/>
              <w:bottom w:val="single" w:color="000000" w:sz="4" w:space="0"/>
              <w:right w:val="single" w:color="000000" w:sz="4" w:space="0"/>
            </w:tcBorders>
            <w:shd w:val="clear" w:color="auto" w:fill="auto"/>
            <w:vAlign w:val="center"/>
          </w:tcPr>
          <w:p w14:paraId="0B07A1E4">
            <w:pPr>
              <w:pStyle w:val="57"/>
              <w:jc w:val="center"/>
              <w:rPr>
                <w:rFonts w:ascii="Times New Roman" w:cs="Times New Roman"/>
              </w:rPr>
            </w:pPr>
            <w:r>
              <w:rPr>
                <w:rFonts w:ascii="Times New Roman" w:cs="Times New Roman"/>
              </w:rPr>
              <w:t>24吋轴流泵</w:t>
            </w:r>
          </w:p>
        </w:tc>
        <w:tc>
          <w:tcPr>
            <w:tcW w:w="1701" w:type="dxa"/>
            <w:tcBorders>
              <w:top w:val="nil"/>
              <w:left w:val="nil"/>
              <w:bottom w:val="single" w:color="000000" w:sz="4" w:space="0"/>
              <w:right w:val="single" w:color="000000" w:sz="4" w:space="0"/>
            </w:tcBorders>
            <w:shd w:val="clear" w:color="auto" w:fill="auto"/>
            <w:vAlign w:val="center"/>
          </w:tcPr>
          <w:p w14:paraId="2EA56E50">
            <w:pPr>
              <w:pStyle w:val="57"/>
              <w:jc w:val="center"/>
              <w:rPr>
                <w:rFonts w:ascii="Times New Roman" w:cs="Times New Roman"/>
              </w:rPr>
            </w:pPr>
            <w:r>
              <w:rPr>
                <w:rFonts w:ascii="Times New Roman" w:cs="Times New Roman"/>
              </w:rPr>
              <w:t>110</w:t>
            </w:r>
          </w:p>
        </w:tc>
        <w:tc>
          <w:tcPr>
            <w:tcW w:w="1177" w:type="dxa"/>
            <w:tcBorders>
              <w:top w:val="nil"/>
              <w:left w:val="nil"/>
              <w:bottom w:val="single" w:color="000000" w:sz="4" w:space="0"/>
              <w:right w:val="single" w:color="000000" w:sz="4" w:space="0"/>
            </w:tcBorders>
            <w:shd w:val="clear" w:color="auto" w:fill="auto"/>
            <w:vAlign w:val="center"/>
          </w:tcPr>
          <w:p w14:paraId="71A393A9">
            <w:pPr>
              <w:pStyle w:val="57"/>
              <w:jc w:val="center"/>
              <w:rPr>
                <w:rFonts w:ascii="Times New Roman" w:cs="Times New Roman"/>
              </w:rPr>
            </w:pPr>
            <w:r>
              <w:rPr>
                <w:rFonts w:ascii="Times New Roman" w:cs="Times New Roman"/>
              </w:rPr>
              <w:t>2</w:t>
            </w:r>
          </w:p>
        </w:tc>
      </w:tr>
      <w:tr w14:paraId="46E4BA7D">
        <w:tblPrEx>
          <w:tblCellMar>
            <w:top w:w="0" w:type="dxa"/>
            <w:left w:w="108" w:type="dxa"/>
            <w:bottom w:w="0" w:type="dxa"/>
            <w:right w:w="108" w:type="dxa"/>
          </w:tblCellMar>
        </w:tblPrEx>
        <w:trPr>
          <w:trHeight w:val="20" w:hRule="atLeast"/>
        </w:trPr>
        <w:tc>
          <w:tcPr>
            <w:tcW w:w="845" w:type="dxa"/>
            <w:tcBorders>
              <w:top w:val="nil"/>
              <w:left w:val="single" w:color="000000" w:sz="4" w:space="0"/>
              <w:bottom w:val="single" w:color="000000" w:sz="4" w:space="0"/>
              <w:right w:val="single" w:color="000000" w:sz="4" w:space="0"/>
            </w:tcBorders>
            <w:shd w:val="clear" w:color="auto" w:fill="auto"/>
            <w:vAlign w:val="center"/>
          </w:tcPr>
          <w:p w14:paraId="5D519A3B">
            <w:pPr>
              <w:pStyle w:val="57"/>
              <w:jc w:val="center"/>
              <w:rPr>
                <w:rFonts w:ascii="Times New Roman" w:cs="Times New Roman"/>
              </w:rPr>
            </w:pPr>
            <w:r>
              <w:rPr>
                <w:rFonts w:ascii="Times New Roman" w:cs="Times New Roman"/>
              </w:rPr>
              <w:t>19</w:t>
            </w:r>
          </w:p>
        </w:tc>
        <w:tc>
          <w:tcPr>
            <w:tcW w:w="1560" w:type="dxa"/>
            <w:tcBorders>
              <w:top w:val="nil"/>
              <w:left w:val="nil"/>
              <w:bottom w:val="single" w:color="000000" w:sz="4" w:space="0"/>
              <w:right w:val="single" w:color="000000" w:sz="4" w:space="0"/>
            </w:tcBorders>
            <w:shd w:val="clear" w:color="auto" w:fill="auto"/>
            <w:vAlign w:val="center"/>
          </w:tcPr>
          <w:p w14:paraId="780D738C">
            <w:pPr>
              <w:pStyle w:val="57"/>
              <w:jc w:val="center"/>
              <w:rPr>
                <w:rFonts w:ascii="Times New Roman" w:cs="Times New Roman"/>
              </w:rPr>
            </w:pPr>
            <w:r>
              <w:rPr>
                <w:rFonts w:ascii="Times New Roman" w:cs="Times New Roman"/>
              </w:rPr>
              <w:t>泰兴市</w:t>
            </w:r>
          </w:p>
        </w:tc>
        <w:tc>
          <w:tcPr>
            <w:tcW w:w="1707" w:type="dxa"/>
            <w:tcBorders>
              <w:top w:val="nil"/>
              <w:left w:val="nil"/>
              <w:bottom w:val="single" w:color="000000" w:sz="4" w:space="0"/>
              <w:right w:val="single" w:color="000000" w:sz="4" w:space="0"/>
            </w:tcBorders>
            <w:shd w:val="clear" w:color="auto" w:fill="auto"/>
            <w:vAlign w:val="center"/>
          </w:tcPr>
          <w:p w14:paraId="297A87D3">
            <w:pPr>
              <w:pStyle w:val="57"/>
              <w:jc w:val="center"/>
              <w:rPr>
                <w:rFonts w:ascii="Times New Roman" w:cs="Times New Roman"/>
              </w:rPr>
            </w:pPr>
            <w:r>
              <w:rPr>
                <w:rFonts w:ascii="Times New Roman" w:cs="Times New Roman"/>
              </w:rPr>
              <w:t>新星排涝站</w:t>
            </w:r>
          </w:p>
        </w:tc>
        <w:tc>
          <w:tcPr>
            <w:tcW w:w="1979" w:type="dxa"/>
            <w:tcBorders>
              <w:top w:val="nil"/>
              <w:left w:val="nil"/>
              <w:bottom w:val="single" w:color="000000" w:sz="4" w:space="0"/>
              <w:right w:val="single" w:color="000000" w:sz="4" w:space="0"/>
            </w:tcBorders>
            <w:shd w:val="clear" w:color="auto" w:fill="auto"/>
            <w:vAlign w:val="center"/>
          </w:tcPr>
          <w:p w14:paraId="0789DEDE">
            <w:pPr>
              <w:pStyle w:val="57"/>
              <w:jc w:val="center"/>
              <w:rPr>
                <w:rFonts w:ascii="Times New Roman" w:cs="Times New Roman"/>
              </w:rPr>
            </w:pPr>
            <w:r>
              <w:rPr>
                <w:rFonts w:ascii="Times New Roman" w:cs="Times New Roman"/>
              </w:rPr>
              <w:t>24吋轴流泵</w:t>
            </w:r>
          </w:p>
        </w:tc>
        <w:tc>
          <w:tcPr>
            <w:tcW w:w="1701" w:type="dxa"/>
            <w:tcBorders>
              <w:top w:val="nil"/>
              <w:left w:val="nil"/>
              <w:bottom w:val="single" w:color="000000" w:sz="4" w:space="0"/>
              <w:right w:val="single" w:color="000000" w:sz="4" w:space="0"/>
            </w:tcBorders>
            <w:shd w:val="clear" w:color="auto" w:fill="auto"/>
            <w:vAlign w:val="center"/>
          </w:tcPr>
          <w:p w14:paraId="275AA66F">
            <w:pPr>
              <w:pStyle w:val="57"/>
              <w:jc w:val="center"/>
              <w:rPr>
                <w:rFonts w:ascii="Times New Roman" w:cs="Times New Roman"/>
              </w:rPr>
            </w:pPr>
            <w:r>
              <w:rPr>
                <w:rFonts w:ascii="Times New Roman" w:cs="Times New Roman"/>
              </w:rPr>
              <w:t>165</w:t>
            </w:r>
          </w:p>
        </w:tc>
        <w:tc>
          <w:tcPr>
            <w:tcW w:w="1177" w:type="dxa"/>
            <w:tcBorders>
              <w:top w:val="nil"/>
              <w:left w:val="nil"/>
              <w:bottom w:val="single" w:color="000000" w:sz="4" w:space="0"/>
              <w:right w:val="single" w:color="000000" w:sz="4" w:space="0"/>
            </w:tcBorders>
            <w:shd w:val="clear" w:color="auto" w:fill="auto"/>
            <w:vAlign w:val="center"/>
          </w:tcPr>
          <w:p w14:paraId="355582A4">
            <w:pPr>
              <w:pStyle w:val="57"/>
              <w:jc w:val="center"/>
              <w:rPr>
                <w:rFonts w:ascii="Times New Roman" w:cs="Times New Roman"/>
              </w:rPr>
            </w:pPr>
            <w:r>
              <w:rPr>
                <w:rFonts w:ascii="Times New Roman" w:cs="Times New Roman"/>
              </w:rPr>
              <w:t>3</w:t>
            </w:r>
          </w:p>
        </w:tc>
      </w:tr>
      <w:tr w14:paraId="4C743091">
        <w:tblPrEx>
          <w:tblCellMar>
            <w:top w:w="0" w:type="dxa"/>
            <w:left w:w="108" w:type="dxa"/>
            <w:bottom w:w="0" w:type="dxa"/>
            <w:right w:w="108" w:type="dxa"/>
          </w:tblCellMar>
        </w:tblPrEx>
        <w:trPr>
          <w:trHeight w:val="20" w:hRule="atLeast"/>
        </w:trPr>
        <w:tc>
          <w:tcPr>
            <w:tcW w:w="845" w:type="dxa"/>
            <w:tcBorders>
              <w:top w:val="nil"/>
              <w:left w:val="single" w:color="000000" w:sz="4" w:space="0"/>
              <w:bottom w:val="single" w:color="000000" w:sz="4" w:space="0"/>
              <w:right w:val="single" w:color="000000" w:sz="4" w:space="0"/>
            </w:tcBorders>
            <w:shd w:val="clear" w:color="auto" w:fill="auto"/>
            <w:vAlign w:val="center"/>
          </w:tcPr>
          <w:p w14:paraId="4EA9DF65">
            <w:pPr>
              <w:pStyle w:val="57"/>
              <w:jc w:val="center"/>
              <w:rPr>
                <w:rFonts w:ascii="Times New Roman" w:cs="Times New Roman"/>
              </w:rPr>
            </w:pPr>
            <w:r>
              <w:rPr>
                <w:rFonts w:ascii="Times New Roman" w:cs="Times New Roman"/>
              </w:rPr>
              <w:t>20</w:t>
            </w:r>
          </w:p>
        </w:tc>
        <w:tc>
          <w:tcPr>
            <w:tcW w:w="1560" w:type="dxa"/>
            <w:tcBorders>
              <w:top w:val="nil"/>
              <w:left w:val="nil"/>
              <w:bottom w:val="single" w:color="000000" w:sz="4" w:space="0"/>
              <w:right w:val="single" w:color="000000" w:sz="4" w:space="0"/>
            </w:tcBorders>
            <w:shd w:val="clear" w:color="auto" w:fill="auto"/>
            <w:vAlign w:val="center"/>
          </w:tcPr>
          <w:p w14:paraId="485CE5B2">
            <w:pPr>
              <w:pStyle w:val="57"/>
              <w:jc w:val="center"/>
              <w:rPr>
                <w:rFonts w:ascii="Times New Roman" w:cs="Times New Roman"/>
              </w:rPr>
            </w:pPr>
            <w:r>
              <w:rPr>
                <w:rFonts w:ascii="Times New Roman" w:cs="Times New Roman"/>
              </w:rPr>
              <w:t>泰兴市</w:t>
            </w:r>
          </w:p>
        </w:tc>
        <w:tc>
          <w:tcPr>
            <w:tcW w:w="1707" w:type="dxa"/>
            <w:tcBorders>
              <w:top w:val="nil"/>
              <w:left w:val="nil"/>
              <w:bottom w:val="single" w:color="000000" w:sz="4" w:space="0"/>
              <w:right w:val="single" w:color="000000" w:sz="4" w:space="0"/>
            </w:tcBorders>
            <w:shd w:val="clear" w:color="auto" w:fill="auto"/>
            <w:vAlign w:val="center"/>
          </w:tcPr>
          <w:p w14:paraId="0D5FC9A6">
            <w:pPr>
              <w:pStyle w:val="57"/>
              <w:jc w:val="center"/>
              <w:rPr>
                <w:rFonts w:ascii="Times New Roman" w:cs="Times New Roman"/>
              </w:rPr>
            </w:pPr>
            <w:r>
              <w:rPr>
                <w:rFonts w:ascii="Times New Roman" w:cs="Times New Roman"/>
              </w:rPr>
              <w:t>刘高排涝站</w:t>
            </w:r>
          </w:p>
        </w:tc>
        <w:tc>
          <w:tcPr>
            <w:tcW w:w="1979" w:type="dxa"/>
            <w:tcBorders>
              <w:top w:val="nil"/>
              <w:left w:val="nil"/>
              <w:bottom w:val="single" w:color="000000" w:sz="4" w:space="0"/>
              <w:right w:val="single" w:color="000000" w:sz="4" w:space="0"/>
            </w:tcBorders>
            <w:shd w:val="clear" w:color="auto" w:fill="auto"/>
            <w:vAlign w:val="center"/>
          </w:tcPr>
          <w:p w14:paraId="06FF7C99">
            <w:pPr>
              <w:pStyle w:val="57"/>
              <w:jc w:val="center"/>
              <w:rPr>
                <w:rFonts w:ascii="Times New Roman" w:cs="Times New Roman"/>
              </w:rPr>
            </w:pPr>
            <w:r>
              <w:rPr>
                <w:rFonts w:ascii="Times New Roman" w:cs="Times New Roman"/>
              </w:rPr>
              <w:t>32吋轴流泵</w:t>
            </w:r>
          </w:p>
        </w:tc>
        <w:tc>
          <w:tcPr>
            <w:tcW w:w="1701" w:type="dxa"/>
            <w:tcBorders>
              <w:top w:val="nil"/>
              <w:left w:val="nil"/>
              <w:bottom w:val="single" w:color="000000" w:sz="4" w:space="0"/>
              <w:right w:val="single" w:color="000000" w:sz="4" w:space="0"/>
            </w:tcBorders>
            <w:shd w:val="clear" w:color="auto" w:fill="auto"/>
            <w:vAlign w:val="center"/>
          </w:tcPr>
          <w:p w14:paraId="19F59F84">
            <w:pPr>
              <w:pStyle w:val="57"/>
              <w:jc w:val="center"/>
              <w:rPr>
                <w:rFonts w:ascii="Times New Roman" w:cs="Times New Roman"/>
              </w:rPr>
            </w:pPr>
            <w:r>
              <w:rPr>
                <w:rFonts w:ascii="Times New Roman" w:cs="Times New Roman"/>
              </w:rPr>
              <w:t>220</w:t>
            </w:r>
          </w:p>
        </w:tc>
        <w:tc>
          <w:tcPr>
            <w:tcW w:w="1177" w:type="dxa"/>
            <w:tcBorders>
              <w:top w:val="nil"/>
              <w:left w:val="nil"/>
              <w:bottom w:val="single" w:color="000000" w:sz="4" w:space="0"/>
              <w:right w:val="single" w:color="000000" w:sz="4" w:space="0"/>
            </w:tcBorders>
            <w:shd w:val="clear" w:color="auto" w:fill="auto"/>
            <w:vAlign w:val="center"/>
          </w:tcPr>
          <w:p w14:paraId="50347A7E">
            <w:pPr>
              <w:pStyle w:val="57"/>
              <w:jc w:val="center"/>
              <w:rPr>
                <w:rFonts w:ascii="Times New Roman" w:cs="Times New Roman"/>
              </w:rPr>
            </w:pPr>
            <w:r>
              <w:rPr>
                <w:rFonts w:ascii="Times New Roman" w:cs="Times New Roman"/>
              </w:rPr>
              <w:t>4</w:t>
            </w:r>
          </w:p>
        </w:tc>
      </w:tr>
      <w:tr w14:paraId="18489B09">
        <w:tblPrEx>
          <w:tblCellMar>
            <w:top w:w="0" w:type="dxa"/>
            <w:left w:w="108" w:type="dxa"/>
            <w:bottom w:w="0" w:type="dxa"/>
            <w:right w:w="108" w:type="dxa"/>
          </w:tblCellMar>
        </w:tblPrEx>
        <w:trPr>
          <w:trHeight w:val="20" w:hRule="atLeast"/>
        </w:trPr>
        <w:tc>
          <w:tcPr>
            <w:tcW w:w="845" w:type="dxa"/>
            <w:tcBorders>
              <w:top w:val="nil"/>
              <w:left w:val="single" w:color="000000" w:sz="4" w:space="0"/>
              <w:bottom w:val="single" w:color="000000" w:sz="4" w:space="0"/>
              <w:right w:val="single" w:color="000000" w:sz="4" w:space="0"/>
            </w:tcBorders>
            <w:shd w:val="clear" w:color="auto" w:fill="auto"/>
            <w:vAlign w:val="center"/>
          </w:tcPr>
          <w:p w14:paraId="4B86DF90">
            <w:pPr>
              <w:pStyle w:val="57"/>
              <w:jc w:val="center"/>
              <w:rPr>
                <w:rFonts w:ascii="Times New Roman" w:cs="Times New Roman"/>
              </w:rPr>
            </w:pPr>
            <w:r>
              <w:rPr>
                <w:rFonts w:ascii="Times New Roman" w:cs="Times New Roman"/>
              </w:rPr>
              <w:t>21</w:t>
            </w:r>
          </w:p>
        </w:tc>
        <w:tc>
          <w:tcPr>
            <w:tcW w:w="1560" w:type="dxa"/>
            <w:tcBorders>
              <w:top w:val="nil"/>
              <w:left w:val="nil"/>
              <w:bottom w:val="single" w:color="000000" w:sz="4" w:space="0"/>
              <w:right w:val="single" w:color="000000" w:sz="4" w:space="0"/>
            </w:tcBorders>
            <w:shd w:val="clear" w:color="auto" w:fill="auto"/>
            <w:vAlign w:val="center"/>
          </w:tcPr>
          <w:p w14:paraId="13AAFD70">
            <w:pPr>
              <w:pStyle w:val="57"/>
              <w:jc w:val="center"/>
              <w:rPr>
                <w:rFonts w:ascii="Times New Roman" w:cs="Times New Roman"/>
              </w:rPr>
            </w:pPr>
            <w:r>
              <w:rPr>
                <w:rFonts w:ascii="Times New Roman" w:cs="Times New Roman"/>
              </w:rPr>
              <w:t>泰兴市</w:t>
            </w:r>
          </w:p>
        </w:tc>
        <w:tc>
          <w:tcPr>
            <w:tcW w:w="1707" w:type="dxa"/>
            <w:tcBorders>
              <w:top w:val="nil"/>
              <w:left w:val="nil"/>
              <w:bottom w:val="single" w:color="000000" w:sz="4" w:space="0"/>
              <w:right w:val="single" w:color="000000" w:sz="4" w:space="0"/>
            </w:tcBorders>
            <w:shd w:val="clear" w:color="auto" w:fill="auto"/>
            <w:vAlign w:val="center"/>
          </w:tcPr>
          <w:p w14:paraId="1B115E69">
            <w:pPr>
              <w:pStyle w:val="57"/>
              <w:jc w:val="center"/>
              <w:rPr>
                <w:rFonts w:ascii="Times New Roman" w:cs="Times New Roman"/>
              </w:rPr>
            </w:pPr>
            <w:r>
              <w:rPr>
                <w:rFonts w:ascii="Times New Roman" w:cs="Times New Roman"/>
              </w:rPr>
              <w:t>养殖场排涝站</w:t>
            </w:r>
          </w:p>
        </w:tc>
        <w:tc>
          <w:tcPr>
            <w:tcW w:w="1979" w:type="dxa"/>
            <w:tcBorders>
              <w:top w:val="nil"/>
              <w:left w:val="nil"/>
              <w:bottom w:val="single" w:color="000000" w:sz="4" w:space="0"/>
              <w:right w:val="single" w:color="000000" w:sz="4" w:space="0"/>
            </w:tcBorders>
            <w:shd w:val="clear" w:color="auto" w:fill="auto"/>
            <w:vAlign w:val="center"/>
          </w:tcPr>
          <w:p w14:paraId="664CF804">
            <w:pPr>
              <w:pStyle w:val="57"/>
              <w:jc w:val="center"/>
              <w:rPr>
                <w:rFonts w:ascii="Times New Roman" w:cs="Times New Roman"/>
              </w:rPr>
            </w:pPr>
            <w:r>
              <w:rPr>
                <w:rFonts w:ascii="Times New Roman" w:cs="Times New Roman"/>
              </w:rPr>
              <w:t>16吋轴流泵</w:t>
            </w:r>
          </w:p>
        </w:tc>
        <w:tc>
          <w:tcPr>
            <w:tcW w:w="1701" w:type="dxa"/>
            <w:tcBorders>
              <w:top w:val="nil"/>
              <w:left w:val="nil"/>
              <w:bottom w:val="single" w:color="000000" w:sz="4" w:space="0"/>
              <w:right w:val="single" w:color="000000" w:sz="4" w:space="0"/>
            </w:tcBorders>
            <w:shd w:val="clear" w:color="auto" w:fill="auto"/>
            <w:vAlign w:val="center"/>
          </w:tcPr>
          <w:p w14:paraId="61D06923">
            <w:pPr>
              <w:pStyle w:val="57"/>
              <w:jc w:val="center"/>
              <w:rPr>
                <w:rFonts w:ascii="Times New Roman" w:cs="Times New Roman"/>
              </w:rPr>
            </w:pPr>
            <w:r>
              <w:rPr>
                <w:rFonts w:ascii="Times New Roman" w:cs="Times New Roman"/>
              </w:rPr>
              <w:t>37</w:t>
            </w:r>
          </w:p>
        </w:tc>
        <w:tc>
          <w:tcPr>
            <w:tcW w:w="1177" w:type="dxa"/>
            <w:tcBorders>
              <w:top w:val="nil"/>
              <w:left w:val="nil"/>
              <w:bottom w:val="single" w:color="000000" w:sz="4" w:space="0"/>
              <w:right w:val="single" w:color="000000" w:sz="4" w:space="0"/>
            </w:tcBorders>
            <w:shd w:val="clear" w:color="auto" w:fill="auto"/>
            <w:vAlign w:val="center"/>
          </w:tcPr>
          <w:p w14:paraId="7DD0C330">
            <w:pPr>
              <w:pStyle w:val="57"/>
              <w:jc w:val="center"/>
              <w:rPr>
                <w:rFonts w:ascii="Times New Roman" w:cs="Times New Roman"/>
              </w:rPr>
            </w:pPr>
            <w:r>
              <w:rPr>
                <w:rFonts w:ascii="Times New Roman" w:cs="Times New Roman"/>
              </w:rPr>
              <w:t>0.4</w:t>
            </w:r>
          </w:p>
        </w:tc>
      </w:tr>
      <w:tr w14:paraId="59F5736D">
        <w:tblPrEx>
          <w:tblCellMar>
            <w:top w:w="0" w:type="dxa"/>
            <w:left w:w="108" w:type="dxa"/>
            <w:bottom w:w="0" w:type="dxa"/>
            <w:right w:w="108" w:type="dxa"/>
          </w:tblCellMar>
        </w:tblPrEx>
        <w:trPr>
          <w:trHeight w:val="20" w:hRule="atLeast"/>
        </w:trPr>
        <w:tc>
          <w:tcPr>
            <w:tcW w:w="845" w:type="dxa"/>
            <w:tcBorders>
              <w:top w:val="nil"/>
              <w:left w:val="single" w:color="000000" w:sz="4" w:space="0"/>
              <w:bottom w:val="single" w:color="000000" w:sz="4" w:space="0"/>
              <w:right w:val="single" w:color="000000" w:sz="4" w:space="0"/>
            </w:tcBorders>
            <w:shd w:val="clear" w:color="auto" w:fill="auto"/>
            <w:vAlign w:val="center"/>
          </w:tcPr>
          <w:p w14:paraId="709C58A1">
            <w:pPr>
              <w:pStyle w:val="57"/>
              <w:jc w:val="center"/>
              <w:rPr>
                <w:rFonts w:ascii="Times New Roman" w:cs="Times New Roman"/>
              </w:rPr>
            </w:pPr>
            <w:r>
              <w:rPr>
                <w:rFonts w:ascii="Times New Roman" w:cs="Times New Roman"/>
              </w:rPr>
              <w:t>22</w:t>
            </w:r>
          </w:p>
        </w:tc>
        <w:tc>
          <w:tcPr>
            <w:tcW w:w="1560" w:type="dxa"/>
            <w:tcBorders>
              <w:top w:val="nil"/>
              <w:left w:val="nil"/>
              <w:bottom w:val="single" w:color="000000" w:sz="4" w:space="0"/>
              <w:right w:val="single" w:color="000000" w:sz="4" w:space="0"/>
            </w:tcBorders>
            <w:shd w:val="clear" w:color="auto" w:fill="auto"/>
            <w:vAlign w:val="center"/>
          </w:tcPr>
          <w:p w14:paraId="0F38020C">
            <w:pPr>
              <w:pStyle w:val="57"/>
              <w:jc w:val="center"/>
              <w:rPr>
                <w:rFonts w:ascii="Times New Roman" w:cs="Times New Roman"/>
              </w:rPr>
            </w:pPr>
            <w:r>
              <w:rPr>
                <w:rFonts w:ascii="Times New Roman" w:cs="Times New Roman"/>
              </w:rPr>
              <w:t>泰兴市</w:t>
            </w:r>
          </w:p>
        </w:tc>
        <w:tc>
          <w:tcPr>
            <w:tcW w:w="1707" w:type="dxa"/>
            <w:tcBorders>
              <w:top w:val="nil"/>
              <w:left w:val="nil"/>
              <w:bottom w:val="single" w:color="000000" w:sz="4" w:space="0"/>
              <w:right w:val="single" w:color="000000" w:sz="4" w:space="0"/>
            </w:tcBorders>
            <w:shd w:val="clear" w:color="auto" w:fill="auto"/>
            <w:vAlign w:val="center"/>
          </w:tcPr>
          <w:p w14:paraId="7318FD10">
            <w:pPr>
              <w:pStyle w:val="57"/>
              <w:jc w:val="center"/>
              <w:rPr>
                <w:rFonts w:ascii="Times New Roman" w:cs="Times New Roman"/>
              </w:rPr>
            </w:pPr>
            <w:r>
              <w:rPr>
                <w:rFonts w:ascii="Times New Roman" w:cs="Times New Roman"/>
              </w:rPr>
              <w:t>五圩排涝站</w:t>
            </w:r>
          </w:p>
        </w:tc>
        <w:tc>
          <w:tcPr>
            <w:tcW w:w="1979" w:type="dxa"/>
            <w:tcBorders>
              <w:top w:val="nil"/>
              <w:left w:val="nil"/>
              <w:bottom w:val="single" w:color="000000" w:sz="4" w:space="0"/>
              <w:right w:val="single" w:color="000000" w:sz="4" w:space="0"/>
            </w:tcBorders>
            <w:shd w:val="clear" w:color="auto" w:fill="auto"/>
            <w:vAlign w:val="center"/>
          </w:tcPr>
          <w:p w14:paraId="0BCB5C50">
            <w:pPr>
              <w:pStyle w:val="57"/>
              <w:jc w:val="center"/>
              <w:rPr>
                <w:rFonts w:ascii="Times New Roman" w:cs="Times New Roman"/>
              </w:rPr>
            </w:pPr>
            <w:r>
              <w:rPr>
                <w:rFonts w:ascii="Times New Roman" w:cs="Times New Roman"/>
              </w:rPr>
              <w:t>32吋轴流泵</w:t>
            </w:r>
          </w:p>
        </w:tc>
        <w:tc>
          <w:tcPr>
            <w:tcW w:w="1701" w:type="dxa"/>
            <w:tcBorders>
              <w:top w:val="nil"/>
              <w:left w:val="nil"/>
              <w:bottom w:val="single" w:color="000000" w:sz="4" w:space="0"/>
              <w:right w:val="single" w:color="000000" w:sz="4" w:space="0"/>
            </w:tcBorders>
            <w:shd w:val="clear" w:color="auto" w:fill="auto"/>
            <w:vAlign w:val="center"/>
          </w:tcPr>
          <w:p w14:paraId="739D3B21">
            <w:pPr>
              <w:pStyle w:val="57"/>
              <w:jc w:val="center"/>
              <w:rPr>
                <w:rFonts w:ascii="Times New Roman" w:cs="Times New Roman"/>
              </w:rPr>
            </w:pPr>
            <w:r>
              <w:rPr>
                <w:rFonts w:ascii="Times New Roman" w:cs="Times New Roman"/>
              </w:rPr>
              <w:t>110</w:t>
            </w:r>
          </w:p>
        </w:tc>
        <w:tc>
          <w:tcPr>
            <w:tcW w:w="1177" w:type="dxa"/>
            <w:tcBorders>
              <w:top w:val="nil"/>
              <w:left w:val="nil"/>
              <w:bottom w:val="single" w:color="000000" w:sz="4" w:space="0"/>
              <w:right w:val="single" w:color="000000" w:sz="4" w:space="0"/>
            </w:tcBorders>
            <w:shd w:val="clear" w:color="auto" w:fill="auto"/>
            <w:vAlign w:val="center"/>
          </w:tcPr>
          <w:p w14:paraId="0AC9946E">
            <w:pPr>
              <w:pStyle w:val="57"/>
              <w:jc w:val="center"/>
              <w:rPr>
                <w:rFonts w:ascii="Times New Roman" w:cs="Times New Roman"/>
              </w:rPr>
            </w:pPr>
            <w:r>
              <w:rPr>
                <w:rFonts w:ascii="Times New Roman" w:cs="Times New Roman"/>
              </w:rPr>
              <w:t>2</w:t>
            </w:r>
          </w:p>
        </w:tc>
      </w:tr>
      <w:tr w14:paraId="66CB2053">
        <w:tblPrEx>
          <w:tblCellMar>
            <w:top w:w="0" w:type="dxa"/>
            <w:left w:w="108" w:type="dxa"/>
            <w:bottom w:w="0" w:type="dxa"/>
            <w:right w:w="108" w:type="dxa"/>
          </w:tblCellMar>
        </w:tblPrEx>
        <w:trPr>
          <w:trHeight w:val="20" w:hRule="atLeast"/>
        </w:trPr>
        <w:tc>
          <w:tcPr>
            <w:tcW w:w="845" w:type="dxa"/>
            <w:tcBorders>
              <w:top w:val="nil"/>
              <w:left w:val="single" w:color="000000" w:sz="4" w:space="0"/>
              <w:bottom w:val="single" w:color="000000" w:sz="4" w:space="0"/>
              <w:right w:val="single" w:color="000000" w:sz="4" w:space="0"/>
            </w:tcBorders>
            <w:shd w:val="clear" w:color="auto" w:fill="auto"/>
            <w:vAlign w:val="center"/>
          </w:tcPr>
          <w:p w14:paraId="0CD5C798">
            <w:pPr>
              <w:pStyle w:val="57"/>
              <w:jc w:val="center"/>
              <w:rPr>
                <w:rFonts w:ascii="Times New Roman" w:cs="Times New Roman"/>
              </w:rPr>
            </w:pPr>
            <w:r>
              <w:rPr>
                <w:rFonts w:ascii="Times New Roman" w:cs="Times New Roman"/>
              </w:rPr>
              <w:t>23</w:t>
            </w:r>
          </w:p>
        </w:tc>
        <w:tc>
          <w:tcPr>
            <w:tcW w:w="1560" w:type="dxa"/>
            <w:tcBorders>
              <w:top w:val="nil"/>
              <w:left w:val="nil"/>
              <w:bottom w:val="single" w:color="000000" w:sz="4" w:space="0"/>
              <w:right w:val="single" w:color="000000" w:sz="4" w:space="0"/>
            </w:tcBorders>
            <w:shd w:val="clear" w:color="auto" w:fill="auto"/>
            <w:vAlign w:val="center"/>
          </w:tcPr>
          <w:p w14:paraId="3049F5A2">
            <w:pPr>
              <w:pStyle w:val="57"/>
              <w:jc w:val="center"/>
              <w:rPr>
                <w:rFonts w:ascii="Times New Roman" w:cs="Times New Roman"/>
              </w:rPr>
            </w:pPr>
            <w:r>
              <w:rPr>
                <w:rFonts w:ascii="Times New Roman" w:cs="Times New Roman"/>
              </w:rPr>
              <w:t>泰兴市</w:t>
            </w:r>
          </w:p>
        </w:tc>
        <w:tc>
          <w:tcPr>
            <w:tcW w:w="1707" w:type="dxa"/>
            <w:tcBorders>
              <w:top w:val="nil"/>
              <w:left w:val="nil"/>
              <w:bottom w:val="single" w:color="000000" w:sz="4" w:space="0"/>
              <w:right w:val="single" w:color="000000" w:sz="4" w:space="0"/>
            </w:tcBorders>
            <w:shd w:val="clear" w:color="auto" w:fill="auto"/>
            <w:vAlign w:val="center"/>
          </w:tcPr>
          <w:p w14:paraId="7957CA33">
            <w:pPr>
              <w:pStyle w:val="57"/>
              <w:jc w:val="center"/>
              <w:rPr>
                <w:rFonts w:ascii="Times New Roman" w:cs="Times New Roman"/>
              </w:rPr>
            </w:pPr>
            <w:r>
              <w:rPr>
                <w:rFonts w:ascii="Times New Roman" w:cs="Times New Roman"/>
              </w:rPr>
              <w:t>念三排涝站</w:t>
            </w:r>
          </w:p>
        </w:tc>
        <w:tc>
          <w:tcPr>
            <w:tcW w:w="1979" w:type="dxa"/>
            <w:tcBorders>
              <w:top w:val="nil"/>
              <w:left w:val="nil"/>
              <w:bottom w:val="single" w:color="000000" w:sz="4" w:space="0"/>
              <w:right w:val="single" w:color="000000" w:sz="4" w:space="0"/>
            </w:tcBorders>
            <w:shd w:val="clear" w:color="auto" w:fill="auto"/>
            <w:vAlign w:val="center"/>
          </w:tcPr>
          <w:p w14:paraId="4EEB0A76">
            <w:pPr>
              <w:pStyle w:val="57"/>
              <w:jc w:val="center"/>
              <w:rPr>
                <w:rFonts w:ascii="Times New Roman" w:cs="Times New Roman"/>
              </w:rPr>
            </w:pPr>
            <w:r>
              <w:rPr>
                <w:rFonts w:ascii="Times New Roman" w:cs="Times New Roman"/>
              </w:rPr>
              <w:t>32吋轴流泵</w:t>
            </w:r>
          </w:p>
        </w:tc>
        <w:tc>
          <w:tcPr>
            <w:tcW w:w="1701" w:type="dxa"/>
            <w:tcBorders>
              <w:top w:val="nil"/>
              <w:left w:val="nil"/>
              <w:bottom w:val="single" w:color="000000" w:sz="4" w:space="0"/>
              <w:right w:val="single" w:color="000000" w:sz="4" w:space="0"/>
            </w:tcBorders>
            <w:shd w:val="clear" w:color="auto" w:fill="auto"/>
            <w:vAlign w:val="center"/>
          </w:tcPr>
          <w:p w14:paraId="168B9B91">
            <w:pPr>
              <w:pStyle w:val="57"/>
              <w:jc w:val="center"/>
              <w:rPr>
                <w:rFonts w:ascii="Times New Roman" w:cs="Times New Roman"/>
              </w:rPr>
            </w:pPr>
            <w:r>
              <w:rPr>
                <w:rFonts w:ascii="Times New Roman" w:cs="Times New Roman"/>
              </w:rPr>
              <w:t>65</w:t>
            </w:r>
          </w:p>
        </w:tc>
        <w:tc>
          <w:tcPr>
            <w:tcW w:w="1177" w:type="dxa"/>
            <w:tcBorders>
              <w:top w:val="nil"/>
              <w:left w:val="nil"/>
              <w:bottom w:val="single" w:color="000000" w:sz="4" w:space="0"/>
              <w:right w:val="single" w:color="000000" w:sz="4" w:space="0"/>
            </w:tcBorders>
            <w:shd w:val="clear" w:color="auto" w:fill="auto"/>
            <w:vAlign w:val="center"/>
          </w:tcPr>
          <w:p w14:paraId="5F9F0F8E">
            <w:pPr>
              <w:pStyle w:val="57"/>
              <w:jc w:val="center"/>
              <w:rPr>
                <w:rFonts w:ascii="Times New Roman" w:cs="Times New Roman"/>
              </w:rPr>
            </w:pPr>
            <w:r>
              <w:rPr>
                <w:rFonts w:ascii="Times New Roman" w:cs="Times New Roman"/>
              </w:rPr>
              <w:t>1</w:t>
            </w:r>
          </w:p>
        </w:tc>
      </w:tr>
      <w:tr w14:paraId="77F27A1C">
        <w:tblPrEx>
          <w:tblCellMar>
            <w:top w:w="0" w:type="dxa"/>
            <w:left w:w="108" w:type="dxa"/>
            <w:bottom w:w="0" w:type="dxa"/>
            <w:right w:w="108" w:type="dxa"/>
          </w:tblCellMar>
        </w:tblPrEx>
        <w:trPr>
          <w:trHeight w:val="20" w:hRule="atLeast"/>
        </w:trPr>
        <w:tc>
          <w:tcPr>
            <w:tcW w:w="845" w:type="dxa"/>
            <w:tcBorders>
              <w:top w:val="nil"/>
              <w:left w:val="single" w:color="000000" w:sz="4" w:space="0"/>
              <w:bottom w:val="single" w:color="000000" w:sz="4" w:space="0"/>
              <w:right w:val="single" w:color="000000" w:sz="4" w:space="0"/>
            </w:tcBorders>
            <w:shd w:val="clear" w:color="auto" w:fill="auto"/>
            <w:vAlign w:val="center"/>
          </w:tcPr>
          <w:p w14:paraId="7362E2C4">
            <w:pPr>
              <w:pStyle w:val="57"/>
              <w:jc w:val="center"/>
              <w:rPr>
                <w:rFonts w:ascii="Times New Roman" w:cs="Times New Roman"/>
              </w:rPr>
            </w:pPr>
            <w:r>
              <w:rPr>
                <w:rFonts w:ascii="Times New Roman" w:cs="Times New Roman"/>
              </w:rPr>
              <w:t>24</w:t>
            </w:r>
          </w:p>
        </w:tc>
        <w:tc>
          <w:tcPr>
            <w:tcW w:w="1560" w:type="dxa"/>
            <w:tcBorders>
              <w:top w:val="nil"/>
              <w:left w:val="nil"/>
              <w:bottom w:val="single" w:color="000000" w:sz="4" w:space="0"/>
              <w:right w:val="single" w:color="000000" w:sz="4" w:space="0"/>
            </w:tcBorders>
            <w:shd w:val="clear" w:color="auto" w:fill="auto"/>
            <w:vAlign w:val="center"/>
          </w:tcPr>
          <w:p w14:paraId="1B11DC8E">
            <w:pPr>
              <w:pStyle w:val="57"/>
              <w:jc w:val="center"/>
              <w:rPr>
                <w:rFonts w:ascii="Times New Roman" w:cs="Times New Roman"/>
              </w:rPr>
            </w:pPr>
            <w:r>
              <w:rPr>
                <w:rFonts w:ascii="Times New Roman" w:cs="Times New Roman"/>
              </w:rPr>
              <w:t>泰兴市</w:t>
            </w:r>
          </w:p>
        </w:tc>
        <w:tc>
          <w:tcPr>
            <w:tcW w:w="1707" w:type="dxa"/>
            <w:tcBorders>
              <w:top w:val="nil"/>
              <w:left w:val="nil"/>
              <w:bottom w:val="single" w:color="000000" w:sz="4" w:space="0"/>
              <w:right w:val="single" w:color="000000" w:sz="4" w:space="0"/>
            </w:tcBorders>
            <w:shd w:val="clear" w:color="auto" w:fill="auto"/>
            <w:vAlign w:val="center"/>
          </w:tcPr>
          <w:p w14:paraId="106EF1FB">
            <w:pPr>
              <w:pStyle w:val="57"/>
              <w:jc w:val="center"/>
              <w:rPr>
                <w:rFonts w:ascii="Times New Roman" w:cs="Times New Roman"/>
              </w:rPr>
            </w:pPr>
            <w:r>
              <w:rPr>
                <w:rFonts w:ascii="Times New Roman" w:cs="Times New Roman"/>
              </w:rPr>
              <w:t>七圩排涝站</w:t>
            </w:r>
          </w:p>
        </w:tc>
        <w:tc>
          <w:tcPr>
            <w:tcW w:w="1979" w:type="dxa"/>
            <w:tcBorders>
              <w:top w:val="nil"/>
              <w:left w:val="nil"/>
              <w:bottom w:val="single" w:color="000000" w:sz="4" w:space="0"/>
              <w:right w:val="single" w:color="000000" w:sz="4" w:space="0"/>
            </w:tcBorders>
            <w:shd w:val="clear" w:color="auto" w:fill="auto"/>
            <w:vAlign w:val="center"/>
          </w:tcPr>
          <w:p w14:paraId="114C1845">
            <w:pPr>
              <w:pStyle w:val="57"/>
              <w:jc w:val="center"/>
              <w:rPr>
                <w:rFonts w:ascii="Times New Roman" w:cs="Times New Roman"/>
              </w:rPr>
            </w:pPr>
            <w:r>
              <w:rPr>
                <w:rFonts w:ascii="Times New Roman" w:cs="Times New Roman"/>
              </w:rPr>
              <w:t>32吋轴流泵</w:t>
            </w:r>
          </w:p>
        </w:tc>
        <w:tc>
          <w:tcPr>
            <w:tcW w:w="1701" w:type="dxa"/>
            <w:tcBorders>
              <w:top w:val="nil"/>
              <w:left w:val="nil"/>
              <w:bottom w:val="single" w:color="000000" w:sz="4" w:space="0"/>
              <w:right w:val="single" w:color="000000" w:sz="4" w:space="0"/>
            </w:tcBorders>
            <w:shd w:val="clear" w:color="auto" w:fill="auto"/>
            <w:vAlign w:val="center"/>
          </w:tcPr>
          <w:p w14:paraId="691C8E1D">
            <w:pPr>
              <w:pStyle w:val="57"/>
              <w:jc w:val="center"/>
              <w:rPr>
                <w:rFonts w:ascii="Times New Roman" w:cs="Times New Roman"/>
              </w:rPr>
            </w:pPr>
            <w:r>
              <w:rPr>
                <w:rFonts w:ascii="Times New Roman" w:cs="Times New Roman"/>
              </w:rPr>
              <w:t>110</w:t>
            </w:r>
          </w:p>
        </w:tc>
        <w:tc>
          <w:tcPr>
            <w:tcW w:w="1177" w:type="dxa"/>
            <w:tcBorders>
              <w:top w:val="nil"/>
              <w:left w:val="nil"/>
              <w:bottom w:val="single" w:color="000000" w:sz="4" w:space="0"/>
              <w:right w:val="single" w:color="000000" w:sz="4" w:space="0"/>
            </w:tcBorders>
            <w:shd w:val="clear" w:color="auto" w:fill="auto"/>
            <w:vAlign w:val="center"/>
          </w:tcPr>
          <w:p w14:paraId="59473B2A">
            <w:pPr>
              <w:pStyle w:val="57"/>
              <w:jc w:val="center"/>
              <w:rPr>
                <w:rFonts w:ascii="Times New Roman" w:cs="Times New Roman"/>
              </w:rPr>
            </w:pPr>
            <w:r>
              <w:rPr>
                <w:rFonts w:ascii="Times New Roman" w:cs="Times New Roman"/>
              </w:rPr>
              <w:t>2</w:t>
            </w:r>
          </w:p>
        </w:tc>
      </w:tr>
      <w:tr w14:paraId="4DD587CD">
        <w:tblPrEx>
          <w:tblCellMar>
            <w:top w:w="0" w:type="dxa"/>
            <w:left w:w="108" w:type="dxa"/>
            <w:bottom w:w="0" w:type="dxa"/>
            <w:right w:w="108" w:type="dxa"/>
          </w:tblCellMar>
        </w:tblPrEx>
        <w:trPr>
          <w:trHeight w:val="20" w:hRule="atLeast"/>
        </w:trPr>
        <w:tc>
          <w:tcPr>
            <w:tcW w:w="845" w:type="dxa"/>
            <w:tcBorders>
              <w:top w:val="nil"/>
              <w:left w:val="single" w:color="000000" w:sz="4" w:space="0"/>
              <w:bottom w:val="single" w:color="000000" w:sz="4" w:space="0"/>
              <w:right w:val="single" w:color="000000" w:sz="4" w:space="0"/>
            </w:tcBorders>
            <w:shd w:val="clear" w:color="auto" w:fill="auto"/>
            <w:vAlign w:val="center"/>
          </w:tcPr>
          <w:p w14:paraId="78271C86">
            <w:pPr>
              <w:pStyle w:val="57"/>
              <w:jc w:val="center"/>
              <w:rPr>
                <w:rFonts w:ascii="Times New Roman" w:cs="Times New Roman"/>
              </w:rPr>
            </w:pPr>
            <w:r>
              <w:rPr>
                <w:rFonts w:ascii="Times New Roman" w:cs="Times New Roman"/>
              </w:rPr>
              <w:t>25</w:t>
            </w:r>
          </w:p>
        </w:tc>
        <w:tc>
          <w:tcPr>
            <w:tcW w:w="1560" w:type="dxa"/>
            <w:tcBorders>
              <w:top w:val="nil"/>
              <w:left w:val="nil"/>
              <w:bottom w:val="single" w:color="000000" w:sz="4" w:space="0"/>
              <w:right w:val="single" w:color="000000" w:sz="4" w:space="0"/>
            </w:tcBorders>
            <w:shd w:val="clear" w:color="auto" w:fill="auto"/>
            <w:vAlign w:val="center"/>
          </w:tcPr>
          <w:p w14:paraId="6DAABC18">
            <w:pPr>
              <w:pStyle w:val="57"/>
              <w:jc w:val="center"/>
              <w:rPr>
                <w:rFonts w:ascii="Times New Roman" w:cs="Times New Roman"/>
              </w:rPr>
            </w:pPr>
            <w:r>
              <w:rPr>
                <w:rFonts w:ascii="Times New Roman" w:cs="Times New Roman"/>
              </w:rPr>
              <w:t>泰兴市</w:t>
            </w:r>
          </w:p>
        </w:tc>
        <w:tc>
          <w:tcPr>
            <w:tcW w:w="1707" w:type="dxa"/>
            <w:tcBorders>
              <w:top w:val="nil"/>
              <w:left w:val="nil"/>
              <w:bottom w:val="single" w:color="000000" w:sz="4" w:space="0"/>
              <w:right w:val="single" w:color="000000" w:sz="4" w:space="0"/>
            </w:tcBorders>
            <w:shd w:val="clear" w:color="auto" w:fill="auto"/>
            <w:vAlign w:val="center"/>
          </w:tcPr>
          <w:p w14:paraId="5C660A5C">
            <w:pPr>
              <w:pStyle w:val="57"/>
              <w:jc w:val="center"/>
              <w:rPr>
                <w:rFonts w:ascii="Times New Roman" w:cs="Times New Roman"/>
              </w:rPr>
            </w:pPr>
            <w:r>
              <w:rPr>
                <w:rFonts w:ascii="Times New Roman" w:cs="Times New Roman"/>
              </w:rPr>
              <w:t>八圩排涝站</w:t>
            </w:r>
          </w:p>
        </w:tc>
        <w:tc>
          <w:tcPr>
            <w:tcW w:w="1979" w:type="dxa"/>
            <w:tcBorders>
              <w:top w:val="nil"/>
              <w:left w:val="nil"/>
              <w:bottom w:val="single" w:color="000000" w:sz="4" w:space="0"/>
              <w:right w:val="single" w:color="000000" w:sz="4" w:space="0"/>
            </w:tcBorders>
            <w:shd w:val="clear" w:color="auto" w:fill="auto"/>
            <w:vAlign w:val="center"/>
          </w:tcPr>
          <w:p w14:paraId="42880440">
            <w:pPr>
              <w:pStyle w:val="57"/>
              <w:jc w:val="center"/>
              <w:rPr>
                <w:rFonts w:ascii="Times New Roman" w:cs="Times New Roman"/>
              </w:rPr>
            </w:pPr>
            <w:r>
              <w:rPr>
                <w:rFonts w:ascii="Times New Roman" w:cs="Times New Roman"/>
              </w:rPr>
              <w:t>32吋轴流泵</w:t>
            </w:r>
          </w:p>
        </w:tc>
        <w:tc>
          <w:tcPr>
            <w:tcW w:w="1701" w:type="dxa"/>
            <w:tcBorders>
              <w:top w:val="nil"/>
              <w:left w:val="nil"/>
              <w:bottom w:val="single" w:color="000000" w:sz="4" w:space="0"/>
              <w:right w:val="single" w:color="000000" w:sz="4" w:space="0"/>
            </w:tcBorders>
            <w:shd w:val="clear" w:color="auto" w:fill="auto"/>
            <w:vAlign w:val="center"/>
          </w:tcPr>
          <w:p w14:paraId="739F9AD9">
            <w:pPr>
              <w:pStyle w:val="57"/>
              <w:jc w:val="center"/>
              <w:rPr>
                <w:rFonts w:ascii="Times New Roman" w:cs="Times New Roman"/>
              </w:rPr>
            </w:pPr>
            <w:r>
              <w:rPr>
                <w:rFonts w:ascii="Times New Roman" w:cs="Times New Roman"/>
              </w:rPr>
              <w:t>270</w:t>
            </w:r>
          </w:p>
        </w:tc>
        <w:tc>
          <w:tcPr>
            <w:tcW w:w="1177" w:type="dxa"/>
            <w:tcBorders>
              <w:top w:val="nil"/>
              <w:left w:val="nil"/>
              <w:bottom w:val="single" w:color="000000" w:sz="4" w:space="0"/>
              <w:right w:val="single" w:color="000000" w:sz="4" w:space="0"/>
            </w:tcBorders>
            <w:shd w:val="clear" w:color="auto" w:fill="auto"/>
            <w:vAlign w:val="center"/>
          </w:tcPr>
          <w:p w14:paraId="1D8B4105">
            <w:pPr>
              <w:pStyle w:val="57"/>
              <w:jc w:val="center"/>
              <w:rPr>
                <w:rFonts w:ascii="Times New Roman" w:cs="Times New Roman"/>
              </w:rPr>
            </w:pPr>
            <w:r>
              <w:rPr>
                <w:rFonts w:ascii="Times New Roman" w:cs="Times New Roman"/>
              </w:rPr>
              <w:t>4</w:t>
            </w:r>
          </w:p>
        </w:tc>
      </w:tr>
      <w:tr w14:paraId="76737FCA">
        <w:tblPrEx>
          <w:tblCellMar>
            <w:top w:w="0" w:type="dxa"/>
            <w:left w:w="108" w:type="dxa"/>
            <w:bottom w:w="0" w:type="dxa"/>
            <w:right w:w="108" w:type="dxa"/>
          </w:tblCellMar>
        </w:tblPrEx>
        <w:trPr>
          <w:trHeight w:val="20" w:hRule="atLeast"/>
        </w:trPr>
        <w:tc>
          <w:tcPr>
            <w:tcW w:w="845" w:type="dxa"/>
            <w:tcBorders>
              <w:top w:val="nil"/>
              <w:left w:val="single" w:color="000000" w:sz="4" w:space="0"/>
              <w:bottom w:val="single" w:color="000000" w:sz="4" w:space="0"/>
              <w:right w:val="single" w:color="000000" w:sz="4" w:space="0"/>
            </w:tcBorders>
            <w:shd w:val="clear" w:color="auto" w:fill="auto"/>
            <w:vAlign w:val="center"/>
          </w:tcPr>
          <w:p w14:paraId="2130D73D">
            <w:pPr>
              <w:pStyle w:val="57"/>
              <w:jc w:val="center"/>
              <w:rPr>
                <w:rFonts w:ascii="Times New Roman" w:cs="Times New Roman"/>
              </w:rPr>
            </w:pPr>
            <w:r>
              <w:rPr>
                <w:rFonts w:ascii="Times New Roman" w:cs="Times New Roman"/>
              </w:rPr>
              <w:t>26</w:t>
            </w:r>
          </w:p>
        </w:tc>
        <w:tc>
          <w:tcPr>
            <w:tcW w:w="1560" w:type="dxa"/>
            <w:tcBorders>
              <w:top w:val="nil"/>
              <w:left w:val="nil"/>
              <w:bottom w:val="single" w:color="000000" w:sz="4" w:space="0"/>
              <w:right w:val="single" w:color="000000" w:sz="4" w:space="0"/>
            </w:tcBorders>
            <w:shd w:val="clear" w:color="auto" w:fill="auto"/>
            <w:vAlign w:val="center"/>
          </w:tcPr>
          <w:p w14:paraId="06C55CE3">
            <w:pPr>
              <w:pStyle w:val="57"/>
              <w:jc w:val="center"/>
              <w:rPr>
                <w:rFonts w:ascii="Times New Roman" w:cs="Times New Roman"/>
              </w:rPr>
            </w:pPr>
            <w:r>
              <w:rPr>
                <w:rFonts w:ascii="Times New Roman" w:cs="Times New Roman"/>
              </w:rPr>
              <w:t>泰兴市</w:t>
            </w:r>
          </w:p>
        </w:tc>
        <w:tc>
          <w:tcPr>
            <w:tcW w:w="1707" w:type="dxa"/>
            <w:tcBorders>
              <w:top w:val="nil"/>
              <w:left w:val="nil"/>
              <w:bottom w:val="single" w:color="000000" w:sz="4" w:space="0"/>
              <w:right w:val="single" w:color="000000" w:sz="4" w:space="0"/>
            </w:tcBorders>
            <w:shd w:val="clear" w:color="auto" w:fill="auto"/>
            <w:vAlign w:val="center"/>
          </w:tcPr>
          <w:p w14:paraId="6BF8E201">
            <w:pPr>
              <w:pStyle w:val="57"/>
              <w:jc w:val="center"/>
              <w:rPr>
                <w:rFonts w:ascii="Times New Roman" w:cs="Times New Roman"/>
              </w:rPr>
            </w:pPr>
            <w:r>
              <w:rPr>
                <w:rFonts w:ascii="Times New Roman" w:cs="Times New Roman"/>
              </w:rPr>
              <w:t>二桥北排涝站</w:t>
            </w:r>
          </w:p>
        </w:tc>
        <w:tc>
          <w:tcPr>
            <w:tcW w:w="1979" w:type="dxa"/>
            <w:tcBorders>
              <w:top w:val="nil"/>
              <w:left w:val="nil"/>
              <w:bottom w:val="single" w:color="000000" w:sz="4" w:space="0"/>
              <w:right w:val="single" w:color="000000" w:sz="4" w:space="0"/>
            </w:tcBorders>
            <w:shd w:val="clear" w:color="auto" w:fill="auto"/>
            <w:vAlign w:val="center"/>
          </w:tcPr>
          <w:p w14:paraId="5A673A80">
            <w:pPr>
              <w:pStyle w:val="57"/>
              <w:jc w:val="center"/>
              <w:rPr>
                <w:rFonts w:ascii="Times New Roman" w:cs="Times New Roman"/>
              </w:rPr>
            </w:pPr>
            <w:r>
              <w:rPr>
                <w:rFonts w:ascii="Times New Roman" w:cs="Times New Roman"/>
              </w:rPr>
              <w:t>32吋轴流泵</w:t>
            </w:r>
          </w:p>
        </w:tc>
        <w:tc>
          <w:tcPr>
            <w:tcW w:w="1701" w:type="dxa"/>
            <w:tcBorders>
              <w:top w:val="nil"/>
              <w:left w:val="nil"/>
              <w:bottom w:val="single" w:color="000000" w:sz="4" w:space="0"/>
              <w:right w:val="single" w:color="000000" w:sz="4" w:space="0"/>
            </w:tcBorders>
            <w:shd w:val="clear" w:color="auto" w:fill="auto"/>
            <w:vAlign w:val="center"/>
          </w:tcPr>
          <w:p w14:paraId="5571E66E">
            <w:pPr>
              <w:pStyle w:val="57"/>
              <w:jc w:val="center"/>
              <w:rPr>
                <w:rFonts w:ascii="Times New Roman" w:cs="Times New Roman"/>
              </w:rPr>
            </w:pPr>
            <w:r>
              <w:rPr>
                <w:rFonts w:ascii="Times New Roman" w:cs="Times New Roman"/>
              </w:rPr>
              <w:t>55</w:t>
            </w:r>
          </w:p>
        </w:tc>
        <w:tc>
          <w:tcPr>
            <w:tcW w:w="1177" w:type="dxa"/>
            <w:tcBorders>
              <w:top w:val="nil"/>
              <w:left w:val="nil"/>
              <w:bottom w:val="single" w:color="000000" w:sz="4" w:space="0"/>
              <w:right w:val="single" w:color="000000" w:sz="4" w:space="0"/>
            </w:tcBorders>
            <w:shd w:val="clear" w:color="auto" w:fill="auto"/>
            <w:vAlign w:val="center"/>
          </w:tcPr>
          <w:p w14:paraId="640CFF43">
            <w:pPr>
              <w:pStyle w:val="57"/>
              <w:jc w:val="center"/>
              <w:rPr>
                <w:rFonts w:ascii="Times New Roman" w:cs="Times New Roman"/>
              </w:rPr>
            </w:pPr>
            <w:r>
              <w:rPr>
                <w:rFonts w:ascii="Times New Roman" w:cs="Times New Roman"/>
              </w:rPr>
              <w:t>1</w:t>
            </w:r>
          </w:p>
        </w:tc>
      </w:tr>
      <w:tr w14:paraId="4E836CCE">
        <w:tblPrEx>
          <w:tblCellMar>
            <w:top w:w="0" w:type="dxa"/>
            <w:left w:w="108" w:type="dxa"/>
            <w:bottom w:w="0" w:type="dxa"/>
            <w:right w:w="108" w:type="dxa"/>
          </w:tblCellMar>
        </w:tblPrEx>
        <w:trPr>
          <w:trHeight w:val="20" w:hRule="atLeast"/>
        </w:trPr>
        <w:tc>
          <w:tcPr>
            <w:tcW w:w="845" w:type="dxa"/>
            <w:tcBorders>
              <w:top w:val="nil"/>
              <w:left w:val="single" w:color="000000" w:sz="4" w:space="0"/>
              <w:bottom w:val="single" w:color="000000" w:sz="4" w:space="0"/>
              <w:right w:val="single" w:color="000000" w:sz="4" w:space="0"/>
            </w:tcBorders>
            <w:shd w:val="clear" w:color="auto" w:fill="auto"/>
            <w:vAlign w:val="center"/>
          </w:tcPr>
          <w:p w14:paraId="1827F9E5">
            <w:pPr>
              <w:pStyle w:val="57"/>
              <w:jc w:val="center"/>
              <w:rPr>
                <w:rFonts w:ascii="Times New Roman" w:cs="Times New Roman"/>
              </w:rPr>
            </w:pPr>
            <w:r>
              <w:rPr>
                <w:rFonts w:ascii="Times New Roman" w:cs="Times New Roman"/>
              </w:rPr>
              <w:t>27</w:t>
            </w:r>
          </w:p>
        </w:tc>
        <w:tc>
          <w:tcPr>
            <w:tcW w:w="1560" w:type="dxa"/>
            <w:tcBorders>
              <w:top w:val="nil"/>
              <w:left w:val="nil"/>
              <w:bottom w:val="single" w:color="000000" w:sz="4" w:space="0"/>
              <w:right w:val="single" w:color="000000" w:sz="4" w:space="0"/>
            </w:tcBorders>
            <w:shd w:val="clear" w:color="auto" w:fill="auto"/>
            <w:vAlign w:val="center"/>
          </w:tcPr>
          <w:p w14:paraId="3BF4D8CA">
            <w:pPr>
              <w:pStyle w:val="57"/>
              <w:jc w:val="center"/>
              <w:rPr>
                <w:rFonts w:ascii="Times New Roman" w:cs="Times New Roman"/>
              </w:rPr>
            </w:pPr>
            <w:r>
              <w:rPr>
                <w:rFonts w:ascii="Times New Roman" w:cs="Times New Roman"/>
              </w:rPr>
              <w:t>泰兴市</w:t>
            </w:r>
          </w:p>
        </w:tc>
        <w:tc>
          <w:tcPr>
            <w:tcW w:w="1707" w:type="dxa"/>
            <w:tcBorders>
              <w:top w:val="nil"/>
              <w:left w:val="nil"/>
              <w:bottom w:val="single" w:color="000000" w:sz="4" w:space="0"/>
              <w:right w:val="single" w:color="000000" w:sz="4" w:space="0"/>
            </w:tcBorders>
            <w:shd w:val="clear" w:color="auto" w:fill="auto"/>
            <w:vAlign w:val="center"/>
          </w:tcPr>
          <w:p w14:paraId="1B10978F">
            <w:pPr>
              <w:pStyle w:val="57"/>
              <w:jc w:val="center"/>
              <w:rPr>
                <w:rFonts w:ascii="Times New Roman" w:cs="Times New Roman"/>
              </w:rPr>
            </w:pPr>
            <w:r>
              <w:rPr>
                <w:rFonts w:ascii="Times New Roman" w:cs="Times New Roman"/>
              </w:rPr>
              <w:t>二桥南排涝站</w:t>
            </w:r>
          </w:p>
        </w:tc>
        <w:tc>
          <w:tcPr>
            <w:tcW w:w="1979" w:type="dxa"/>
            <w:tcBorders>
              <w:top w:val="nil"/>
              <w:left w:val="nil"/>
              <w:bottom w:val="single" w:color="000000" w:sz="4" w:space="0"/>
              <w:right w:val="single" w:color="000000" w:sz="4" w:space="0"/>
            </w:tcBorders>
            <w:shd w:val="clear" w:color="auto" w:fill="auto"/>
            <w:vAlign w:val="center"/>
          </w:tcPr>
          <w:p w14:paraId="5D3F63FB">
            <w:pPr>
              <w:pStyle w:val="57"/>
              <w:jc w:val="center"/>
              <w:rPr>
                <w:rFonts w:ascii="Times New Roman" w:cs="Times New Roman"/>
              </w:rPr>
            </w:pPr>
            <w:r>
              <w:rPr>
                <w:rFonts w:ascii="Times New Roman" w:cs="Times New Roman"/>
              </w:rPr>
              <w:t>12吋轴流泵、16吋轴流泵</w:t>
            </w:r>
          </w:p>
        </w:tc>
        <w:tc>
          <w:tcPr>
            <w:tcW w:w="1701" w:type="dxa"/>
            <w:tcBorders>
              <w:top w:val="nil"/>
              <w:left w:val="nil"/>
              <w:bottom w:val="single" w:color="000000" w:sz="4" w:space="0"/>
              <w:right w:val="single" w:color="000000" w:sz="4" w:space="0"/>
            </w:tcBorders>
            <w:shd w:val="clear" w:color="auto" w:fill="auto"/>
            <w:vAlign w:val="center"/>
          </w:tcPr>
          <w:p w14:paraId="56C22D3E">
            <w:pPr>
              <w:pStyle w:val="57"/>
              <w:jc w:val="center"/>
              <w:rPr>
                <w:rFonts w:ascii="Times New Roman" w:cs="Times New Roman"/>
              </w:rPr>
            </w:pPr>
            <w:r>
              <w:rPr>
                <w:rFonts w:ascii="Times New Roman" w:cs="Times New Roman"/>
              </w:rPr>
              <w:t>59</w:t>
            </w:r>
          </w:p>
        </w:tc>
        <w:tc>
          <w:tcPr>
            <w:tcW w:w="1177" w:type="dxa"/>
            <w:tcBorders>
              <w:top w:val="nil"/>
              <w:left w:val="nil"/>
              <w:bottom w:val="single" w:color="000000" w:sz="4" w:space="0"/>
              <w:right w:val="single" w:color="000000" w:sz="4" w:space="0"/>
            </w:tcBorders>
            <w:shd w:val="clear" w:color="auto" w:fill="auto"/>
            <w:vAlign w:val="center"/>
          </w:tcPr>
          <w:p w14:paraId="7879E603">
            <w:pPr>
              <w:pStyle w:val="57"/>
              <w:jc w:val="center"/>
              <w:rPr>
                <w:rFonts w:ascii="Times New Roman" w:cs="Times New Roman"/>
              </w:rPr>
            </w:pPr>
            <w:r>
              <w:rPr>
                <w:rFonts w:ascii="Times New Roman" w:cs="Times New Roman"/>
              </w:rPr>
              <w:t>0.6</w:t>
            </w:r>
          </w:p>
        </w:tc>
      </w:tr>
      <w:tr w14:paraId="66C458CA">
        <w:tblPrEx>
          <w:tblCellMar>
            <w:top w:w="0" w:type="dxa"/>
            <w:left w:w="108" w:type="dxa"/>
            <w:bottom w:w="0" w:type="dxa"/>
            <w:right w:w="108" w:type="dxa"/>
          </w:tblCellMar>
        </w:tblPrEx>
        <w:trPr>
          <w:trHeight w:val="20" w:hRule="atLeast"/>
        </w:trPr>
        <w:tc>
          <w:tcPr>
            <w:tcW w:w="845" w:type="dxa"/>
            <w:tcBorders>
              <w:top w:val="nil"/>
              <w:left w:val="single" w:color="000000" w:sz="4" w:space="0"/>
              <w:bottom w:val="single" w:color="000000" w:sz="4" w:space="0"/>
              <w:right w:val="single" w:color="000000" w:sz="4" w:space="0"/>
            </w:tcBorders>
            <w:shd w:val="clear" w:color="auto" w:fill="auto"/>
            <w:vAlign w:val="center"/>
          </w:tcPr>
          <w:p w14:paraId="50E1F55D">
            <w:pPr>
              <w:pStyle w:val="57"/>
              <w:jc w:val="center"/>
              <w:rPr>
                <w:rFonts w:ascii="Times New Roman" w:cs="Times New Roman"/>
              </w:rPr>
            </w:pPr>
            <w:r>
              <w:rPr>
                <w:rFonts w:ascii="Times New Roman" w:cs="Times New Roman"/>
              </w:rPr>
              <w:t>28</w:t>
            </w:r>
          </w:p>
        </w:tc>
        <w:tc>
          <w:tcPr>
            <w:tcW w:w="1560" w:type="dxa"/>
            <w:tcBorders>
              <w:top w:val="nil"/>
              <w:left w:val="nil"/>
              <w:bottom w:val="single" w:color="000000" w:sz="4" w:space="0"/>
              <w:right w:val="single" w:color="000000" w:sz="4" w:space="0"/>
            </w:tcBorders>
            <w:shd w:val="clear" w:color="auto" w:fill="auto"/>
            <w:vAlign w:val="center"/>
          </w:tcPr>
          <w:p w14:paraId="78E7EDB6">
            <w:pPr>
              <w:pStyle w:val="57"/>
              <w:jc w:val="center"/>
              <w:rPr>
                <w:rFonts w:ascii="Times New Roman" w:cs="Times New Roman"/>
              </w:rPr>
            </w:pPr>
            <w:r>
              <w:rPr>
                <w:rFonts w:ascii="Times New Roman" w:cs="Times New Roman"/>
              </w:rPr>
              <w:t>靖江市</w:t>
            </w:r>
          </w:p>
        </w:tc>
        <w:tc>
          <w:tcPr>
            <w:tcW w:w="1707" w:type="dxa"/>
            <w:tcBorders>
              <w:top w:val="nil"/>
              <w:left w:val="nil"/>
              <w:bottom w:val="single" w:color="auto" w:sz="4" w:space="0"/>
              <w:right w:val="single" w:color="auto" w:sz="4" w:space="0"/>
            </w:tcBorders>
            <w:shd w:val="clear" w:color="auto" w:fill="auto"/>
            <w:vAlign w:val="center"/>
          </w:tcPr>
          <w:p w14:paraId="60F295CB">
            <w:pPr>
              <w:pStyle w:val="57"/>
              <w:jc w:val="center"/>
              <w:rPr>
                <w:rFonts w:ascii="Times New Roman" w:cs="Times New Roman"/>
              </w:rPr>
            </w:pPr>
            <w:r>
              <w:rPr>
                <w:rFonts w:ascii="Times New Roman" w:cs="Times New Roman"/>
              </w:rPr>
              <w:t>界河圩排涝站</w:t>
            </w:r>
          </w:p>
        </w:tc>
        <w:tc>
          <w:tcPr>
            <w:tcW w:w="1979" w:type="dxa"/>
            <w:tcBorders>
              <w:top w:val="nil"/>
              <w:left w:val="nil"/>
              <w:bottom w:val="single" w:color="000000" w:sz="4" w:space="0"/>
              <w:right w:val="single" w:color="000000" w:sz="4" w:space="0"/>
            </w:tcBorders>
            <w:shd w:val="clear" w:color="auto" w:fill="auto"/>
            <w:vAlign w:val="center"/>
          </w:tcPr>
          <w:p w14:paraId="62786CAA">
            <w:pPr>
              <w:pStyle w:val="57"/>
              <w:jc w:val="center"/>
              <w:rPr>
                <w:rFonts w:ascii="Times New Roman" w:cs="Times New Roman"/>
              </w:rPr>
            </w:pPr>
            <w:r>
              <w:rPr>
                <w:rFonts w:ascii="Times New Roman" w:cs="Times New Roman"/>
              </w:rPr>
              <w:t>立式轴流泵</w:t>
            </w:r>
          </w:p>
        </w:tc>
        <w:tc>
          <w:tcPr>
            <w:tcW w:w="1701" w:type="dxa"/>
            <w:tcBorders>
              <w:top w:val="nil"/>
              <w:left w:val="nil"/>
              <w:bottom w:val="single" w:color="000000" w:sz="4" w:space="0"/>
              <w:right w:val="single" w:color="000000" w:sz="4" w:space="0"/>
            </w:tcBorders>
            <w:shd w:val="clear" w:color="auto" w:fill="auto"/>
            <w:vAlign w:val="center"/>
          </w:tcPr>
          <w:p w14:paraId="744788FA">
            <w:pPr>
              <w:pStyle w:val="57"/>
              <w:jc w:val="center"/>
              <w:rPr>
                <w:rFonts w:ascii="Times New Roman" w:cs="Times New Roman"/>
              </w:rPr>
            </w:pPr>
            <w:r>
              <w:rPr>
                <w:rFonts w:ascii="Times New Roman" w:cs="Times New Roman"/>
              </w:rPr>
              <w:t>30</w:t>
            </w:r>
          </w:p>
        </w:tc>
        <w:tc>
          <w:tcPr>
            <w:tcW w:w="1177" w:type="dxa"/>
            <w:tcBorders>
              <w:top w:val="nil"/>
              <w:left w:val="nil"/>
              <w:bottom w:val="single" w:color="000000" w:sz="4" w:space="0"/>
              <w:right w:val="single" w:color="000000" w:sz="4" w:space="0"/>
            </w:tcBorders>
            <w:shd w:val="clear" w:color="auto" w:fill="auto"/>
            <w:vAlign w:val="center"/>
          </w:tcPr>
          <w:p w14:paraId="0B4CEC6E">
            <w:pPr>
              <w:pStyle w:val="57"/>
              <w:jc w:val="center"/>
              <w:rPr>
                <w:rFonts w:ascii="Times New Roman" w:cs="Times New Roman"/>
              </w:rPr>
            </w:pPr>
            <w:r>
              <w:rPr>
                <w:rFonts w:ascii="Times New Roman" w:cs="Times New Roman"/>
              </w:rPr>
              <w:t>0.5</w:t>
            </w:r>
          </w:p>
        </w:tc>
      </w:tr>
      <w:tr w14:paraId="5B22BE3F">
        <w:tblPrEx>
          <w:tblCellMar>
            <w:top w:w="0" w:type="dxa"/>
            <w:left w:w="108" w:type="dxa"/>
            <w:bottom w:w="0" w:type="dxa"/>
            <w:right w:w="108" w:type="dxa"/>
          </w:tblCellMar>
        </w:tblPrEx>
        <w:trPr>
          <w:trHeight w:val="20" w:hRule="atLeast"/>
        </w:trPr>
        <w:tc>
          <w:tcPr>
            <w:tcW w:w="845" w:type="dxa"/>
            <w:tcBorders>
              <w:top w:val="nil"/>
              <w:left w:val="single" w:color="000000" w:sz="4" w:space="0"/>
              <w:bottom w:val="single" w:color="000000" w:sz="4" w:space="0"/>
              <w:right w:val="single" w:color="000000" w:sz="4" w:space="0"/>
            </w:tcBorders>
            <w:shd w:val="clear" w:color="auto" w:fill="auto"/>
            <w:vAlign w:val="center"/>
          </w:tcPr>
          <w:p w14:paraId="1F33DDE5">
            <w:pPr>
              <w:pStyle w:val="57"/>
              <w:jc w:val="center"/>
              <w:rPr>
                <w:rFonts w:ascii="Times New Roman" w:cs="Times New Roman"/>
              </w:rPr>
            </w:pPr>
            <w:r>
              <w:rPr>
                <w:rFonts w:ascii="Times New Roman" w:cs="Times New Roman"/>
              </w:rPr>
              <w:t>29</w:t>
            </w:r>
          </w:p>
        </w:tc>
        <w:tc>
          <w:tcPr>
            <w:tcW w:w="1560" w:type="dxa"/>
            <w:tcBorders>
              <w:top w:val="nil"/>
              <w:left w:val="nil"/>
              <w:bottom w:val="single" w:color="000000" w:sz="4" w:space="0"/>
              <w:right w:val="single" w:color="000000" w:sz="4" w:space="0"/>
            </w:tcBorders>
            <w:shd w:val="clear" w:color="auto" w:fill="auto"/>
            <w:vAlign w:val="center"/>
          </w:tcPr>
          <w:p w14:paraId="5E7DD77B">
            <w:pPr>
              <w:pStyle w:val="57"/>
              <w:jc w:val="center"/>
              <w:rPr>
                <w:rFonts w:ascii="Times New Roman" w:cs="Times New Roman"/>
              </w:rPr>
            </w:pPr>
            <w:r>
              <w:rPr>
                <w:rFonts w:ascii="Times New Roman" w:cs="Times New Roman"/>
              </w:rPr>
              <w:t>靖江市</w:t>
            </w:r>
          </w:p>
        </w:tc>
        <w:tc>
          <w:tcPr>
            <w:tcW w:w="1707" w:type="dxa"/>
            <w:tcBorders>
              <w:top w:val="nil"/>
              <w:left w:val="nil"/>
              <w:bottom w:val="single" w:color="000000" w:sz="4" w:space="0"/>
              <w:right w:val="single" w:color="000000" w:sz="4" w:space="0"/>
            </w:tcBorders>
            <w:shd w:val="clear" w:color="auto" w:fill="auto"/>
            <w:vAlign w:val="center"/>
          </w:tcPr>
          <w:p w14:paraId="40B10421">
            <w:pPr>
              <w:pStyle w:val="57"/>
              <w:jc w:val="center"/>
              <w:rPr>
                <w:rFonts w:ascii="Times New Roman" w:cs="Times New Roman"/>
              </w:rPr>
            </w:pPr>
            <w:r>
              <w:rPr>
                <w:rFonts w:ascii="Times New Roman" w:cs="Times New Roman"/>
              </w:rPr>
              <w:t>双龙港排涝站</w:t>
            </w:r>
          </w:p>
        </w:tc>
        <w:tc>
          <w:tcPr>
            <w:tcW w:w="1979" w:type="dxa"/>
            <w:tcBorders>
              <w:top w:val="nil"/>
              <w:left w:val="nil"/>
              <w:bottom w:val="single" w:color="000000" w:sz="4" w:space="0"/>
              <w:right w:val="single" w:color="000000" w:sz="4" w:space="0"/>
            </w:tcBorders>
            <w:shd w:val="clear" w:color="auto" w:fill="auto"/>
            <w:vAlign w:val="center"/>
          </w:tcPr>
          <w:p w14:paraId="73EF3A20">
            <w:pPr>
              <w:pStyle w:val="57"/>
              <w:jc w:val="center"/>
              <w:rPr>
                <w:rFonts w:ascii="Times New Roman" w:cs="Times New Roman"/>
              </w:rPr>
            </w:pPr>
            <w:r>
              <w:rPr>
                <w:rFonts w:ascii="Times New Roman" w:cs="Times New Roman"/>
              </w:rPr>
              <w:t>立式轴流泵</w:t>
            </w:r>
          </w:p>
        </w:tc>
        <w:tc>
          <w:tcPr>
            <w:tcW w:w="1701" w:type="dxa"/>
            <w:tcBorders>
              <w:top w:val="nil"/>
              <w:left w:val="nil"/>
              <w:bottom w:val="single" w:color="000000" w:sz="4" w:space="0"/>
              <w:right w:val="single" w:color="000000" w:sz="4" w:space="0"/>
            </w:tcBorders>
            <w:shd w:val="clear" w:color="auto" w:fill="auto"/>
            <w:vAlign w:val="center"/>
          </w:tcPr>
          <w:p w14:paraId="3569E8FB">
            <w:pPr>
              <w:pStyle w:val="57"/>
              <w:jc w:val="center"/>
              <w:rPr>
                <w:rFonts w:ascii="Times New Roman" w:cs="Times New Roman"/>
              </w:rPr>
            </w:pPr>
            <w:r>
              <w:rPr>
                <w:rFonts w:ascii="Times New Roman" w:cs="Times New Roman"/>
              </w:rPr>
              <w:t>55</w:t>
            </w:r>
          </w:p>
        </w:tc>
        <w:tc>
          <w:tcPr>
            <w:tcW w:w="1177" w:type="dxa"/>
            <w:tcBorders>
              <w:top w:val="nil"/>
              <w:left w:val="nil"/>
              <w:bottom w:val="single" w:color="000000" w:sz="4" w:space="0"/>
              <w:right w:val="single" w:color="000000" w:sz="4" w:space="0"/>
            </w:tcBorders>
            <w:shd w:val="clear" w:color="auto" w:fill="auto"/>
            <w:vAlign w:val="center"/>
          </w:tcPr>
          <w:p w14:paraId="5BBC4098">
            <w:pPr>
              <w:pStyle w:val="57"/>
              <w:jc w:val="center"/>
              <w:rPr>
                <w:rFonts w:ascii="Times New Roman" w:cs="Times New Roman"/>
              </w:rPr>
            </w:pPr>
            <w:r>
              <w:rPr>
                <w:rFonts w:ascii="Times New Roman" w:cs="Times New Roman"/>
              </w:rPr>
              <w:t>0.75</w:t>
            </w:r>
          </w:p>
        </w:tc>
      </w:tr>
      <w:tr w14:paraId="13B3EAEA">
        <w:tblPrEx>
          <w:tblCellMar>
            <w:top w:w="0" w:type="dxa"/>
            <w:left w:w="108" w:type="dxa"/>
            <w:bottom w:w="0" w:type="dxa"/>
            <w:right w:w="108" w:type="dxa"/>
          </w:tblCellMar>
        </w:tblPrEx>
        <w:trPr>
          <w:trHeight w:val="20" w:hRule="atLeast"/>
        </w:trPr>
        <w:tc>
          <w:tcPr>
            <w:tcW w:w="845" w:type="dxa"/>
            <w:tcBorders>
              <w:top w:val="nil"/>
              <w:left w:val="single" w:color="000000" w:sz="4" w:space="0"/>
              <w:bottom w:val="single" w:color="000000" w:sz="4" w:space="0"/>
              <w:right w:val="single" w:color="000000" w:sz="4" w:space="0"/>
            </w:tcBorders>
            <w:shd w:val="clear" w:color="auto" w:fill="auto"/>
            <w:vAlign w:val="center"/>
          </w:tcPr>
          <w:p w14:paraId="17CC3B80">
            <w:pPr>
              <w:pStyle w:val="57"/>
              <w:jc w:val="center"/>
              <w:rPr>
                <w:rFonts w:ascii="Times New Roman" w:cs="Times New Roman"/>
              </w:rPr>
            </w:pPr>
            <w:r>
              <w:rPr>
                <w:rFonts w:ascii="Times New Roman" w:cs="Times New Roman"/>
              </w:rPr>
              <w:t>30</w:t>
            </w:r>
          </w:p>
        </w:tc>
        <w:tc>
          <w:tcPr>
            <w:tcW w:w="1560" w:type="dxa"/>
            <w:tcBorders>
              <w:top w:val="nil"/>
              <w:left w:val="nil"/>
              <w:bottom w:val="single" w:color="000000" w:sz="4" w:space="0"/>
              <w:right w:val="single" w:color="000000" w:sz="4" w:space="0"/>
            </w:tcBorders>
            <w:shd w:val="clear" w:color="auto" w:fill="auto"/>
            <w:vAlign w:val="center"/>
          </w:tcPr>
          <w:p w14:paraId="1DF32E3B">
            <w:pPr>
              <w:pStyle w:val="57"/>
              <w:jc w:val="center"/>
              <w:rPr>
                <w:rFonts w:ascii="Times New Roman" w:cs="Times New Roman"/>
              </w:rPr>
            </w:pPr>
            <w:r>
              <w:rPr>
                <w:rFonts w:ascii="Times New Roman" w:cs="Times New Roman"/>
              </w:rPr>
              <w:t>靖江市</w:t>
            </w:r>
          </w:p>
        </w:tc>
        <w:tc>
          <w:tcPr>
            <w:tcW w:w="1707" w:type="dxa"/>
            <w:tcBorders>
              <w:top w:val="nil"/>
              <w:left w:val="nil"/>
              <w:bottom w:val="single" w:color="000000" w:sz="4" w:space="0"/>
              <w:right w:val="single" w:color="000000" w:sz="4" w:space="0"/>
            </w:tcBorders>
            <w:shd w:val="clear" w:color="auto" w:fill="auto"/>
            <w:vAlign w:val="center"/>
          </w:tcPr>
          <w:p w14:paraId="577C2B49">
            <w:pPr>
              <w:pStyle w:val="57"/>
              <w:jc w:val="center"/>
              <w:rPr>
                <w:rFonts w:ascii="Times New Roman" w:cs="Times New Roman"/>
              </w:rPr>
            </w:pPr>
            <w:r>
              <w:rPr>
                <w:rFonts w:ascii="Times New Roman" w:cs="Times New Roman"/>
              </w:rPr>
              <w:t>文东排涝站</w:t>
            </w:r>
          </w:p>
        </w:tc>
        <w:tc>
          <w:tcPr>
            <w:tcW w:w="1979" w:type="dxa"/>
            <w:tcBorders>
              <w:top w:val="nil"/>
              <w:left w:val="nil"/>
              <w:bottom w:val="single" w:color="000000" w:sz="4" w:space="0"/>
              <w:right w:val="single" w:color="000000" w:sz="4" w:space="0"/>
            </w:tcBorders>
            <w:shd w:val="clear" w:color="auto" w:fill="auto"/>
            <w:vAlign w:val="center"/>
          </w:tcPr>
          <w:p w14:paraId="5C48F330">
            <w:pPr>
              <w:pStyle w:val="57"/>
              <w:jc w:val="center"/>
              <w:rPr>
                <w:rFonts w:ascii="Times New Roman" w:cs="Times New Roman"/>
              </w:rPr>
            </w:pPr>
            <w:r>
              <w:rPr>
                <w:rFonts w:ascii="Times New Roman" w:cs="Times New Roman"/>
              </w:rPr>
              <w:t>立式轴流泵</w:t>
            </w:r>
          </w:p>
        </w:tc>
        <w:tc>
          <w:tcPr>
            <w:tcW w:w="1701" w:type="dxa"/>
            <w:tcBorders>
              <w:top w:val="nil"/>
              <w:left w:val="nil"/>
              <w:bottom w:val="single" w:color="000000" w:sz="4" w:space="0"/>
              <w:right w:val="single" w:color="000000" w:sz="4" w:space="0"/>
            </w:tcBorders>
            <w:shd w:val="clear" w:color="auto" w:fill="auto"/>
            <w:vAlign w:val="center"/>
          </w:tcPr>
          <w:p w14:paraId="7A4C01E5">
            <w:pPr>
              <w:pStyle w:val="57"/>
              <w:jc w:val="center"/>
              <w:rPr>
                <w:rFonts w:ascii="Times New Roman" w:cs="Times New Roman"/>
              </w:rPr>
            </w:pPr>
            <w:r>
              <w:rPr>
                <w:rFonts w:ascii="Times New Roman" w:cs="Times New Roman"/>
              </w:rPr>
              <w:t>115*3</w:t>
            </w:r>
          </w:p>
        </w:tc>
        <w:tc>
          <w:tcPr>
            <w:tcW w:w="1177" w:type="dxa"/>
            <w:tcBorders>
              <w:top w:val="nil"/>
              <w:left w:val="nil"/>
              <w:bottom w:val="single" w:color="000000" w:sz="4" w:space="0"/>
              <w:right w:val="single" w:color="000000" w:sz="4" w:space="0"/>
            </w:tcBorders>
            <w:shd w:val="clear" w:color="auto" w:fill="auto"/>
            <w:vAlign w:val="center"/>
          </w:tcPr>
          <w:p w14:paraId="186E9681">
            <w:pPr>
              <w:pStyle w:val="57"/>
              <w:jc w:val="center"/>
              <w:rPr>
                <w:rFonts w:ascii="Times New Roman" w:cs="Times New Roman"/>
              </w:rPr>
            </w:pPr>
            <w:r>
              <w:rPr>
                <w:rFonts w:ascii="Times New Roman" w:cs="Times New Roman"/>
              </w:rPr>
              <w:t>6</w:t>
            </w:r>
          </w:p>
        </w:tc>
      </w:tr>
      <w:tr w14:paraId="36139606">
        <w:tblPrEx>
          <w:tblCellMar>
            <w:top w:w="0" w:type="dxa"/>
            <w:left w:w="108" w:type="dxa"/>
            <w:bottom w:w="0" w:type="dxa"/>
            <w:right w:w="108" w:type="dxa"/>
          </w:tblCellMar>
        </w:tblPrEx>
        <w:trPr>
          <w:trHeight w:val="20" w:hRule="atLeast"/>
        </w:trPr>
        <w:tc>
          <w:tcPr>
            <w:tcW w:w="845" w:type="dxa"/>
            <w:tcBorders>
              <w:top w:val="nil"/>
              <w:left w:val="single" w:color="000000" w:sz="4" w:space="0"/>
              <w:bottom w:val="single" w:color="000000" w:sz="4" w:space="0"/>
              <w:right w:val="single" w:color="000000" w:sz="4" w:space="0"/>
            </w:tcBorders>
            <w:shd w:val="clear" w:color="auto" w:fill="auto"/>
            <w:vAlign w:val="center"/>
          </w:tcPr>
          <w:p w14:paraId="40712749">
            <w:pPr>
              <w:pStyle w:val="57"/>
              <w:jc w:val="center"/>
              <w:rPr>
                <w:rFonts w:ascii="Times New Roman" w:cs="Times New Roman"/>
              </w:rPr>
            </w:pPr>
            <w:r>
              <w:rPr>
                <w:rFonts w:ascii="Times New Roman" w:cs="Times New Roman"/>
              </w:rPr>
              <w:t>31</w:t>
            </w:r>
          </w:p>
        </w:tc>
        <w:tc>
          <w:tcPr>
            <w:tcW w:w="1560" w:type="dxa"/>
            <w:tcBorders>
              <w:top w:val="nil"/>
              <w:left w:val="nil"/>
              <w:bottom w:val="single" w:color="000000" w:sz="4" w:space="0"/>
              <w:right w:val="single" w:color="000000" w:sz="4" w:space="0"/>
            </w:tcBorders>
            <w:shd w:val="clear" w:color="auto" w:fill="auto"/>
            <w:vAlign w:val="center"/>
          </w:tcPr>
          <w:p w14:paraId="731288C8">
            <w:pPr>
              <w:pStyle w:val="57"/>
              <w:jc w:val="center"/>
              <w:rPr>
                <w:rFonts w:ascii="Times New Roman" w:cs="Times New Roman"/>
              </w:rPr>
            </w:pPr>
            <w:r>
              <w:rPr>
                <w:rFonts w:ascii="Times New Roman" w:cs="Times New Roman"/>
              </w:rPr>
              <w:t>靖江市</w:t>
            </w:r>
          </w:p>
        </w:tc>
        <w:tc>
          <w:tcPr>
            <w:tcW w:w="1707" w:type="dxa"/>
            <w:tcBorders>
              <w:top w:val="nil"/>
              <w:left w:val="nil"/>
              <w:bottom w:val="single" w:color="000000" w:sz="4" w:space="0"/>
              <w:right w:val="single" w:color="000000" w:sz="4" w:space="0"/>
            </w:tcBorders>
            <w:shd w:val="clear" w:color="auto" w:fill="auto"/>
            <w:vAlign w:val="center"/>
          </w:tcPr>
          <w:p w14:paraId="1587D533">
            <w:pPr>
              <w:pStyle w:val="57"/>
              <w:jc w:val="center"/>
              <w:rPr>
                <w:rFonts w:ascii="Times New Roman" w:cs="Times New Roman"/>
              </w:rPr>
            </w:pPr>
            <w:r>
              <w:rPr>
                <w:rFonts w:ascii="Times New Roman" w:cs="Times New Roman"/>
              </w:rPr>
              <w:t>滨江1站</w:t>
            </w:r>
          </w:p>
        </w:tc>
        <w:tc>
          <w:tcPr>
            <w:tcW w:w="1979" w:type="dxa"/>
            <w:tcBorders>
              <w:top w:val="nil"/>
              <w:left w:val="nil"/>
              <w:bottom w:val="single" w:color="000000" w:sz="4" w:space="0"/>
              <w:right w:val="single" w:color="000000" w:sz="4" w:space="0"/>
            </w:tcBorders>
            <w:shd w:val="clear" w:color="auto" w:fill="auto"/>
            <w:vAlign w:val="center"/>
          </w:tcPr>
          <w:p w14:paraId="5DAB3EBF">
            <w:pPr>
              <w:pStyle w:val="57"/>
              <w:jc w:val="center"/>
              <w:rPr>
                <w:rFonts w:ascii="Times New Roman" w:cs="Times New Roman"/>
              </w:rPr>
            </w:pPr>
            <w:r>
              <w:rPr>
                <w:rFonts w:ascii="Times New Roman" w:cs="Times New Roman"/>
              </w:rPr>
              <w:t>立式轴流泵</w:t>
            </w:r>
          </w:p>
        </w:tc>
        <w:tc>
          <w:tcPr>
            <w:tcW w:w="1701" w:type="dxa"/>
            <w:tcBorders>
              <w:top w:val="nil"/>
              <w:left w:val="nil"/>
              <w:bottom w:val="single" w:color="000000" w:sz="4" w:space="0"/>
              <w:right w:val="single" w:color="000000" w:sz="4" w:space="0"/>
            </w:tcBorders>
            <w:shd w:val="clear" w:color="auto" w:fill="auto"/>
            <w:vAlign w:val="center"/>
          </w:tcPr>
          <w:p w14:paraId="6884DD1D">
            <w:pPr>
              <w:pStyle w:val="57"/>
              <w:jc w:val="center"/>
              <w:rPr>
                <w:rFonts w:ascii="Times New Roman" w:cs="Times New Roman"/>
              </w:rPr>
            </w:pPr>
            <w:r>
              <w:rPr>
                <w:rFonts w:ascii="Times New Roman" w:cs="Times New Roman"/>
              </w:rPr>
              <w:t>55</w:t>
            </w:r>
          </w:p>
        </w:tc>
        <w:tc>
          <w:tcPr>
            <w:tcW w:w="1177" w:type="dxa"/>
            <w:tcBorders>
              <w:top w:val="nil"/>
              <w:left w:val="nil"/>
              <w:bottom w:val="single" w:color="000000" w:sz="4" w:space="0"/>
              <w:right w:val="single" w:color="000000" w:sz="4" w:space="0"/>
            </w:tcBorders>
            <w:shd w:val="clear" w:color="auto" w:fill="auto"/>
            <w:vAlign w:val="center"/>
          </w:tcPr>
          <w:p w14:paraId="47E98BB3">
            <w:pPr>
              <w:pStyle w:val="57"/>
              <w:jc w:val="center"/>
              <w:rPr>
                <w:rFonts w:ascii="Times New Roman" w:cs="Times New Roman"/>
              </w:rPr>
            </w:pPr>
            <w:r>
              <w:rPr>
                <w:rFonts w:ascii="Times New Roman" w:cs="Times New Roman"/>
              </w:rPr>
              <w:t>0.75</w:t>
            </w:r>
          </w:p>
        </w:tc>
      </w:tr>
      <w:tr w14:paraId="245FA4F1">
        <w:tblPrEx>
          <w:tblCellMar>
            <w:top w:w="0" w:type="dxa"/>
            <w:left w:w="108" w:type="dxa"/>
            <w:bottom w:w="0" w:type="dxa"/>
            <w:right w:w="108" w:type="dxa"/>
          </w:tblCellMar>
        </w:tblPrEx>
        <w:trPr>
          <w:trHeight w:val="20" w:hRule="atLeast"/>
        </w:trPr>
        <w:tc>
          <w:tcPr>
            <w:tcW w:w="845" w:type="dxa"/>
            <w:tcBorders>
              <w:top w:val="nil"/>
              <w:left w:val="single" w:color="000000" w:sz="4" w:space="0"/>
              <w:bottom w:val="single" w:color="000000" w:sz="4" w:space="0"/>
              <w:right w:val="single" w:color="000000" w:sz="4" w:space="0"/>
            </w:tcBorders>
            <w:shd w:val="clear" w:color="auto" w:fill="auto"/>
            <w:vAlign w:val="center"/>
          </w:tcPr>
          <w:p w14:paraId="6B7C0606">
            <w:pPr>
              <w:pStyle w:val="57"/>
              <w:jc w:val="center"/>
              <w:rPr>
                <w:rFonts w:ascii="Times New Roman" w:cs="Times New Roman"/>
              </w:rPr>
            </w:pPr>
            <w:r>
              <w:rPr>
                <w:rFonts w:ascii="Times New Roman" w:cs="Times New Roman"/>
              </w:rPr>
              <w:t>32</w:t>
            </w:r>
          </w:p>
        </w:tc>
        <w:tc>
          <w:tcPr>
            <w:tcW w:w="1560" w:type="dxa"/>
            <w:tcBorders>
              <w:top w:val="nil"/>
              <w:left w:val="nil"/>
              <w:bottom w:val="single" w:color="000000" w:sz="4" w:space="0"/>
              <w:right w:val="single" w:color="000000" w:sz="4" w:space="0"/>
            </w:tcBorders>
            <w:shd w:val="clear" w:color="auto" w:fill="auto"/>
            <w:vAlign w:val="center"/>
          </w:tcPr>
          <w:p w14:paraId="450CC9E6">
            <w:pPr>
              <w:pStyle w:val="57"/>
              <w:jc w:val="center"/>
              <w:rPr>
                <w:rFonts w:ascii="Times New Roman" w:cs="Times New Roman"/>
              </w:rPr>
            </w:pPr>
            <w:r>
              <w:rPr>
                <w:rFonts w:ascii="Times New Roman" w:cs="Times New Roman"/>
              </w:rPr>
              <w:t>靖江市</w:t>
            </w:r>
          </w:p>
        </w:tc>
        <w:tc>
          <w:tcPr>
            <w:tcW w:w="1707" w:type="dxa"/>
            <w:tcBorders>
              <w:top w:val="nil"/>
              <w:left w:val="nil"/>
              <w:bottom w:val="single" w:color="000000" w:sz="4" w:space="0"/>
              <w:right w:val="single" w:color="000000" w:sz="4" w:space="0"/>
            </w:tcBorders>
            <w:shd w:val="clear" w:color="auto" w:fill="auto"/>
            <w:vAlign w:val="center"/>
          </w:tcPr>
          <w:p w14:paraId="4B506B0A">
            <w:pPr>
              <w:pStyle w:val="57"/>
              <w:jc w:val="center"/>
              <w:rPr>
                <w:rFonts w:ascii="Times New Roman" w:cs="Times New Roman"/>
              </w:rPr>
            </w:pPr>
            <w:r>
              <w:rPr>
                <w:rFonts w:ascii="Times New Roman" w:cs="Times New Roman"/>
              </w:rPr>
              <w:t>上九圩港泵站</w:t>
            </w:r>
          </w:p>
        </w:tc>
        <w:tc>
          <w:tcPr>
            <w:tcW w:w="1979" w:type="dxa"/>
            <w:tcBorders>
              <w:top w:val="nil"/>
              <w:left w:val="nil"/>
              <w:bottom w:val="single" w:color="000000" w:sz="4" w:space="0"/>
              <w:right w:val="single" w:color="000000" w:sz="4" w:space="0"/>
            </w:tcBorders>
            <w:shd w:val="clear" w:color="auto" w:fill="auto"/>
            <w:vAlign w:val="center"/>
          </w:tcPr>
          <w:p w14:paraId="74B81514">
            <w:pPr>
              <w:pStyle w:val="57"/>
              <w:jc w:val="center"/>
              <w:rPr>
                <w:rFonts w:ascii="Times New Roman" w:cs="Times New Roman"/>
              </w:rPr>
            </w:pPr>
            <w:r>
              <w:rPr>
                <w:rFonts w:ascii="Times New Roman" w:cs="Times New Roman"/>
              </w:rPr>
              <w:t>立式轴流泵</w:t>
            </w:r>
          </w:p>
        </w:tc>
        <w:tc>
          <w:tcPr>
            <w:tcW w:w="1701" w:type="dxa"/>
            <w:tcBorders>
              <w:top w:val="nil"/>
              <w:left w:val="nil"/>
              <w:bottom w:val="single" w:color="000000" w:sz="4" w:space="0"/>
              <w:right w:val="single" w:color="000000" w:sz="4" w:space="0"/>
            </w:tcBorders>
            <w:shd w:val="clear" w:color="auto" w:fill="auto"/>
            <w:vAlign w:val="center"/>
          </w:tcPr>
          <w:p w14:paraId="1FA2D3F4">
            <w:pPr>
              <w:pStyle w:val="57"/>
              <w:jc w:val="center"/>
              <w:rPr>
                <w:rFonts w:ascii="Times New Roman" w:cs="Times New Roman"/>
              </w:rPr>
            </w:pPr>
            <w:r>
              <w:rPr>
                <w:rFonts w:ascii="Times New Roman" w:cs="Times New Roman"/>
              </w:rPr>
              <w:t>1890</w:t>
            </w:r>
          </w:p>
        </w:tc>
        <w:tc>
          <w:tcPr>
            <w:tcW w:w="1177" w:type="dxa"/>
            <w:tcBorders>
              <w:top w:val="nil"/>
              <w:left w:val="nil"/>
              <w:bottom w:val="single" w:color="000000" w:sz="4" w:space="0"/>
              <w:right w:val="single" w:color="000000" w:sz="4" w:space="0"/>
            </w:tcBorders>
            <w:shd w:val="clear" w:color="auto" w:fill="auto"/>
            <w:vAlign w:val="center"/>
          </w:tcPr>
          <w:p w14:paraId="70A9E641">
            <w:pPr>
              <w:pStyle w:val="57"/>
              <w:jc w:val="center"/>
              <w:rPr>
                <w:rFonts w:ascii="Times New Roman" w:cs="Times New Roman"/>
              </w:rPr>
            </w:pPr>
            <w:r>
              <w:rPr>
                <w:rFonts w:ascii="Times New Roman" w:cs="Times New Roman"/>
              </w:rPr>
              <w:t>30</w:t>
            </w:r>
          </w:p>
        </w:tc>
      </w:tr>
      <w:tr w14:paraId="08F91B3E">
        <w:tblPrEx>
          <w:tblCellMar>
            <w:top w:w="0" w:type="dxa"/>
            <w:left w:w="108" w:type="dxa"/>
            <w:bottom w:w="0" w:type="dxa"/>
            <w:right w:w="108" w:type="dxa"/>
          </w:tblCellMar>
        </w:tblPrEx>
        <w:trPr>
          <w:trHeight w:val="20" w:hRule="atLeast"/>
        </w:trPr>
        <w:tc>
          <w:tcPr>
            <w:tcW w:w="845" w:type="dxa"/>
            <w:tcBorders>
              <w:top w:val="nil"/>
              <w:left w:val="single" w:color="000000" w:sz="4" w:space="0"/>
              <w:bottom w:val="single" w:color="000000" w:sz="4" w:space="0"/>
              <w:right w:val="single" w:color="000000" w:sz="4" w:space="0"/>
            </w:tcBorders>
            <w:shd w:val="clear" w:color="auto" w:fill="auto"/>
            <w:vAlign w:val="center"/>
          </w:tcPr>
          <w:p w14:paraId="167228A6">
            <w:pPr>
              <w:pStyle w:val="57"/>
              <w:jc w:val="center"/>
              <w:rPr>
                <w:rFonts w:ascii="Times New Roman" w:cs="Times New Roman"/>
              </w:rPr>
            </w:pPr>
            <w:r>
              <w:rPr>
                <w:rFonts w:ascii="Times New Roman" w:cs="Times New Roman"/>
              </w:rPr>
              <w:t>33</w:t>
            </w:r>
          </w:p>
        </w:tc>
        <w:tc>
          <w:tcPr>
            <w:tcW w:w="1560" w:type="dxa"/>
            <w:tcBorders>
              <w:top w:val="nil"/>
              <w:left w:val="nil"/>
              <w:bottom w:val="single" w:color="000000" w:sz="4" w:space="0"/>
              <w:right w:val="single" w:color="000000" w:sz="4" w:space="0"/>
            </w:tcBorders>
            <w:shd w:val="clear" w:color="auto" w:fill="auto"/>
            <w:vAlign w:val="center"/>
          </w:tcPr>
          <w:p w14:paraId="33AF3108">
            <w:pPr>
              <w:pStyle w:val="57"/>
              <w:jc w:val="center"/>
              <w:rPr>
                <w:rFonts w:ascii="Times New Roman" w:cs="Times New Roman"/>
              </w:rPr>
            </w:pPr>
            <w:r>
              <w:rPr>
                <w:rFonts w:ascii="Times New Roman" w:cs="Times New Roman"/>
              </w:rPr>
              <w:t>靖江市</w:t>
            </w:r>
          </w:p>
        </w:tc>
        <w:tc>
          <w:tcPr>
            <w:tcW w:w="1707" w:type="dxa"/>
            <w:tcBorders>
              <w:top w:val="nil"/>
              <w:left w:val="nil"/>
              <w:bottom w:val="single" w:color="000000" w:sz="4" w:space="0"/>
              <w:right w:val="single" w:color="000000" w:sz="4" w:space="0"/>
            </w:tcBorders>
            <w:shd w:val="clear" w:color="auto" w:fill="auto"/>
            <w:vAlign w:val="center"/>
          </w:tcPr>
          <w:p w14:paraId="58033BCA">
            <w:pPr>
              <w:pStyle w:val="57"/>
              <w:jc w:val="center"/>
              <w:rPr>
                <w:rFonts w:ascii="Times New Roman" w:cs="Times New Roman"/>
              </w:rPr>
            </w:pPr>
            <w:r>
              <w:rPr>
                <w:rFonts w:ascii="Times New Roman" w:cs="Times New Roman"/>
              </w:rPr>
              <w:t>43#排涝站</w:t>
            </w:r>
          </w:p>
        </w:tc>
        <w:tc>
          <w:tcPr>
            <w:tcW w:w="1979" w:type="dxa"/>
            <w:tcBorders>
              <w:top w:val="nil"/>
              <w:left w:val="nil"/>
              <w:bottom w:val="single" w:color="000000" w:sz="4" w:space="0"/>
              <w:right w:val="single" w:color="000000" w:sz="4" w:space="0"/>
            </w:tcBorders>
            <w:shd w:val="clear" w:color="auto" w:fill="auto"/>
            <w:vAlign w:val="center"/>
          </w:tcPr>
          <w:p w14:paraId="24CC3CD9">
            <w:pPr>
              <w:pStyle w:val="57"/>
              <w:jc w:val="center"/>
              <w:rPr>
                <w:rFonts w:ascii="Times New Roman" w:cs="Times New Roman"/>
              </w:rPr>
            </w:pPr>
            <w:r>
              <w:rPr>
                <w:rFonts w:ascii="Times New Roman" w:cs="Times New Roman"/>
              </w:rPr>
              <w:t>立式轴流泵</w:t>
            </w:r>
          </w:p>
        </w:tc>
        <w:tc>
          <w:tcPr>
            <w:tcW w:w="1701" w:type="dxa"/>
            <w:tcBorders>
              <w:top w:val="nil"/>
              <w:left w:val="nil"/>
              <w:bottom w:val="single" w:color="000000" w:sz="4" w:space="0"/>
              <w:right w:val="single" w:color="000000" w:sz="4" w:space="0"/>
            </w:tcBorders>
            <w:shd w:val="clear" w:color="auto" w:fill="auto"/>
            <w:vAlign w:val="center"/>
          </w:tcPr>
          <w:p w14:paraId="6D531A0B">
            <w:pPr>
              <w:pStyle w:val="57"/>
              <w:jc w:val="center"/>
              <w:rPr>
                <w:rFonts w:ascii="Times New Roman" w:cs="Times New Roman"/>
              </w:rPr>
            </w:pPr>
            <w:r>
              <w:rPr>
                <w:rFonts w:ascii="Times New Roman" w:cs="Times New Roman"/>
              </w:rPr>
              <w:t>18.5</w:t>
            </w:r>
          </w:p>
        </w:tc>
        <w:tc>
          <w:tcPr>
            <w:tcW w:w="1177" w:type="dxa"/>
            <w:tcBorders>
              <w:top w:val="nil"/>
              <w:left w:val="nil"/>
              <w:bottom w:val="single" w:color="000000" w:sz="4" w:space="0"/>
              <w:right w:val="single" w:color="000000" w:sz="4" w:space="0"/>
            </w:tcBorders>
            <w:shd w:val="clear" w:color="auto" w:fill="auto"/>
            <w:vAlign w:val="center"/>
          </w:tcPr>
          <w:p w14:paraId="73C18F39">
            <w:pPr>
              <w:pStyle w:val="57"/>
              <w:jc w:val="center"/>
              <w:rPr>
                <w:rFonts w:ascii="Times New Roman" w:cs="Times New Roman"/>
              </w:rPr>
            </w:pPr>
            <w:r>
              <w:rPr>
                <w:rFonts w:ascii="Times New Roman" w:cs="Times New Roman"/>
              </w:rPr>
              <w:t>0.22</w:t>
            </w:r>
          </w:p>
        </w:tc>
      </w:tr>
      <w:tr w14:paraId="4F971049">
        <w:tblPrEx>
          <w:tblCellMar>
            <w:top w:w="0" w:type="dxa"/>
            <w:left w:w="108" w:type="dxa"/>
            <w:bottom w:w="0" w:type="dxa"/>
            <w:right w:w="108" w:type="dxa"/>
          </w:tblCellMar>
        </w:tblPrEx>
        <w:trPr>
          <w:trHeight w:val="20" w:hRule="atLeast"/>
        </w:trPr>
        <w:tc>
          <w:tcPr>
            <w:tcW w:w="845" w:type="dxa"/>
            <w:tcBorders>
              <w:top w:val="nil"/>
              <w:left w:val="single" w:color="000000" w:sz="4" w:space="0"/>
              <w:bottom w:val="single" w:color="000000" w:sz="4" w:space="0"/>
              <w:right w:val="single" w:color="000000" w:sz="4" w:space="0"/>
            </w:tcBorders>
            <w:shd w:val="clear" w:color="auto" w:fill="auto"/>
            <w:vAlign w:val="center"/>
          </w:tcPr>
          <w:p w14:paraId="3A22ECB8">
            <w:pPr>
              <w:pStyle w:val="57"/>
              <w:jc w:val="center"/>
              <w:rPr>
                <w:rFonts w:ascii="Times New Roman" w:cs="Times New Roman"/>
              </w:rPr>
            </w:pPr>
            <w:r>
              <w:rPr>
                <w:rFonts w:ascii="Times New Roman" w:cs="Times New Roman"/>
              </w:rPr>
              <w:t>34</w:t>
            </w:r>
          </w:p>
        </w:tc>
        <w:tc>
          <w:tcPr>
            <w:tcW w:w="1560" w:type="dxa"/>
            <w:tcBorders>
              <w:top w:val="nil"/>
              <w:left w:val="nil"/>
              <w:bottom w:val="single" w:color="000000" w:sz="4" w:space="0"/>
              <w:right w:val="single" w:color="000000" w:sz="4" w:space="0"/>
            </w:tcBorders>
            <w:shd w:val="clear" w:color="auto" w:fill="auto"/>
            <w:vAlign w:val="center"/>
          </w:tcPr>
          <w:p w14:paraId="39403495">
            <w:pPr>
              <w:pStyle w:val="57"/>
              <w:jc w:val="center"/>
              <w:rPr>
                <w:rFonts w:ascii="Times New Roman" w:cs="Times New Roman"/>
              </w:rPr>
            </w:pPr>
            <w:r>
              <w:rPr>
                <w:rFonts w:ascii="Times New Roman" w:cs="Times New Roman"/>
              </w:rPr>
              <w:t>靖江市</w:t>
            </w:r>
          </w:p>
        </w:tc>
        <w:tc>
          <w:tcPr>
            <w:tcW w:w="1707" w:type="dxa"/>
            <w:tcBorders>
              <w:top w:val="nil"/>
              <w:left w:val="nil"/>
              <w:bottom w:val="single" w:color="000000" w:sz="4" w:space="0"/>
              <w:right w:val="single" w:color="000000" w:sz="4" w:space="0"/>
            </w:tcBorders>
            <w:shd w:val="clear" w:color="auto" w:fill="auto"/>
            <w:vAlign w:val="center"/>
          </w:tcPr>
          <w:p w14:paraId="3B52E618">
            <w:pPr>
              <w:pStyle w:val="57"/>
              <w:jc w:val="center"/>
              <w:rPr>
                <w:rFonts w:ascii="Times New Roman" w:cs="Times New Roman"/>
              </w:rPr>
            </w:pPr>
            <w:r>
              <w:rPr>
                <w:rFonts w:ascii="Times New Roman" w:cs="Times New Roman"/>
              </w:rPr>
              <w:t>新十圩港排涝站</w:t>
            </w:r>
          </w:p>
        </w:tc>
        <w:tc>
          <w:tcPr>
            <w:tcW w:w="1979" w:type="dxa"/>
            <w:tcBorders>
              <w:top w:val="nil"/>
              <w:left w:val="nil"/>
              <w:bottom w:val="single" w:color="000000" w:sz="4" w:space="0"/>
              <w:right w:val="single" w:color="000000" w:sz="4" w:space="0"/>
            </w:tcBorders>
            <w:shd w:val="clear" w:color="auto" w:fill="auto"/>
            <w:vAlign w:val="center"/>
          </w:tcPr>
          <w:p w14:paraId="5F6E98C8">
            <w:pPr>
              <w:pStyle w:val="57"/>
              <w:jc w:val="center"/>
              <w:rPr>
                <w:rFonts w:ascii="Times New Roman" w:cs="Times New Roman"/>
              </w:rPr>
            </w:pPr>
            <w:r>
              <w:rPr>
                <w:rFonts w:ascii="Times New Roman" w:cs="Times New Roman"/>
              </w:rPr>
              <w:t>潜水泵</w:t>
            </w:r>
          </w:p>
        </w:tc>
        <w:tc>
          <w:tcPr>
            <w:tcW w:w="1701" w:type="dxa"/>
            <w:tcBorders>
              <w:top w:val="nil"/>
              <w:left w:val="nil"/>
              <w:bottom w:val="single" w:color="000000" w:sz="4" w:space="0"/>
              <w:right w:val="single" w:color="000000" w:sz="4" w:space="0"/>
            </w:tcBorders>
            <w:shd w:val="clear" w:color="auto" w:fill="auto"/>
            <w:vAlign w:val="center"/>
          </w:tcPr>
          <w:p w14:paraId="1C745418">
            <w:pPr>
              <w:pStyle w:val="57"/>
              <w:jc w:val="center"/>
              <w:rPr>
                <w:rFonts w:ascii="Times New Roman" w:cs="Times New Roman"/>
              </w:rPr>
            </w:pPr>
            <w:r>
              <w:rPr>
                <w:rFonts w:ascii="Times New Roman" w:cs="Times New Roman"/>
              </w:rPr>
              <w:t>22</w:t>
            </w:r>
          </w:p>
        </w:tc>
        <w:tc>
          <w:tcPr>
            <w:tcW w:w="1177" w:type="dxa"/>
            <w:tcBorders>
              <w:top w:val="nil"/>
              <w:left w:val="nil"/>
              <w:bottom w:val="single" w:color="000000" w:sz="4" w:space="0"/>
              <w:right w:val="single" w:color="000000" w:sz="4" w:space="0"/>
            </w:tcBorders>
            <w:shd w:val="clear" w:color="auto" w:fill="auto"/>
            <w:vAlign w:val="center"/>
          </w:tcPr>
          <w:p w14:paraId="2641054D">
            <w:pPr>
              <w:pStyle w:val="57"/>
              <w:jc w:val="center"/>
              <w:rPr>
                <w:rFonts w:ascii="Times New Roman" w:cs="Times New Roman"/>
              </w:rPr>
            </w:pPr>
            <w:r>
              <w:rPr>
                <w:rFonts w:ascii="Times New Roman" w:cs="Times New Roman"/>
              </w:rPr>
              <w:t>0.26</w:t>
            </w:r>
          </w:p>
        </w:tc>
      </w:tr>
      <w:tr w14:paraId="3984BA97">
        <w:tblPrEx>
          <w:tblCellMar>
            <w:top w:w="0" w:type="dxa"/>
            <w:left w:w="108" w:type="dxa"/>
            <w:bottom w:w="0" w:type="dxa"/>
            <w:right w:w="108" w:type="dxa"/>
          </w:tblCellMar>
        </w:tblPrEx>
        <w:trPr>
          <w:trHeight w:val="20" w:hRule="atLeast"/>
        </w:trPr>
        <w:tc>
          <w:tcPr>
            <w:tcW w:w="845" w:type="dxa"/>
            <w:tcBorders>
              <w:top w:val="nil"/>
              <w:left w:val="single" w:color="000000" w:sz="4" w:space="0"/>
              <w:bottom w:val="single" w:color="000000" w:sz="4" w:space="0"/>
              <w:right w:val="single" w:color="000000" w:sz="4" w:space="0"/>
            </w:tcBorders>
            <w:shd w:val="clear" w:color="auto" w:fill="auto"/>
            <w:vAlign w:val="center"/>
          </w:tcPr>
          <w:p w14:paraId="386138F5">
            <w:pPr>
              <w:pStyle w:val="57"/>
              <w:jc w:val="center"/>
              <w:rPr>
                <w:rFonts w:ascii="Times New Roman" w:cs="Times New Roman"/>
              </w:rPr>
            </w:pPr>
            <w:r>
              <w:rPr>
                <w:rFonts w:ascii="Times New Roman" w:cs="Times New Roman"/>
              </w:rPr>
              <w:t>35</w:t>
            </w:r>
          </w:p>
        </w:tc>
        <w:tc>
          <w:tcPr>
            <w:tcW w:w="1560" w:type="dxa"/>
            <w:tcBorders>
              <w:top w:val="nil"/>
              <w:left w:val="nil"/>
              <w:bottom w:val="single" w:color="000000" w:sz="4" w:space="0"/>
              <w:right w:val="single" w:color="000000" w:sz="4" w:space="0"/>
            </w:tcBorders>
            <w:shd w:val="clear" w:color="auto" w:fill="auto"/>
            <w:vAlign w:val="center"/>
          </w:tcPr>
          <w:p w14:paraId="37989309">
            <w:pPr>
              <w:pStyle w:val="57"/>
              <w:jc w:val="center"/>
              <w:rPr>
                <w:rFonts w:ascii="Times New Roman" w:cs="Times New Roman"/>
              </w:rPr>
            </w:pPr>
            <w:r>
              <w:rPr>
                <w:rFonts w:ascii="Times New Roman" w:cs="Times New Roman"/>
              </w:rPr>
              <w:t>靖江市</w:t>
            </w:r>
          </w:p>
        </w:tc>
        <w:tc>
          <w:tcPr>
            <w:tcW w:w="1707" w:type="dxa"/>
            <w:tcBorders>
              <w:top w:val="nil"/>
              <w:left w:val="nil"/>
              <w:bottom w:val="single" w:color="000000" w:sz="4" w:space="0"/>
              <w:right w:val="single" w:color="000000" w:sz="4" w:space="0"/>
            </w:tcBorders>
            <w:shd w:val="clear" w:color="auto" w:fill="auto"/>
            <w:vAlign w:val="center"/>
          </w:tcPr>
          <w:p w14:paraId="34F0A3DC">
            <w:pPr>
              <w:pStyle w:val="57"/>
              <w:jc w:val="center"/>
              <w:rPr>
                <w:rFonts w:ascii="Times New Roman" w:cs="Times New Roman"/>
              </w:rPr>
            </w:pPr>
            <w:r>
              <w:rPr>
                <w:rFonts w:ascii="Times New Roman" w:cs="Times New Roman"/>
              </w:rPr>
              <w:t>江阴大桥排涝站</w:t>
            </w:r>
          </w:p>
        </w:tc>
        <w:tc>
          <w:tcPr>
            <w:tcW w:w="1979" w:type="dxa"/>
            <w:tcBorders>
              <w:top w:val="nil"/>
              <w:left w:val="nil"/>
              <w:bottom w:val="single" w:color="000000" w:sz="4" w:space="0"/>
              <w:right w:val="single" w:color="000000" w:sz="4" w:space="0"/>
            </w:tcBorders>
            <w:shd w:val="clear" w:color="auto" w:fill="auto"/>
            <w:vAlign w:val="center"/>
          </w:tcPr>
          <w:p w14:paraId="2C364E07">
            <w:pPr>
              <w:pStyle w:val="57"/>
              <w:jc w:val="center"/>
              <w:rPr>
                <w:rFonts w:ascii="Times New Roman" w:cs="Times New Roman"/>
              </w:rPr>
            </w:pPr>
            <w:r>
              <w:rPr>
                <w:rFonts w:ascii="Times New Roman" w:cs="Times New Roman"/>
              </w:rPr>
              <w:t>混流</w:t>
            </w:r>
          </w:p>
        </w:tc>
        <w:tc>
          <w:tcPr>
            <w:tcW w:w="1701" w:type="dxa"/>
            <w:tcBorders>
              <w:top w:val="nil"/>
              <w:left w:val="nil"/>
              <w:bottom w:val="single" w:color="000000" w:sz="4" w:space="0"/>
              <w:right w:val="single" w:color="000000" w:sz="4" w:space="0"/>
            </w:tcBorders>
            <w:shd w:val="clear" w:color="auto" w:fill="auto"/>
            <w:vAlign w:val="center"/>
          </w:tcPr>
          <w:p w14:paraId="784C2849">
            <w:pPr>
              <w:pStyle w:val="57"/>
              <w:jc w:val="center"/>
              <w:rPr>
                <w:rFonts w:ascii="Times New Roman" w:cs="Times New Roman"/>
              </w:rPr>
            </w:pPr>
            <w:r>
              <w:rPr>
                <w:rFonts w:ascii="Times New Roman" w:cs="Times New Roman"/>
              </w:rPr>
              <w:t>55</w:t>
            </w:r>
          </w:p>
        </w:tc>
        <w:tc>
          <w:tcPr>
            <w:tcW w:w="1177" w:type="dxa"/>
            <w:tcBorders>
              <w:top w:val="nil"/>
              <w:left w:val="nil"/>
              <w:bottom w:val="single" w:color="000000" w:sz="4" w:space="0"/>
              <w:right w:val="single" w:color="000000" w:sz="4" w:space="0"/>
            </w:tcBorders>
            <w:shd w:val="clear" w:color="auto" w:fill="auto"/>
            <w:vAlign w:val="center"/>
          </w:tcPr>
          <w:p w14:paraId="5C696A0A">
            <w:pPr>
              <w:pStyle w:val="57"/>
              <w:jc w:val="center"/>
              <w:rPr>
                <w:rFonts w:ascii="Times New Roman" w:cs="Times New Roman"/>
              </w:rPr>
            </w:pPr>
            <w:r>
              <w:rPr>
                <w:rFonts w:ascii="Times New Roman" w:cs="Times New Roman"/>
              </w:rPr>
              <w:t>1</w:t>
            </w:r>
          </w:p>
        </w:tc>
      </w:tr>
      <w:tr w14:paraId="03932E0D">
        <w:tblPrEx>
          <w:tblCellMar>
            <w:top w:w="0" w:type="dxa"/>
            <w:left w:w="108" w:type="dxa"/>
            <w:bottom w:w="0" w:type="dxa"/>
            <w:right w:w="108" w:type="dxa"/>
          </w:tblCellMar>
        </w:tblPrEx>
        <w:trPr>
          <w:trHeight w:val="20" w:hRule="atLeast"/>
        </w:trPr>
        <w:tc>
          <w:tcPr>
            <w:tcW w:w="845" w:type="dxa"/>
            <w:tcBorders>
              <w:top w:val="nil"/>
              <w:left w:val="single" w:color="000000" w:sz="4" w:space="0"/>
              <w:bottom w:val="single" w:color="000000" w:sz="4" w:space="0"/>
              <w:right w:val="single" w:color="000000" w:sz="4" w:space="0"/>
            </w:tcBorders>
            <w:shd w:val="clear" w:color="auto" w:fill="auto"/>
            <w:vAlign w:val="center"/>
          </w:tcPr>
          <w:p w14:paraId="6B1DFF4A">
            <w:pPr>
              <w:pStyle w:val="57"/>
              <w:jc w:val="center"/>
              <w:rPr>
                <w:rFonts w:ascii="Times New Roman" w:cs="Times New Roman"/>
              </w:rPr>
            </w:pPr>
            <w:r>
              <w:rPr>
                <w:rFonts w:ascii="Times New Roman" w:cs="Times New Roman"/>
              </w:rPr>
              <w:t>36</w:t>
            </w:r>
          </w:p>
        </w:tc>
        <w:tc>
          <w:tcPr>
            <w:tcW w:w="1560" w:type="dxa"/>
            <w:tcBorders>
              <w:top w:val="nil"/>
              <w:left w:val="nil"/>
              <w:bottom w:val="single" w:color="000000" w:sz="4" w:space="0"/>
              <w:right w:val="single" w:color="000000" w:sz="4" w:space="0"/>
            </w:tcBorders>
            <w:shd w:val="clear" w:color="auto" w:fill="auto"/>
            <w:vAlign w:val="center"/>
          </w:tcPr>
          <w:p w14:paraId="3B7B4F82">
            <w:pPr>
              <w:pStyle w:val="57"/>
              <w:jc w:val="center"/>
              <w:rPr>
                <w:rFonts w:ascii="Times New Roman" w:cs="Times New Roman"/>
              </w:rPr>
            </w:pPr>
            <w:r>
              <w:rPr>
                <w:rFonts w:ascii="Times New Roman" w:cs="Times New Roman"/>
              </w:rPr>
              <w:t>靖江市</w:t>
            </w:r>
          </w:p>
        </w:tc>
        <w:tc>
          <w:tcPr>
            <w:tcW w:w="1707" w:type="dxa"/>
            <w:tcBorders>
              <w:top w:val="nil"/>
              <w:left w:val="nil"/>
              <w:bottom w:val="single" w:color="000000" w:sz="4" w:space="0"/>
              <w:right w:val="single" w:color="000000" w:sz="4" w:space="0"/>
            </w:tcBorders>
            <w:shd w:val="clear" w:color="auto" w:fill="auto"/>
            <w:vAlign w:val="center"/>
          </w:tcPr>
          <w:p w14:paraId="5AC1CEF1">
            <w:pPr>
              <w:pStyle w:val="57"/>
              <w:jc w:val="center"/>
              <w:rPr>
                <w:rFonts w:ascii="Times New Roman" w:cs="Times New Roman"/>
              </w:rPr>
            </w:pPr>
            <w:r>
              <w:rPr>
                <w:rFonts w:ascii="Times New Roman" w:cs="Times New Roman"/>
              </w:rPr>
              <w:t>天生港排涝站</w:t>
            </w:r>
          </w:p>
        </w:tc>
        <w:tc>
          <w:tcPr>
            <w:tcW w:w="1979" w:type="dxa"/>
            <w:tcBorders>
              <w:top w:val="nil"/>
              <w:left w:val="nil"/>
              <w:bottom w:val="single" w:color="000000" w:sz="4" w:space="0"/>
              <w:right w:val="single" w:color="000000" w:sz="4" w:space="0"/>
            </w:tcBorders>
            <w:shd w:val="clear" w:color="auto" w:fill="auto"/>
            <w:vAlign w:val="center"/>
          </w:tcPr>
          <w:p w14:paraId="6EBF1099">
            <w:pPr>
              <w:pStyle w:val="57"/>
              <w:jc w:val="center"/>
              <w:rPr>
                <w:rFonts w:ascii="Times New Roman" w:cs="Times New Roman"/>
              </w:rPr>
            </w:pPr>
            <w:r>
              <w:rPr>
                <w:rFonts w:ascii="Times New Roman" w:cs="Times New Roman"/>
              </w:rPr>
              <w:t>立式轴流泵</w:t>
            </w:r>
          </w:p>
        </w:tc>
        <w:tc>
          <w:tcPr>
            <w:tcW w:w="1701" w:type="dxa"/>
            <w:tcBorders>
              <w:top w:val="nil"/>
              <w:left w:val="nil"/>
              <w:bottom w:val="single" w:color="000000" w:sz="4" w:space="0"/>
              <w:right w:val="single" w:color="000000" w:sz="4" w:space="0"/>
            </w:tcBorders>
            <w:shd w:val="clear" w:color="auto" w:fill="auto"/>
            <w:vAlign w:val="center"/>
          </w:tcPr>
          <w:p w14:paraId="61F1D4CD">
            <w:pPr>
              <w:pStyle w:val="57"/>
              <w:jc w:val="center"/>
              <w:rPr>
                <w:rFonts w:ascii="Times New Roman" w:cs="Times New Roman"/>
              </w:rPr>
            </w:pPr>
            <w:r>
              <w:rPr>
                <w:rFonts w:ascii="Times New Roman" w:cs="Times New Roman"/>
              </w:rPr>
              <w:t>27</w:t>
            </w:r>
          </w:p>
        </w:tc>
        <w:tc>
          <w:tcPr>
            <w:tcW w:w="1177" w:type="dxa"/>
            <w:tcBorders>
              <w:top w:val="nil"/>
              <w:left w:val="nil"/>
              <w:bottom w:val="single" w:color="000000" w:sz="4" w:space="0"/>
              <w:right w:val="single" w:color="000000" w:sz="4" w:space="0"/>
            </w:tcBorders>
            <w:shd w:val="clear" w:color="auto" w:fill="auto"/>
            <w:vAlign w:val="center"/>
          </w:tcPr>
          <w:p w14:paraId="360C4C25">
            <w:pPr>
              <w:pStyle w:val="57"/>
              <w:jc w:val="center"/>
              <w:rPr>
                <w:rFonts w:ascii="Times New Roman" w:cs="Times New Roman"/>
              </w:rPr>
            </w:pPr>
            <w:r>
              <w:rPr>
                <w:rFonts w:ascii="Times New Roman" w:cs="Times New Roman"/>
              </w:rPr>
              <w:t>0.3</w:t>
            </w:r>
          </w:p>
        </w:tc>
      </w:tr>
      <w:tr w14:paraId="104440F1">
        <w:tblPrEx>
          <w:tblCellMar>
            <w:top w:w="0" w:type="dxa"/>
            <w:left w:w="108" w:type="dxa"/>
            <w:bottom w:w="0" w:type="dxa"/>
            <w:right w:w="108" w:type="dxa"/>
          </w:tblCellMar>
        </w:tblPrEx>
        <w:trPr>
          <w:trHeight w:val="20" w:hRule="atLeast"/>
        </w:trPr>
        <w:tc>
          <w:tcPr>
            <w:tcW w:w="845" w:type="dxa"/>
            <w:tcBorders>
              <w:top w:val="nil"/>
              <w:left w:val="single" w:color="000000" w:sz="4" w:space="0"/>
              <w:bottom w:val="single" w:color="000000" w:sz="4" w:space="0"/>
              <w:right w:val="single" w:color="000000" w:sz="4" w:space="0"/>
            </w:tcBorders>
            <w:shd w:val="clear" w:color="auto" w:fill="auto"/>
            <w:vAlign w:val="center"/>
          </w:tcPr>
          <w:p w14:paraId="438F8E63">
            <w:pPr>
              <w:pStyle w:val="57"/>
              <w:jc w:val="center"/>
              <w:rPr>
                <w:rFonts w:ascii="Times New Roman" w:cs="Times New Roman"/>
              </w:rPr>
            </w:pPr>
            <w:r>
              <w:rPr>
                <w:rFonts w:ascii="Times New Roman" w:cs="Times New Roman"/>
              </w:rPr>
              <w:t>37</w:t>
            </w:r>
          </w:p>
        </w:tc>
        <w:tc>
          <w:tcPr>
            <w:tcW w:w="1560" w:type="dxa"/>
            <w:tcBorders>
              <w:top w:val="nil"/>
              <w:left w:val="nil"/>
              <w:bottom w:val="single" w:color="000000" w:sz="4" w:space="0"/>
              <w:right w:val="single" w:color="000000" w:sz="4" w:space="0"/>
            </w:tcBorders>
            <w:shd w:val="clear" w:color="auto" w:fill="auto"/>
            <w:vAlign w:val="center"/>
          </w:tcPr>
          <w:p w14:paraId="75031F04">
            <w:pPr>
              <w:pStyle w:val="57"/>
              <w:jc w:val="center"/>
              <w:rPr>
                <w:rFonts w:ascii="Times New Roman" w:cs="Times New Roman"/>
              </w:rPr>
            </w:pPr>
            <w:r>
              <w:rPr>
                <w:rFonts w:ascii="Times New Roman" w:cs="Times New Roman"/>
              </w:rPr>
              <w:t>靖江市</w:t>
            </w:r>
          </w:p>
        </w:tc>
        <w:tc>
          <w:tcPr>
            <w:tcW w:w="1707" w:type="dxa"/>
            <w:tcBorders>
              <w:top w:val="nil"/>
              <w:left w:val="nil"/>
              <w:bottom w:val="single" w:color="000000" w:sz="4" w:space="0"/>
              <w:right w:val="single" w:color="000000" w:sz="4" w:space="0"/>
            </w:tcBorders>
            <w:shd w:val="clear" w:color="auto" w:fill="auto"/>
            <w:vAlign w:val="center"/>
          </w:tcPr>
          <w:p w14:paraId="114EECAA">
            <w:pPr>
              <w:pStyle w:val="57"/>
              <w:jc w:val="center"/>
              <w:rPr>
                <w:rFonts w:ascii="Times New Roman" w:cs="Times New Roman"/>
              </w:rPr>
            </w:pPr>
            <w:r>
              <w:rPr>
                <w:rFonts w:ascii="Times New Roman" w:cs="Times New Roman"/>
              </w:rPr>
              <w:t>蟛蜞港西侧排涝站</w:t>
            </w:r>
          </w:p>
        </w:tc>
        <w:tc>
          <w:tcPr>
            <w:tcW w:w="1979" w:type="dxa"/>
            <w:tcBorders>
              <w:top w:val="nil"/>
              <w:left w:val="nil"/>
              <w:bottom w:val="single" w:color="000000" w:sz="4" w:space="0"/>
              <w:right w:val="single" w:color="000000" w:sz="4" w:space="0"/>
            </w:tcBorders>
            <w:shd w:val="clear" w:color="auto" w:fill="auto"/>
            <w:vAlign w:val="center"/>
          </w:tcPr>
          <w:p w14:paraId="377E7360">
            <w:pPr>
              <w:pStyle w:val="57"/>
              <w:jc w:val="center"/>
              <w:rPr>
                <w:rFonts w:ascii="Times New Roman" w:cs="Times New Roman"/>
              </w:rPr>
            </w:pPr>
            <w:r>
              <w:rPr>
                <w:rFonts w:ascii="Times New Roman" w:cs="Times New Roman"/>
              </w:rPr>
              <w:t>立式轴流泵</w:t>
            </w:r>
          </w:p>
        </w:tc>
        <w:tc>
          <w:tcPr>
            <w:tcW w:w="1701" w:type="dxa"/>
            <w:tcBorders>
              <w:top w:val="nil"/>
              <w:left w:val="nil"/>
              <w:bottom w:val="single" w:color="000000" w:sz="4" w:space="0"/>
              <w:right w:val="single" w:color="000000" w:sz="4" w:space="0"/>
            </w:tcBorders>
            <w:shd w:val="clear" w:color="auto" w:fill="auto"/>
            <w:vAlign w:val="center"/>
          </w:tcPr>
          <w:p w14:paraId="4FB67BFE">
            <w:pPr>
              <w:pStyle w:val="57"/>
              <w:jc w:val="center"/>
              <w:rPr>
                <w:rFonts w:ascii="Times New Roman" w:cs="Times New Roman"/>
              </w:rPr>
            </w:pPr>
          </w:p>
        </w:tc>
        <w:tc>
          <w:tcPr>
            <w:tcW w:w="1177" w:type="dxa"/>
            <w:tcBorders>
              <w:top w:val="nil"/>
              <w:left w:val="nil"/>
              <w:bottom w:val="single" w:color="000000" w:sz="4" w:space="0"/>
              <w:right w:val="single" w:color="000000" w:sz="4" w:space="0"/>
            </w:tcBorders>
            <w:shd w:val="clear" w:color="auto" w:fill="auto"/>
            <w:vAlign w:val="center"/>
          </w:tcPr>
          <w:p w14:paraId="5A6E675B">
            <w:pPr>
              <w:pStyle w:val="57"/>
              <w:jc w:val="center"/>
              <w:rPr>
                <w:rFonts w:ascii="Times New Roman" w:cs="Times New Roman"/>
              </w:rPr>
            </w:pPr>
            <w:r>
              <w:rPr>
                <w:rFonts w:ascii="Times New Roman" w:cs="Times New Roman"/>
              </w:rPr>
              <w:t>4</w:t>
            </w:r>
          </w:p>
        </w:tc>
      </w:tr>
      <w:tr w14:paraId="0B99A246">
        <w:tblPrEx>
          <w:tblCellMar>
            <w:top w:w="0" w:type="dxa"/>
            <w:left w:w="108" w:type="dxa"/>
            <w:bottom w:w="0" w:type="dxa"/>
            <w:right w:w="108" w:type="dxa"/>
          </w:tblCellMar>
        </w:tblPrEx>
        <w:trPr>
          <w:trHeight w:val="20" w:hRule="atLeast"/>
        </w:trPr>
        <w:tc>
          <w:tcPr>
            <w:tcW w:w="845" w:type="dxa"/>
            <w:tcBorders>
              <w:top w:val="nil"/>
              <w:left w:val="single" w:color="000000" w:sz="4" w:space="0"/>
              <w:bottom w:val="single" w:color="000000" w:sz="4" w:space="0"/>
              <w:right w:val="single" w:color="000000" w:sz="4" w:space="0"/>
            </w:tcBorders>
            <w:shd w:val="clear" w:color="auto" w:fill="auto"/>
            <w:vAlign w:val="center"/>
          </w:tcPr>
          <w:p w14:paraId="4C684442">
            <w:pPr>
              <w:pStyle w:val="57"/>
              <w:jc w:val="center"/>
              <w:rPr>
                <w:rFonts w:ascii="Times New Roman" w:cs="Times New Roman"/>
              </w:rPr>
            </w:pPr>
            <w:r>
              <w:rPr>
                <w:rFonts w:ascii="Times New Roman" w:cs="Times New Roman"/>
              </w:rPr>
              <w:t>38</w:t>
            </w:r>
          </w:p>
        </w:tc>
        <w:tc>
          <w:tcPr>
            <w:tcW w:w="1560" w:type="dxa"/>
            <w:tcBorders>
              <w:top w:val="nil"/>
              <w:left w:val="nil"/>
              <w:bottom w:val="single" w:color="000000" w:sz="4" w:space="0"/>
              <w:right w:val="single" w:color="000000" w:sz="4" w:space="0"/>
            </w:tcBorders>
            <w:shd w:val="clear" w:color="auto" w:fill="auto"/>
            <w:vAlign w:val="center"/>
          </w:tcPr>
          <w:p w14:paraId="11B1E37E">
            <w:pPr>
              <w:pStyle w:val="57"/>
              <w:jc w:val="center"/>
              <w:rPr>
                <w:rFonts w:ascii="Times New Roman" w:cs="Times New Roman"/>
              </w:rPr>
            </w:pPr>
            <w:r>
              <w:rPr>
                <w:rFonts w:ascii="Times New Roman" w:cs="Times New Roman"/>
              </w:rPr>
              <w:t>靖江市</w:t>
            </w:r>
          </w:p>
        </w:tc>
        <w:tc>
          <w:tcPr>
            <w:tcW w:w="1707" w:type="dxa"/>
            <w:tcBorders>
              <w:top w:val="nil"/>
              <w:left w:val="nil"/>
              <w:bottom w:val="single" w:color="000000" w:sz="4" w:space="0"/>
              <w:right w:val="single" w:color="000000" w:sz="4" w:space="0"/>
            </w:tcBorders>
            <w:shd w:val="clear" w:color="auto" w:fill="auto"/>
            <w:vAlign w:val="center"/>
          </w:tcPr>
          <w:p w14:paraId="17AFF4E5">
            <w:pPr>
              <w:pStyle w:val="57"/>
              <w:jc w:val="center"/>
              <w:rPr>
                <w:rFonts w:ascii="Times New Roman" w:cs="Times New Roman"/>
              </w:rPr>
            </w:pPr>
            <w:r>
              <w:rPr>
                <w:rFonts w:ascii="Times New Roman" w:cs="Times New Roman"/>
              </w:rPr>
              <w:t>靖安排涝站</w:t>
            </w:r>
          </w:p>
        </w:tc>
        <w:tc>
          <w:tcPr>
            <w:tcW w:w="1979" w:type="dxa"/>
            <w:tcBorders>
              <w:top w:val="nil"/>
              <w:left w:val="nil"/>
              <w:bottom w:val="single" w:color="000000" w:sz="4" w:space="0"/>
              <w:right w:val="single" w:color="000000" w:sz="4" w:space="0"/>
            </w:tcBorders>
            <w:shd w:val="clear" w:color="auto" w:fill="auto"/>
            <w:vAlign w:val="center"/>
          </w:tcPr>
          <w:p w14:paraId="77086A13">
            <w:pPr>
              <w:pStyle w:val="57"/>
              <w:jc w:val="center"/>
              <w:rPr>
                <w:rFonts w:ascii="Times New Roman" w:cs="Times New Roman"/>
              </w:rPr>
            </w:pPr>
          </w:p>
        </w:tc>
        <w:tc>
          <w:tcPr>
            <w:tcW w:w="1701" w:type="dxa"/>
            <w:tcBorders>
              <w:top w:val="nil"/>
              <w:left w:val="nil"/>
              <w:bottom w:val="single" w:color="000000" w:sz="4" w:space="0"/>
              <w:right w:val="single" w:color="000000" w:sz="4" w:space="0"/>
            </w:tcBorders>
            <w:shd w:val="clear" w:color="auto" w:fill="auto"/>
            <w:vAlign w:val="center"/>
          </w:tcPr>
          <w:p w14:paraId="2D28FF38">
            <w:pPr>
              <w:pStyle w:val="57"/>
              <w:jc w:val="center"/>
              <w:rPr>
                <w:rFonts w:ascii="Times New Roman" w:cs="Times New Roman"/>
              </w:rPr>
            </w:pPr>
            <w:r>
              <w:rPr>
                <w:rFonts w:ascii="Times New Roman" w:cs="Times New Roman"/>
              </w:rPr>
              <w:t>37</w:t>
            </w:r>
          </w:p>
        </w:tc>
        <w:tc>
          <w:tcPr>
            <w:tcW w:w="1177" w:type="dxa"/>
            <w:tcBorders>
              <w:top w:val="nil"/>
              <w:left w:val="nil"/>
              <w:bottom w:val="single" w:color="000000" w:sz="4" w:space="0"/>
              <w:right w:val="single" w:color="000000" w:sz="4" w:space="0"/>
            </w:tcBorders>
            <w:shd w:val="clear" w:color="auto" w:fill="auto"/>
            <w:vAlign w:val="center"/>
          </w:tcPr>
          <w:p w14:paraId="6BD91302">
            <w:pPr>
              <w:pStyle w:val="57"/>
              <w:jc w:val="center"/>
              <w:rPr>
                <w:rFonts w:ascii="Times New Roman" w:cs="Times New Roman"/>
              </w:rPr>
            </w:pPr>
            <w:r>
              <w:rPr>
                <w:rFonts w:ascii="Times New Roman" w:cs="Times New Roman"/>
              </w:rPr>
              <w:t>0.5</w:t>
            </w:r>
          </w:p>
        </w:tc>
      </w:tr>
      <w:tr w14:paraId="524E41C9">
        <w:tblPrEx>
          <w:tblCellMar>
            <w:top w:w="0" w:type="dxa"/>
            <w:left w:w="108" w:type="dxa"/>
            <w:bottom w:w="0" w:type="dxa"/>
            <w:right w:w="108" w:type="dxa"/>
          </w:tblCellMar>
        </w:tblPrEx>
        <w:trPr>
          <w:trHeight w:val="20" w:hRule="atLeast"/>
        </w:trPr>
        <w:tc>
          <w:tcPr>
            <w:tcW w:w="845" w:type="dxa"/>
            <w:tcBorders>
              <w:top w:val="nil"/>
              <w:left w:val="single" w:color="000000" w:sz="4" w:space="0"/>
              <w:bottom w:val="single" w:color="000000" w:sz="4" w:space="0"/>
              <w:right w:val="single" w:color="000000" w:sz="4" w:space="0"/>
            </w:tcBorders>
            <w:shd w:val="clear" w:color="auto" w:fill="auto"/>
            <w:vAlign w:val="center"/>
          </w:tcPr>
          <w:p w14:paraId="31DFDEBC">
            <w:pPr>
              <w:pStyle w:val="57"/>
              <w:jc w:val="center"/>
              <w:rPr>
                <w:rFonts w:ascii="Times New Roman" w:cs="Times New Roman"/>
              </w:rPr>
            </w:pPr>
            <w:r>
              <w:rPr>
                <w:rFonts w:ascii="Times New Roman" w:cs="Times New Roman"/>
              </w:rPr>
              <w:t>39</w:t>
            </w:r>
          </w:p>
        </w:tc>
        <w:tc>
          <w:tcPr>
            <w:tcW w:w="1560" w:type="dxa"/>
            <w:tcBorders>
              <w:top w:val="nil"/>
              <w:left w:val="nil"/>
              <w:bottom w:val="single" w:color="000000" w:sz="4" w:space="0"/>
              <w:right w:val="single" w:color="000000" w:sz="4" w:space="0"/>
            </w:tcBorders>
            <w:shd w:val="clear" w:color="auto" w:fill="auto"/>
            <w:vAlign w:val="center"/>
          </w:tcPr>
          <w:p w14:paraId="1B467C23">
            <w:pPr>
              <w:pStyle w:val="57"/>
              <w:jc w:val="center"/>
              <w:rPr>
                <w:rFonts w:ascii="Times New Roman" w:cs="Times New Roman"/>
              </w:rPr>
            </w:pPr>
            <w:r>
              <w:rPr>
                <w:rFonts w:ascii="Times New Roman" w:cs="Times New Roman"/>
              </w:rPr>
              <w:t>靖江市</w:t>
            </w:r>
          </w:p>
        </w:tc>
        <w:tc>
          <w:tcPr>
            <w:tcW w:w="1707" w:type="dxa"/>
            <w:tcBorders>
              <w:top w:val="nil"/>
              <w:left w:val="nil"/>
              <w:bottom w:val="single" w:color="000000" w:sz="4" w:space="0"/>
              <w:right w:val="single" w:color="000000" w:sz="4" w:space="0"/>
            </w:tcBorders>
            <w:shd w:val="clear" w:color="auto" w:fill="auto"/>
            <w:vAlign w:val="center"/>
          </w:tcPr>
          <w:p w14:paraId="1E1676BB">
            <w:pPr>
              <w:pStyle w:val="57"/>
              <w:jc w:val="center"/>
              <w:rPr>
                <w:rFonts w:ascii="Times New Roman" w:cs="Times New Roman"/>
              </w:rPr>
            </w:pPr>
            <w:r>
              <w:rPr>
                <w:rFonts w:ascii="Times New Roman" w:cs="Times New Roman"/>
              </w:rPr>
              <w:t>丰产2#排涝站</w:t>
            </w:r>
          </w:p>
        </w:tc>
        <w:tc>
          <w:tcPr>
            <w:tcW w:w="1979" w:type="dxa"/>
            <w:tcBorders>
              <w:top w:val="nil"/>
              <w:left w:val="nil"/>
              <w:bottom w:val="single" w:color="000000" w:sz="4" w:space="0"/>
              <w:right w:val="single" w:color="000000" w:sz="4" w:space="0"/>
            </w:tcBorders>
            <w:shd w:val="clear" w:color="auto" w:fill="auto"/>
            <w:vAlign w:val="center"/>
          </w:tcPr>
          <w:p w14:paraId="67163579">
            <w:pPr>
              <w:pStyle w:val="57"/>
              <w:jc w:val="center"/>
              <w:rPr>
                <w:rFonts w:ascii="Times New Roman" w:cs="Times New Roman"/>
              </w:rPr>
            </w:pPr>
          </w:p>
        </w:tc>
        <w:tc>
          <w:tcPr>
            <w:tcW w:w="1701" w:type="dxa"/>
            <w:tcBorders>
              <w:top w:val="nil"/>
              <w:left w:val="nil"/>
              <w:bottom w:val="single" w:color="000000" w:sz="4" w:space="0"/>
              <w:right w:val="single" w:color="000000" w:sz="4" w:space="0"/>
            </w:tcBorders>
            <w:shd w:val="clear" w:color="auto" w:fill="auto"/>
            <w:vAlign w:val="center"/>
          </w:tcPr>
          <w:p w14:paraId="7E5FA4D0">
            <w:pPr>
              <w:pStyle w:val="57"/>
              <w:jc w:val="center"/>
              <w:rPr>
                <w:rFonts w:ascii="Times New Roman" w:cs="Times New Roman"/>
              </w:rPr>
            </w:pPr>
            <w:r>
              <w:rPr>
                <w:rFonts w:ascii="Times New Roman" w:cs="Times New Roman"/>
              </w:rPr>
              <w:t>55</w:t>
            </w:r>
          </w:p>
        </w:tc>
        <w:tc>
          <w:tcPr>
            <w:tcW w:w="1177" w:type="dxa"/>
            <w:tcBorders>
              <w:top w:val="nil"/>
              <w:left w:val="nil"/>
              <w:bottom w:val="single" w:color="000000" w:sz="4" w:space="0"/>
              <w:right w:val="single" w:color="000000" w:sz="4" w:space="0"/>
            </w:tcBorders>
            <w:shd w:val="clear" w:color="auto" w:fill="auto"/>
            <w:vAlign w:val="center"/>
          </w:tcPr>
          <w:p w14:paraId="7A668DE5">
            <w:pPr>
              <w:pStyle w:val="57"/>
              <w:jc w:val="center"/>
              <w:rPr>
                <w:rFonts w:ascii="Times New Roman" w:cs="Times New Roman"/>
              </w:rPr>
            </w:pPr>
            <w:r>
              <w:rPr>
                <w:rFonts w:ascii="Times New Roman" w:cs="Times New Roman"/>
              </w:rPr>
              <w:t>1</w:t>
            </w:r>
          </w:p>
        </w:tc>
      </w:tr>
    </w:tbl>
    <w:p w14:paraId="4D05C41A">
      <w:pPr>
        <w:ind w:firstLine="480"/>
      </w:pPr>
      <w:r>
        <w:br w:type="page"/>
      </w:r>
    </w:p>
    <w:p w14:paraId="2FC6BF4E">
      <w:pPr>
        <w:pStyle w:val="64"/>
      </w:pPr>
      <w:r>
        <w:rPr>
          <w:rFonts w:hint="eastAsia"/>
        </w:rPr>
        <w:t>附表3</w:t>
      </w:r>
      <w:r>
        <w:t xml:space="preserve">-4 </w:t>
      </w:r>
      <w:r>
        <w:rPr>
          <w:rFonts w:hint="eastAsia"/>
        </w:rPr>
        <w:t>泰州市老328国道流域控制性建筑物名录表</w:t>
      </w:r>
    </w:p>
    <w:tbl>
      <w:tblPr>
        <w:tblStyle w:val="29"/>
        <w:tblW w:w="5000" w:type="pct"/>
        <w:tblInd w:w="0" w:type="dxa"/>
        <w:tblLayout w:type="autofit"/>
        <w:tblCellMar>
          <w:top w:w="0" w:type="dxa"/>
          <w:left w:w="108" w:type="dxa"/>
          <w:bottom w:w="0" w:type="dxa"/>
          <w:right w:w="108" w:type="dxa"/>
        </w:tblCellMar>
      </w:tblPr>
      <w:tblGrid>
        <w:gridCol w:w="968"/>
        <w:gridCol w:w="1549"/>
        <w:gridCol w:w="2977"/>
        <w:gridCol w:w="1700"/>
        <w:gridCol w:w="1888"/>
      </w:tblGrid>
      <w:tr w14:paraId="7516A53E">
        <w:tblPrEx>
          <w:tblCellMar>
            <w:top w:w="0" w:type="dxa"/>
            <w:left w:w="108" w:type="dxa"/>
            <w:bottom w:w="0" w:type="dxa"/>
            <w:right w:w="108" w:type="dxa"/>
          </w:tblCellMar>
        </w:tblPrEx>
        <w:trPr>
          <w:trHeight w:val="20" w:hRule="atLeast"/>
          <w:tblHeader/>
        </w:trPr>
        <w:tc>
          <w:tcPr>
            <w:tcW w:w="533" w:type="pct"/>
            <w:tcBorders>
              <w:top w:val="single" w:color="auto" w:sz="4" w:space="0"/>
              <w:left w:val="single" w:color="auto" w:sz="4" w:space="0"/>
              <w:bottom w:val="single" w:color="auto" w:sz="4" w:space="0"/>
              <w:right w:val="single" w:color="auto" w:sz="4" w:space="0"/>
            </w:tcBorders>
            <w:shd w:val="clear" w:color="auto" w:fill="auto"/>
            <w:vAlign w:val="center"/>
          </w:tcPr>
          <w:p w14:paraId="68E5F25D">
            <w:pPr>
              <w:pStyle w:val="57"/>
              <w:jc w:val="center"/>
              <w:rPr>
                <w:rFonts w:ascii="Times New Roman" w:cs="Times New Roman"/>
                <w:b/>
              </w:rPr>
            </w:pPr>
            <w:r>
              <w:rPr>
                <w:rFonts w:ascii="Times New Roman" w:cs="Times New Roman"/>
                <w:b/>
              </w:rPr>
              <w:t>序号</w:t>
            </w:r>
          </w:p>
        </w:tc>
        <w:tc>
          <w:tcPr>
            <w:tcW w:w="853" w:type="pct"/>
            <w:tcBorders>
              <w:top w:val="single" w:color="auto" w:sz="4" w:space="0"/>
              <w:left w:val="nil"/>
              <w:bottom w:val="single" w:color="auto" w:sz="4" w:space="0"/>
              <w:right w:val="single" w:color="auto" w:sz="4" w:space="0"/>
            </w:tcBorders>
            <w:shd w:val="clear" w:color="auto" w:fill="auto"/>
            <w:vAlign w:val="center"/>
          </w:tcPr>
          <w:p w14:paraId="2EFC92C0">
            <w:pPr>
              <w:pStyle w:val="57"/>
              <w:jc w:val="center"/>
              <w:rPr>
                <w:rFonts w:ascii="Times New Roman" w:cs="Times New Roman"/>
                <w:b/>
              </w:rPr>
            </w:pPr>
            <w:r>
              <w:rPr>
                <w:rFonts w:ascii="Times New Roman" w:cs="Times New Roman"/>
                <w:b/>
              </w:rPr>
              <w:t>工程名称</w:t>
            </w:r>
          </w:p>
        </w:tc>
        <w:tc>
          <w:tcPr>
            <w:tcW w:w="1639" w:type="pct"/>
            <w:tcBorders>
              <w:top w:val="single" w:color="auto" w:sz="4" w:space="0"/>
              <w:left w:val="nil"/>
              <w:bottom w:val="single" w:color="auto" w:sz="4" w:space="0"/>
              <w:right w:val="single" w:color="auto" w:sz="4" w:space="0"/>
            </w:tcBorders>
            <w:shd w:val="clear" w:color="auto" w:fill="auto"/>
            <w:vAlign w:val="center"/>
          </w:tcPr>
          <w:p w14:paraId="25E48D80">
            <w:pPr>
              <w:pStyle w:val="57"/>
              <w:jc w:val="center"/>
              <w:rPr>
                <w:rFonts w:ascii="Times New Roman" w:cs="Times New Roman"/>
                <w:b/>
              </w:rPr>
            </w:pPr>
            <w:r>
              <w:rPr>
                <w:rFonts w:ascii="Times New Roman" w:cs="Times New Roman"/>
                <w:b/>
              </w:rPr>
              <w:t>工程位置</w:t>
            </w:r>
          </w:p>
        </w:tc>
        <w:tc>
          <w:tcPr>
            <w:tcW w:w="936" w:type="pct"/>
            <w:tcBorders>
              <w:top w:val="single" w:color="auto" w:sz="4" w:space="0"/>
              <w:left w:val="nil"/>
              <w:bottom w:val="single" w:color="auto" w:sz="4" w:space="0"/>
              <w:right w:val="single" w:color="auto" w:sz="4" w:space="0"/>
            </w:tcBorders>
            <w:shd w:val="clear" w:color="auto" w:fill="auto"/>
            <w:vAlign w:val="center"/>
          </w:tcPr>
          <w:p w14:paraId="35B2183F">
            <w:pPr>
              <w:pStyle w:val="57"/>
              <w:jc w:val="center"/>
              <w:rPr>
                <w:rFonts w:ascii="Times New Roman" w:cs="Times New Roman"/>
                <w:b/>
              </w:rPr>
            </w:pPr>
            <w:r>
              <w:rPr>
                <w:rFonts w:ascii="Times New Roman" w:cs="Times New Roman"/>
                <w:b/>
              </w:rPr>
              <w:t>主要作用</w:t>
            </w:r>
          </w:p>
        </w:tc>
        <w:tc>
          <w:tcPr>
            <w:tcW w:w="1039" w:type="pct"/>
            <w:tcBorders>
              <w:top w:val="single" w:color="auto" w:sz="4" w:space="0"/>
              <w:left w:val="nil"/>
              <w:bottom w:val="single" w:color="auto" w:sz="4" w:space="0"/>
              <w:right w:val="single" w:color="auto" w:sz="4" w:space="0"/>
            </w:tcBorders>
            <w:shd w:val="clear" w:color="auto" w:fill="auto"/>
            <w:vAlign w:val="center"/>
          </w:tcPr>
          <w:p w14:paraId="72997EDA">
            <w:pPr>
              <w:pStyle w:val="57"/>
              <w:jc w:val="center"/>
              <w:rPr>
                <w:rFonts w:ascii="Times New Roman" w:cs="Times New Roman"/>
                <w:b/>
              </w:rPr>
            </w:pPr>
            <w:r>
              <w:rPr>
                <w:rFonts w:ascii="Times New Roman" w:cs="Times New Roman"/>
                <w:b/>
              </w:rPr>
              <w:t>设计最大流量</w:t>
            </w:r>
            <w:r>
              <w:rPr>
                <w:rFonts w:ascii="Times New Roman" w:cs="Times New Roman"/>
                <w:b/>
              </w:rPr>
              <w:br w:type="textWrapping"/>
            </w:r>
            <w:r>
              <w:rPr>
                <w:rFonts w:ascii="Times New Roman" w:cs="Times New Roman"/>
                <w:b/>
              </w:rPr>
              <w:t>(m</w:t>
            </w:r>
            <w:r>
              <w:rPr>
                <w:rFonts w:ascii="Times New Roman" w:cs="Times New Roman"/>
                <w:b/>
                <w:vertAlign w:val="superscript"/>
              </w:rPr>
              <w:t>3</w:t>
            </w:r>
            <w:r>
              <w:rPr>
                <w:rFonts w:ascii="Times New Roman" w:cs="Times New Roman"/>
                <w:b/>
              </w:rPr>
              <w:t>/s)</w:t>
            </w:r>
          </w:p>
        </w:tc>
      </w:tr>
      <w:tr w14:paraId="5E1E6675">
        <w:tblPrEx>
          <w:tblCellMar>
            <w:top w:w="0" w:type="dxa"/>
            <w:left w:w="108" w:type="dxa"/>
            <w:bottom w:w="0" w:type="dxa"/>
            <w:right w:w="108" w:type="dxa"/>
          </w:tblCellMar>
        </w:tblPrEx>
        <w:trPr>
          <w:trHeight w:val="20" w:hRule="atLeast"/>
        </w:trPr>
        <w:tc>
          <w:tcPr>
            <w:tcW w:w="533" w:type="pct"/>
            <w:tcBorders>
              <w:top w:val="nil"/>
              <w:left w:val="single" w:color="auto" w:sz="4" w:space="0"/>
              <w:bottom w:val="single" w:color="auto" w:sz="4" w:space="0"/>
              <w:right w:val="single" w:color="auto" w:sz="4" w:space="0"/>
            </w:tcBorders>
            <w:shd w:val="clear" w:color="auto" w:fill="auto"/>
            <w:vAlign w:val="center"/>
          </w:tcPr>
          <w:p w14:paraId="02F05721">
            <w:pPr>
              <w:pStyle w:val="57"/>
              <w:jc w:val="center"/>
              <w:rPr>
                <w:rFonts w:ascii="Times New Roman" w:cs="Times New Roman"/>
              </w:rPr>
            </w:pPr>
          </w:p>
        </w:tc>
        <w:tc>
          <w:tcPr>
            <w:tcW w:w="4467" w:type="pct"/>
            <w:gridSpan w:val="4"/>
            <w:tcBorders>
              <w:top w:val="single" w:color="auto" w:sz="4" w:space="0"/>
              <w:left w:val="nil"/>
              <w:bottom w:val="single" w:color="auto" w:sz="4" w:space="0"/>
              <w:right w:val="single" w:color="auto" w:sz="4" w:space="0"/>
            </w:tcBorders>
            <w:shd w:val="clear" w:color="auto" w:fill="auto"/>
            <w:vAlign w:val="center"/>
          </w:tcPr>
          <w:p w14:paraId="1D87BA31">
            <w:pPr>
              <w:pStyle w:val="57"/>
              <w:jc w:val="center"/>
              <w:rPr>
                <w:rFonts w:ascii="Times New Roman" w:cs="Times New Roman"/>
                <w:b/>
                <w:bCs/>
              </w:rPr>
            </w:pPr>
            <w:r>
              <w:rPr>
                <w:rFonts w:ascii="Times New Roman" w:cs="Times New Roman"/>
                <w:b/>
                <w:bCs/>
              </w:rPr>
              <w:t>姜堰</w:t>
            </w:r>
          </w:p>
        </w:tc>
      </w:tr>
      <w:tr w14:paraId="49AB462F">
        <w:tblPrEx>
          <w:tblCellMar>
            <w:top w:w="0" w:type="dxa"/>
            <w:left w:w="108" w:type="dxa"/>
            <w:bottom w:w="0" w:type="dxa"/>
            <w:right w:w="108" w:type="dxa"/>
          </w:tblCellMar>
        </w:tblPrEx>
        <w:trPr>
          <w:trHeight w:val="20" w:hRule="atLeast"/>
        </w:trPr>
        <w:tc>
          <w:tcPr>
            <w:tcW w:w="533" w:type="pct"/>
            <w:tcBorders>
              <w:top w:val="nil"/>
              <w:left w:val="single" w:color="auto" w:sz="4" w:space="0"/>
              <w:bottom w:val="single" w:color="auto" w:sz="4" w:space="0"/>
              <w:right w:val="single" w:color="auto" w:sz="4" w:space="0"/>
            </w:tcBorders>
            <w:shd w:val="clear" w:color="auto" w:fill="auto"/>
            <w:vAlign w:val="center"/>
          </w:tcPr>
          <w:p w14:paraId="7DFC7CF0">
            <w:pPr>
              <w:pStyle w:val="57"/>
              <w:jc w:val="center"/>
              <w:rPr>
                <w:rFonts w:ascii="Times New Roman" w:cs="Times New Roman"/>
              </w:rPr>
            </w:pPr>
            <w:r>
              <w:rPr>
                <w:rFonts w:ascii="Times New Roman" w:cs="Times New Roman"/>
              </w:rPr>
              <w:t>1</w:t>
            </w:r>
          </w:p>
        </w:tc>
        <w:tc>
          <w:tcPr>
            <w:tcW w:w="853" w:type="pct"/>
            <w:tcBorders>
              <w:top w:val="nil"/>
              <w:left w:val="nil"/>
              <w:bottom w:val="single" w:color="auto" w:sz="4" w:space="0"/>
              <w:right w:val="single" w:color="auto" w:sz="4" w:space="0"/>
            </w:tcBorders>
            <w:shd w:val="clear" w:color="auto" w:fill="auto"/>
            <w:vAlign w:val="center"/>
          </w:tcPr>
          <w:p w14:paraId="510B10E0">
            <w:pPr>
              <w:pStyle w:val="57"/>
              <w:jc w:val="center"/>
              <w:rPr>
                <w:rFonts w:ascii="Times New Roman" w:cs="Times New Roman"/>
              </w:rPr>
            </w:pPr>
            <w:r>
              <w:rPr>
                <w:rFonts w:ascii="Times New Roman" w:cs="Times New Roman"/>
              </w:rPr>
              <w:t>马宁闸</w:t>
            </w:r>
          </w:p>
        </w:tc>
        <w:tc>
          <w:tcPr>
            <w:tcW w:w="1639" w:type="pct"/>
            <w:tcBorders>
              <w:top w:val="nil"/>
              <w:left w:val="nil"/>
              <w:bottom w:val="single" w:color="auto" w:sz="4" w:space="0"/>
              <w:right w:val="single" w:color="auto" w:sz="4" w:space="0"/>
            </w:tcBorders>
            <w:shd w:val="clear" w:color="auto" w:fill="auto"/>
            <w:vAlign w:val="center"/>
          </w:tcPr>
          <w:p w14:paraId="025F3C2B">
            <w:pPr>
              <w:pStyle w:val="57"/>
              <w:jc w:val="center"/>
              <w:rPr>
                <w:rFonts w:ascii="Times New Roman" w:cs="Times New Roman"/>
              </w:rPr>
            </w:pPr>
            <w:r>
              <w:rPr>
                <w:rFonts w:ascii="Times New Roman" w:cs="Times New Roman"/>
              </w:rPr>
              <w:t>姜堰大道和昆山路路口东南侧50米处</w:t>
            </w:r>
          </w:p>
        </w:tc>
        <w:tc>
          <w:tcPr>
            <w:tcW w:w="936" w:type="pct"/>
            <w:tcBorders>
              <w:top w:val="nil"/>
              <w:left w:val="nil"/>
              <w:bottom w:val="single" w:color="auto" w:sz="4" w:space="0"/>
              <w:right w:val="single" w:color="auto" w:sz="4" w:space="0"/>
            </w:tcBorders>
            <w:shd w:val="clear" w:color="auto" w:fill="auto"/>
            <w:vAlign w:val="center"/>
          </w:tcPr>
          <w:p w14:paraId="3F7A136D">
            <w:pPr>
              <w:pStyle w:val="57"/>
              <w:jc w:val="center"/>
              <w:rPr>
                <w:rFonts w:ascii="Times New Roman" w:cs="Times New Roman"/>
              </w:rPr>
            </w:pPr>
            <w:r>
              <w:rPr>
                <w:rFonts w:ascii="Times New Roman" w:cs="Times New Roman"/>
              </w:rPr>
              <w:t>防洪、引水排涝、活水</w:t>
            </w:r>
          </w:p>
        </w:tc>
        <w:tc>
          <w:tcPr>
            <w:tcW w:w="1039" w:type="pct"/>
            <w:tcBorders>
              <w:top w:val="nil"/>
              <w:left w:val="nil"/>
              <w:bottom w:val="single" w:color="auto" w:sz="4" w:space="0"/>
              <w:right w:val="single" w:color="auto" w:sz="4" w:space="0"/>
            </w:tcBorders>
            <w:shd w:val="clear" w:color="auto" w:fill="auto"/>
            <w:vAlign w:val="center"/>
          </w:tcPr>
          <w:p w14:paraId="30879B86">
            <w:pPr>
              <w:pStyle w:val="57"/>
              <w:jc w:val="center"/>
              <w:rPr>
                <w:rFonts w:ascii="Times New Roman" w:cs="Times New Roman"/>
              </w:rPr>
            </w:pPr>
            <w:r>
              <w:rPr>
                <w:rFonts w:ascii="Times New Roman" w:cs="Times New Roman"/>
              </w:rPr>
              <w:t>12</w:t>
            </w:r>
          </w:p>
        </w:tc>
      </w:tr>
      <w:tr w14:paraId="6966F028">
        <w:tblPrEx>
          <w:tblCellMar>
            <w:top w:w="0" w:type="dxa"/>
            <w:left w:w="108" w:type="dxa"/>
            <w:bottom w:w="0" w:type="dxa"/>
            <w:right w:w="108" w:type="dxa"/>
          </w:tblCellMar>
        </w:tblPrEx>
        <w:trPr>
          <w:trHeight w:val="20" w:hRule="atLeast"/>
        </w:trPr>
        <w:tc>
          <w:tcPr>
            <w:tcW w:w="533" w:type="pct"/>
            <w:tcBorders>
              <w:top w:val="nil"/>
              <w:left w:val="single" w:color="auto" w:sz="4" w:space="0"/>
              <w:bottom w:val="single" w:color="auto" w:sz="4" w:space="0"/>
              <w:right w:val="single" w:color="auto" w:sz="4" w:space="0"/>
            </w:tcBorders>
            <w:shd w:val="clear" w:color="auto" w:fill="auto"/>
            <w:vAlign w:val="center"/>
          </w:tcPr>
          <w:p w14:paraId="26551F6E">
            <w:pPr>
              <w:pStyle w:val="57"/>
              <w:jc w:val="center"/>
              <w:rPr>
                <w:rFonts w:ascii="Times New Roman" w:cs="Times New Roman"/>
              </w:rPr>
            </w:pPr>
            <w:r>
              <w:rPr>
                <w:rFonts w:ascii="Times New Roman" w:cs="Times New Roman"/>
              </w:rPr>
              <w:t>2</w:t>
            </w:r>
          </w:p>
        </w:tc>
        <w:tc>
          <w:tcPr>
            <w:tcW w:w="853" w:type="pct"/>
            <w:tcBorders>
              <w:top w:val="nil"/>
              <w:left w:val="nil"/>
              <w:bottom w:val="single" w:color="auto" w:sz="4" w:space="0"/>
              <w:right w:val="single" w:color="auto" w:sz="4" w:space="0"/>
            </w:tcBorders>
            <w:shd w:val="clear" w:color="auto" w:fill="auto"/>
            <w:vAlign w:val="center"/>
          </w:tcPr>
          <w:p w14:paraId="360E632D">
            <w:pPr>
              <w:pStyle w:val="57"/>
              <w:jc w:val="center"/>
              <w:rPr>
                <w:rFonts w:ascii="Times New Roman" w:cs="Times New Roman"/>
              </w:rPr>
            </w:pPr>
            <w:r>
              <w:rPr>
                <w:rFonts w:ascii="Times New Roman" w:cs="Times New Roman"/>
              </w:rPr>
              <w:t>黄村闸</w:t>
            </w:r>
          </w:p>
        </w:tc>
        <w:tc>
          <w:tcPr>
            <w:tcW w:w="1639" w:type="pct"/>
            <w:tcBorders>
              <w:top w:val="nil"/>
              <w:left w:val="nil"/>
              <w:bottom w:val="single" w:color="auto" w:sz="4" w:space="0"/>
              <w:right w:val="single" w:color="auto" w:sz="4" w:space="0"/>
            </w:tcBorders>
            <w:shd w:val="clear" w:color="auto" w:fill="auto"/>
            <w:vAlign w:val="center"/>
          </w:tcPr>
          <w:p w14:paraId="44DB75FA">
            <w:pPr>
              <w:pStyle w:val="57"/>
              <w:jc w:val="center"/>
              <w:rPr>
                <w:rFonts w:ascii="Times New Roman" w:cs="Times New Roman"/>
              </w:rPr>
            </w:pPr>
            <w:r>
              <w:rPr>
                <w:rFonts w:ascii="Times New Roman" w:cs="Times New Roman"/>
              </w:rPr>
              <w:t>三水街道黄村河大桥桥底</w:t>
            </w:r>
          </w:p>
        </w:tc>
        <w:tc>
          <w:tcPr>
            <w:tcW w:w="936" w:type="pct"/>
            <w:tcBorders>
              <w:top w:val="nil"/>
              <w:left w:val="nil"/>
              <w:bottom w:val="single" w:color="auto" w:sz="4" w:space="0"/>
              <w:right w:val="single" w:color="auto" w:sz="4" w:space="0"/>
            </w:tcBorders>
            <w:shd w:val="clear" w:color="auto" w:fill="auto"/>
            <w:vAlign w:val="center"/>
          </w:tcPr>
          <w:p w14:paraId="5AD8E4B5">
            <w:pPr>
              <w:pStyle w:val="57"/>
              <w:jc w:val="center"/>
              <w:rPr>
                <w:rFonts w:ascii="Times New Roman" w:cs="Times New Roman"/>
              </w:rPr>
            </w:pPr>
            <w:r>
              <w:rPr>
                <w:rFonts w:ascii="Times New Roman" w:cs="Times New Roman"/>
              </w:rPr>
              <w:t>节制闸</w:t>
            </w:r>
          </w:p>
        </w:tc>
        <w:tc>
          <w:tcPr>
            <w:tcW w:w="1039" w:type="pct"/>
            <w:tcBorders>
              <w:top w:val="nil"/>
              <w:left w:val="nil"/>
              <w:bottom w:val="single" w:color="auto" w:sz="4" w:space="0"/>
              <w:right w:val="single" w:color="auto" w:sz="4" w:space="0"/>
            </w:tcBorders>
            <w:shd w:val="clear" w:color="auto" w:fill="auto"/>
            <w:vAlign w:val="center"/>
          </w:tcPr>
          <w:p w14:paraId="65113EFF">
            <w:pPr>
              <w:pStyle w:val="57"/>
              <w:jc w:val="center"/>
              <w:rPr>
                <w:rFonts w:ascii="Times New Roman" w:cs="Times New Roman"/>
              </w:rPr>
            </w:pPr>
            <w:r>
              <w:rPr>
                <w:rFonts w:ascii="Times New Roman" w:cs="Times New Roman"/>
              </w:rPr>
              <w:t>42</w:t>
            </w:r>
          </w:p>
        </w:tc>
      </w:tr>
      <w:tr w14:paraId="58215F39">
        <w:tblPrEx>
          <w:tblCellMar>
            <w:top w:w="0" w:type="dxa"/>
            <w:left w:w="108" w:type="dxa"/>
            <w:bottom w:w="0" w:type="dxa"/>
            <w:right w:w="108" w:type="dxa"/>
          </w:tblCellMar>
        </w:tblPrEx>
        <w:trPr>
          <w:trHeight w:val="20" w:hRule="atLeast"/>
        </w:trPr>
        <w:tc>
          <w:tcPr>
            <w:tcW w:w="533" w:type="pct"/>
            <w:tcBorders>
              <w:top w:val="nil"/>
              <w:left w:val="single" w:color="auto" w:sz="4" w:space="0"/>
              <w:bottom w:val="single" w:color="auto" w:sz="4" w:space="0"/>
              <w:right w:val="single" w:color="auto" w:sz="4" w:space="0"/>
            </w:tcBorders>
            <w:shd w:val="clear" w:color="auto" w:fill="auto"/>
            <w:vAlign w:val="center"/>
          </w:tcPr>
          <w:p w14:paraId="25F13F0F">
            <w:pPr>
              <w:pStyle w:val="57"/>
              <w:jc w:val="center"/>
              <w:rPr>
                <w:rFonts w:ascii="Times New Roman" w:cs="Times New Roman"/>
              </w:rPr>
            </w:pPr>
            <w:r>
              <w:rPr>
                <w:rFonts w:ascii="Times New Roman" w:cs="Times New Roman"/>
              </w:rPr>
              <w:t>3</w:t>
            </w:r>
          </w:p>
        </w:tc>
        <w:tc>
          <w:tcPr>
            <w:tcW w:w="853" w:type="pct"/>
            <w:tcBorders>
              <w:top w:val="nil"/>
              <w:left w:val="nil"/>
              <w:bottom w:val="single" w:color="auto" w:sz="4" w:space="0"/>
              <w:right w:val="single" w:color="auto" w:sz="4" w:space="0"/>
            </w:tcBorders>
            <w:shd w:val="clear" w:color="auto" w:fill="auto"/>
            <w:vAlign w:val="center"/>
          </w:tcPr>
          <w:p w14:paraId="3635F050">
            <w:pPr>
              <w:pStyle w:val="57"/>
              <w:jc w:val="center"/>
              <w:rPr>
                <w:rFonts w:ascii="Times New Roman" w:cs="Times New Roman"/>
              </w:rPr>
            </w:pPr>
            <w:r>
              <w:rPr>
                <w:rFonts w:ascii="Times New Roman" w:cs="Times New Roman"/>
              </w:rPr>
              <w:t>许陆闸</w:t>
            </w:r>
          </w:p>
        </w:tc>
        <w:tc>
          <w:tcPr>
            <w:tcW w:w="1639" w:type="pct"/>
            <w:tcBorders>
              <w:top w:val="nil"/>
              <w:left w:val="nil"/>
              <w:bottom w:val="single" w:color="auto" w:sz="4" w:space="0"/>
              <w:right w:val="single" w:color="auto" w:sz="4" w:space="0"/>
            </w:tcBorders>
            <w:shd w:val="clear" w:color="auto" w:fill="auto"/>
            <w:vAlign w:val="center"/>
          </w:tcPr>
          <w:p w14:paraId="276D5372">
            <w:pPr>
              <w:pStyle w:val="57"/>
              <w:jc w:val="center"/>
              <w:rPr>
                <w:rFonts w:ascii="Times New Roman" w:cs="Times New Roman"/>
              </w:rPr>
            </w:pPr>
            <w:r>
              <w:rPr>
                <w:rFonts w:ascii="Times New Roman" w:cs="Times New Roman"/>
              </w:rPr>
              <w:t>三水街道中来光电公司附近，开阳路许陆河桥南侧</w:t>
            </w:r>
          </w:p>
        </w:tc>
        <w:tc>
          <w:tcPr>
            <w:tcW w:w="936" w:type="pct"/>
            <w:tcBorders>
              <w:top w:val="nil"/>
              <w:left w:val="nil"/>
              <w:bottom w:val="single" w:color="auto" w:sz="4" w:space="0"/>
              <w:right w:val="single" w:color="auto" w:sz="4" w:space="0"/>
            </w:tcBorders>
            <w:shd w:val="clear" w:color="auto" w:fill="auto"/>
            <w:vAlign w:val="center"/>
          </w:tcPr>
          <w:p w14:paraId="13AC333A">
            <w:pPr>
              <w:pStyle w:val="57"/>
              <w:jc w:val="center"/>
              <w:rPr>
                <w:rFonts w:ascii="Times New Roman" w:cs="Times New Roman"/>
              </w:rPr>
            </w:pPr>
            <w:r>
              <w:rPr>
                <w:rFonts w:ascii="Times New Roman" w:cs="Times New Roman"/>
              </w:rPr>
              <w:t>节制闸</w:t>
            </w:r>
          </w:p>
        </w:tc>
        <w:tc>
          <w:tcPr>
            <w:tcW w:w="1039" w:type="pct"/>
            <w:tcBorders>
              <w:top w:val="nil"/>
              <w:left w:val="nil"/>
              <w:bottom w:val="single" w:color="auto" w:sz="4" w:space="0"/>
              <w:right w:val="single" w:color="auto" w:sz="4" w:space="0"/>
            </w:tcBorders>
            <w:shd w:val="clear" w:color="auto" w:fill="auto"/>
            <w:vAlign w:val="center"/>
          </w:tcPr>
          <w:p w14:paraId="58726DEF">
            <w:pPr>
              <w:pStyle w:val="57"/>
              <w:jc w:val="center"/>
              <w:rPr>
                <w:rFonts w:ascii="Times New Roman" w:cs="Times New Roman"/>
              </w:rPr>
            </w:pPr>
            <w:r>
              <w:rPr>
                <w:rFonts w:ascii="Times New Roman" w:cs="Times New Roman"/>
              </w:rPr>
              <w:t>5</w:t>
            </w:r>
          </w:p>
        </w:tc>
      </w:tr>
      <w:tr w14:paraId="1D42909F">
        <w:tblPrEx>
          <w:tblCellMar>
            <w:top w:w="0" w:type="dxa"/>
            <w:left w:w="108" w:type="dxa"/>
            <w:bottom w:w="0" w:type="dxa"/>
            <w:right w:w="108" w:type="dxa"/>
          </w:tblCellMar>
        </w:tblPrEx>
        <w:trPr>
          <w:trHeight w:val="20" w:hRule="atLeast"/>
        </w:trPr>
        <w:tc>
          <w:tcPr>
            <w:tcW w:w="533" w:type="pct"/>
            <w:tcBorders>
              <w:top w:val="nil"/>
              <w:left w:val="single" w:color="auto" w:sz="4" w:space="0"/>
              <w:bottom w:val="single" w:color="auto" w:sz="4" w:space="0"/>
              <w:right w:val="single" w:color="auto" w:sz="4" w:space="0"/>
            </w:tcBorders>
            <w:shd w:val="clear" w:color="auto" w:fill="auto"/>
            <w:vAlign w:val="center"/>
          </w:tcPr>
          <w:p w14:paraId="7ABCC692">
            <w:pPr>
              <w:pStyle w:val="57"/>
              <w:jc w:val="center"/>
              <w:rPr>
                <w:rFonts w:ascii="Times New Roman" w:cs="Times New Roman"/>
              </w:rPr>
            </w:pPr>
            <w:r>
              <w:rPr>
                <w:rFonts w:ascii="Times New Roman" w:cs="Times New Roman"/>
              </w:rPr>
              <w:t>4</w:t>
            </w:r>
          </w:p>
        </w:tc>
        <w:tc>
          <w:tcPr>
            <w:tcW w:w="853" w:type="pct"/>
            <w:tcBorders>
              <w:top w:val="nil"/>
              <w:left w:val="nil"/>
              <w:bottom w:val="single" w:color="auto" w:sz="4" w:space="0"/>
              <w:right w:val="single" w:color="auto" w:sz="4" w:space="0"/>
            </w:tcBorders>
            <w:shd w:val="clear" w:color="auto" w:fill="auto"/>
            <w:vAlign w:val="center"/>
          </w:tcPr>
          <w:p w14:paraId="4EDDC966">
            <w:pPr>
              <w:pStyle w:val="57"/>
              <w:jc w:val="center"/>
              <w:rPr>
                <w:rFonts w:ascii="Times New Roman" w:cs="Times New Roman"/>
              </w:rPr>
            </w:pPr>
            <w:r>
              <w:rPr>
                <w:rFonts w:ascii="Times New Roman" w:cs="Times New Roman"/>
              </w:rPr>
              <w:t>中心闸</w:t>
            </w:r>
          </w:p>
        </w:tc>
        <w:tc>
          <w:tcPr>
            <w:tcW w:w="1639" w:type="pct"/>
            <w:tcBorders>
              <w:top w:val="nil"/>
              <w:left w:val="nil"/>
              <w:bottom w:val="single" w:color="auto" w:sz="4" w:space="0"/>
              <w:right w:val="single" w:color="auto" w:sz="4" w:space="0"/>
            </w:tcBorders>
            <w:shd w:val="clear" w:color="auto" w:fill="auto"/>
            <w:vAlign w:val="center"/>
          </w:tcPr>
          <w:p w14:paraId="56A14551">
            <w:pPr>
              <w:pStyle w:val="57"/>
              <w:jc w:val="center"/>
              <w:rPr>
                <w:rFonts w:ascii="Times New Roman" w:cs="Times New Roman"/>
              </w:rPr>
            </w:pPr>
            <w:r>
              <w:rPr>
                <w:rFonts w:ascii="Times New Roman" w:cs="Times New Roman"/>
              </w:rPr>
              <w:t>三水街道南京路府前河桥西侧10米</w:t>
            </w:r>
          </w:p>
        </w:tc>
        <w:tc>
          <w:tcPr>
            <w:tcW w:w="936" w:type="pct"/>
            <w:tcBorders>
              <w:top w:val="nil"/>
              <w:left w:val="nil"/>
              <w:bottom w:val="single" w:color="auto" w:sz="4" w:space="0"/>
              <w:right w:val="single" w:color="auto" w:sz="4" w:space="0"/>
            </w:tcBorders>
            <w:shd w:val="clear" w:color="auto" w:fill="auto"/>
            <w:vAlign w:val="center"/>
          </w:tcPr>
          <w:p w14:paraId="4C2A7347">
            <w:pPr>
              <w:pStyle w:val="57"/>
              <w:jc w:val="center"/>
              <w:rPr>
                <w:rFonts w:ascii="Times New Roman" w:cs="Times New Roman"/>
              </w:rPr>
            </w:pPr>
            <w:r>
              <w:rPr>
                <w:rFonts w:ascii="Times New Roman" w:cs="Times New Roman"/>
              </w:rPr>
              <w:t>防洪、引水排涝、活水</w:t>
            </w:r>
          </w:p>
        </w:tc>
        <w:tc>
          <w:tcPr>
            <w:tcW w:w="1039" w:type="pct"/>
            <w:tcBorders>
              <w:top w:val="nil"/>
              <w:left w:val="nil"/>
              <w:bottom w:val="single" w:color="auto" w:sz="4" w:space="0"/>
              <w:right w:val="single" w:color="auto" w:sz="4" w:space="0"/>
            </w:tcBorders>
            <w:shd w:val="clear" w:color="auto" w:fill="auto"/>
            <w:vAlign w:val="center"/>
          </w:tcPr>
          <w:p w14:paraId="45640D37">
            <w:pPr>
              <w:pStyle w:val="57"/>
              <w:jc w:val="center"/>
              <w:rPr>
                <w:rFonts w:ascii="Times New Roman" w:cs="Times New Roman"/>
              </w:rPr>
            </w:pPr>
            <w:r>
              <w:rPr>
                <w:rFonts w:ascii="Times New Roman" w:cs="Times New Roman"/>
              </w:rPr>
              <w:t>14</w:t>
            </w:r>
          </w:p>
        </w:tc>
      </w:tr>
      <w:tr w14:paraId="7AF32BCB">
        <w:tblPrEx>
          <w:tblCellMar>
            <w:top w:w="0" w:type="dxa"/>
            <w:left w:w="108" w:type="dxa"/>
            <w:bottom w:w="0" w:type="dxa"/>
            <w:right w:w="108" w:type="dxa"/>
          </w:tblCellMar>
        </w:tblPrEx>
        <w:trPr>
          <w:trHeight w:val="20" w:hRule="atLeast"/>
        </w:trPr>
        <w:tc>
          <w:tcPr>
            <w:tcW w:w="533" w:type="pct"/>
            <w:tcBorders>
              <w:top w:val="nil"/>
              <w:left w:val="single" w:color="auto" w:sz="4" w:space="0"/>
              <w:bottom w:val="single" w:color="auto" w:sz="4" w:space="0"/>
              <w:right w:val="single" w:color="auto" w:sz="4" w:space="0"/>
            </w:tcBorders>
            <w:shd w:val="clear" w:color="auto" w:fill="auto"/>
            <w:vAlign w:val="center"/>
          </w:tcPr>
          <w:p w14:paraId="601BB5B1">
            <w:pPr>
              <w:pStyle w:val="57"/>
              <w:jc w:val="center"/>
              <w:rPr>
                <w:rFonts w:ascii="Times New Roman" w:cs="Times New Roman"/>
              </w:rPr>
            </w:pPr>
            <w:r>
              <w:rPr>
                <w:rFonts w:ascii="Times New Roman" w:cs="Times New Roman"/>
              </w:rPr>
              <w:t>5</w:t>
            </w:r>
          </w:p>
        </w:tc>
        <w:tc>
          <w:tcPr>
            <w:tcW w:w="853" w:type="pct"/>
            <w:tcBorders>
              <w:top w:val="nil"/>
              <w:left w:val="nil"/>
              <w:bottom w:val="single" w:color="auto" w:sz="4" w:space="0"/>
              <w:right w:val="single" w:color="auto" w:sz="4" w:space="0"/>
            </w:tcBorders>
            <w:shd w:val="clear" w:color="auto" w:fill="auto"/>
            <w:vAlign w:val="center"/>
          </w:tcPr>
          <w:p w14:paraId="3294E1AE">
            <w:pPr>
              <w:pStyle w:val="57"/>
              <w:jc w:val="center"/>
              <w:rPr>
                <w:rFonts w:ascii="Times New Roman" w:cs="Times New Roman"/>
              </w:rPr>
            </w:pPr>
            <w:r>
              <w:rPr>
                <w:rFonts w:ascii="Times New Roman" w:cs="Times New Roman"/>
              </w:rPr>
              <w:t>姜堰翻水站</w:t>
            </w:r>
          </w:p>
        </w:tc>
        <w:tc>
          <w:tcPr>
            <w:tcW w:w="1639" w:type="pct"/>
            <w:tcBorders>
              <w:top w:val="nil"/>
              <w:left w:val="nil"/>
              <w:bottom w:val="single" w:color="auto" w:sz="4" w:space="0"/>
              <w:right w:val="single" w:color="auto" w:sz="4" w:space="0"/>
            </w:tcBorders>
            <w:shd w:val="clear" w:color="auto" w:fill="auto"/>
            <w:vAlign w:val="center"/>
          </w:tcPr>
          <w:p w14:paraId="0464F667">
            <w:pPr>
              <w:pStyle w:val="57"/>
              <w:jc w:val="center"/>
              <w:rPr>
                <w:rFonts w:ascii="Times New Roman" w:cs="Times New Roman"/>
              </w:rPr>
            </w:pPr>
            <w:r>
              <w:rPr>
                <w:rFonts w:ascii="Times New Roman" w:cs="Times New Roman"/>
              </w:rPr>
              <w:t>姜堰套闸中干河西侧</w:t>
            </w:r>
          </w:p>
        </w:tc>
        <w:tc>
          <w:tcPr>
            <w:tcW w:w="936" w:type="pct"/>
            <w:tcBorders>
              <w:top w:val="nil"/>
              <w:left w:val="nil"/>
              <w:bottom w:val="single" w:color="auto" w:sz="4" w:space="0"/>
              <w:right w:val="single" w:color="auto" w:sz="4" w:space="0"/>
            </w:tcBorders>
            <w:shd w:val="clear" w:color="auto" w:fill="auto"/>
            <w:vAlign w:val="center"/>
          </w:tcPr>
          <w:p w14:paraId="36F7BBEA">
            <w:pPr>
              <w:pStyle w:val="57"/>
              <w:jc w:val="center"/>
              <w:rPr>
                <w:rFonts w:ascii="Times New Roman" w:cs="Times New Roman"/>
              </w:rPr>
            </w:pPr>
            <w:r>
              <w:rPr>
                <w:rFonts w:ascii="Times New Roman" w:cs="Times New Roman"/>
              </w:rPr>
              <w:t>排涝</w:t>
            </w:r>
          </w:p>
        </w:tc>
        <w:tc>
          <w:tcPr>
            <w:tcW w:w="1039" w:type="pct"/>
            <w:tcBorders>
              <w:top w:val="nil"/>
              <w:left w:val="nil"/>
              <w:bottom w:val="single" w:color="auto" w:sz="4" w:space="0"/>
              <w:right w:val="single" w:color="auto" w:sz="4" w:space="0"/>
            </w:tcBorders>
            <w:shd w:val="clear" w:color="auto" w:fill="auto"/>
            <w:vAlign w:val="center"/>
          </w:tcPr>
          <w:p w14:paraId="0D765F68">
            <w:pPr>
              <w:pStyle w:val="57"/>
              <w:jc w:val="center"/>
              <w:rPr>
                <w:rFonts w:ascii="Times New Roman" w:cs="Times New Roman"/>
              </w:rPr>
            </w:pPr>
            <w:r>
              <w:rPr>
                <w:rFonts w:ascii="Times New Roman" w:cs="Times New Roman"/>
              </w:rPr>
              <w:t>9</w:t>
            </w:r>
          </w:p>
        </w:tc>
      </w:tr>
      <w:tr w14:paraId="02A03C88">
        <w:tblPrEx>
          <w:tblCellMar>
            <w:top w:w="0" w:type="dxa"/>
            <w:left w:w="108" w:type="dxa"/>
            <w:bottom w:w="0" w:type="dxa"/>
            <w:right w:w="108" w:type="dxa"/>
          </w:tblCellMar>
        </w:tblPrEx>
        <w:trPr>
          <w:trHeight w:val="20" w:hRule="atLeast"/>
        </w:trPr>
        <w:tc>
          <w:tcPr>
            <w:tcW w:w="533" w:type="pct"/>
            <w:tcBorders>
              <w:top w:val="nil"/>
              <w:left w:val="single" w:color="auto" w:sz="4" w:space="0"/>
              <w:bottom w:val="single" w:color="auto" w:sz="4" w:space="0"/>
              <w:right w:val="single" w:color="auto" w:sz="4" w:space="0"/>
            </w:tcBorders>
            <w:shd w:val="clear" w:color="auto" w:fill="auto"/>
            <w:vAlign w:val="center"/>
          </w:tcPr>
          <w:p w14:paraId="0376EAA9">
            <w:pPr>
              <w:pStyle w:val="57"/>
              <w:jc w:val="center"/>
              <w:rPr>
                <w:rFonts w:ascii="Times New Roman" w:cs="Times New Roman"/>
              </w:rPr>
            </w:pPr>
            <w:r>
              <w:rPr>
                <w:rFonts w:ascii="Times New Roman" w:cs="Times New Roman"/>
              </w:rPr>
              <w:t>6</w:t>
            </w:r>
          </w:p>
        </w:tc>
        <w:tc>
          <w:tcPr>
            <w:tcW w:w="853" w:type="pct"/>
            <w:tcBorders>
              <w:top w:val="nil"/>
              <w:left w:val="nil"/>
              <w:bottom w:val="single" w:color="auto" w:sz="4" w:space="0"/>
              <w:right w:val="single" w:color="auto" w:sz="4" w:space="0"/>
            </w:tcBorders>
            <w:shd w:val="clear" w:color="auto" w:fill="auto"/>
            <w:vAlign w:val="center"/>
          </w:tcPr>
          <w:p w14:paraId="1CD004D3">
            <w:pPr>
              <w:pStyle w:val="57"/>
              <w:jc w:val="center"/>
              <w:rPr>
                <w:rFonts w:ascii="Times New Roman" w:cs="Times New Roman"/>
              </w:rPr>
            </w:pPr>
            <w:r>
              <w:rPr>
                <w:rFonts w:ascii="Times New Roman" w:cs="Times New Roman"/>
              </w:rPr>
              <w:t>姜堰套闸</w:t>
            </w:r>
          </w:p>
        </w:tc>
        <w:tc>
          <w:tcPr>
            <w:tcW w:w="1639" w:type="pct"/>
            <w:tcBorders>
              <w:top w:val="nil"/>
              <w:left w:val="nil"/>
              <w:bottom w:val="single" w:color="auto" w:sz="4" w:space="0"/>
              <w:right w:val="single" w:color="auto" w:sz="4" w:space="0"/>
            </w:tcBorders>
            <w:shd w:val="clear" w:color="auto" w:fill="auto"/>
            <w:vAlign w:val="center"/>
          </w:tcPr>
          <w:p w14:paraId="4A1C931E">
            <w:pPr>
              <w:pStyle w:val="57"/>
              <w:jc w:val="center"/>
              <w:rPr>
                <w:rFonts w:ascii="Times New Roman" w:cs="Times New Roman"/>
              </w:rPr>
            </w:pPr>
            <w:r>
              <w:rPr>
                <w:rFonts w:ascii="Times New Roman" w:cs="Times New Roman"/>
              </w:rPr>
              <w:t>天目山街道马厂西路67号</w:t>
            </w:r>
          </w:p>
        </w:tc>
        <w:tc>
          <w:tcPr>
            <w:tcW w:w="936" w:type="pct"/>
            <w:tcBorders>
              <w:top w:val="nil"/>
              <w:left w:val="nil"/>
              <w:bottom w:val="single" w:color="auto" w:sz="4" w:space="0"/>
              <w:right w:val="single" w:color="auto" w:sz="4" w:space="0"/>
            </w:tcBorders>
            <w:shd w:val="clear" w:color="auto" w:fill="auto"/>
            <w:vAlign w:val="center"/>
          </w:tcPr>
          <w:p w14:paraId="4C0EC1CC">
            <w:pPr>
              <w:pStyle w:val="57"/>
              <w:jc w:val="center"/>
              <w:rPr>
                <w:rFonts w:ascii="Times New Roman" w:cs="Times New Roman"/>
              </w:rPr>
            </w:pPr>
            <w:r>
              <w:rPr>
                <w:rFonts w:ascii="Times New Roman" w:cs="Times New Roman"/>
              </w:rPr>
              <w:t>航、引水、保水、排水</w:t>
            </w:r>
          </w:p>
        </w:tc>
        <w:tc>
          <w:tcPr>
            <w:tcW w:w="1039" w:type="pct"/>
            <w:tcBorders>
              <w:top w:val="nil"/>
              <w:left w:val="nil"/>
              <w:bottom w:val="single" w:color="auto" w:sz="4" w:space="0"/>
              <w:right w:val="single" w:color="auto" w:sz="4" w:space="0"/>
            </w:tcBorders>
            <w:shd w:val="clear" w:color="auto" w:fill="auto"/>
            <w:vAlign w:val="center"/>
          </w:tcPr>
          <w:p w14:paraId="14E3F02E">
            <w:pPr>
              <w:pStyle w:val="57"/>
              <w:jc w:val="center"/>
              <w:rPr>
                <w:rFonts w:ascii="Times New Roman" w:cs="Times New Roman"/>
              </w:rPr>
            </w:pPr>
            <w:r>
              <w:rPr>
                <w:rFonts w:ascii="Times New Roman" w:cs="Times New Roman"/>
              </w:rPr>
              <w:t>12</w:t>
            </w:r>
          </w:p>
        </w:tc>
      </w:tr>
      <w:tr w14:paraId="76C9ABD3">
        <w:tblPrEx>
          <w:tblCellMar>
            <w:top w:w="0" w:type="dxa"/>
            <w:left w:w="108" w:type="dxa"/>
            <w:bottom w:w="0" w:type="dxa"/>
            <w:right w:w="108" w:type="dxa"/>
          </w:tblCellMar>
        </w:tblPrEx>
        <w:trPr>
          <w:trHeight w:val="20" w:hRule="atLeast"/>
        </w:trPr>
        <w:tc>
          <w:tcPr>
            <w:tcW w:w="533" w:type="pct"/>
            <w:tcBorders>
              <w:top w:val="nil"/>
              <w:left w:val="single" w:color="auto" w:sz="4" w:space="0"/>
              <w:bottom w:val="single" w:color="auto" w:sz="4" w:space="0"/>
              <w:right w:val="single" w:color="auto" w:sz="4" w:space="0"/>
            </w:tcBorders>
            <w:shd w:val="clear" w:color="auto" w:fill="auto"/>
            <w:vAlign w:val="center"/>
          </w:tcPr>
          <w:p w14:paraId="77C97508">
            <w:pPr>
              <w:pStyle w:val="57"/>
              <w:jc w:val="center"/>
              <w:rPr>
                <w:rFonts w:ascii="Times New Roman" w:cs="Times New Roman"/>
              </w:rPr>
            </w:pPr>
            <w:r>
              <w:rPr>
                <w:rFonts w:ascii="Times New Roman" w:cs="Times New Roman"/>
              </w:rPr>
              <w:t>7</w:t>
            </w:r>
          </w:p>
        </w:tc>
        <w:tc>
          <w:tcPr>
            <w:tcW w:w="853" w:type="pct"/>
            <w:tcBorders>
              <w:top w:val="nil"/>
              <w:left w:val="nil"/>
              <w:bottom w:val="single" w:color="auto" w:sz="4" w:space="0"/>
              <w:right w:val="single" w:color="auto" w:sz="4" w:space="0"/>
            </w:tcBorders>
            <w:shd w:val="clear" w:color="auto" w:fill="auto"/>
            <w:vAlign w:val="center"/>
          </w:tcPr>
          <w:p w14:paraId="4A5E13FA">
            <w:pPr>
              <w:pStyle w:val="57"/>
              <w:jc w:val="center"/>
              <w:rPr>
                <w:rFonts w:ascii="Times New Roman" w:cs="Times New Roman"/>
              </w:rPr>
            </w:pPr>
            <w:r>
              <w:rPr>
                <w:rFonts w:ascii="Times New Roman" w:cs="Times New Roman"/>
              </w:rPr>
              <w:t>三水闸</w:t>
            </w:r>
          </w:p>
        </w:tc>
        <w:tc>
          <w:tcPr>
            <w:tcW w:w="1639" w:type="pct"/>
            <w:tcBorders>
              <w:top w:val="nil"/>
              <w:left w:val="nil"/>
              <w:bottom w:val="single" w:color="auto" w:sz="4" w:space="0"/>
              <w:right w:val="single" w:color="auto" w:sz="4" w:space="0"/>
            </w:tcBorders>
            <w:shd w:val="clear" w:color="auto" w:fill="auto"/>
            <w:vAlign w:val="center"/>
          </w:tcPr>
          <w:p w14:paraId="35B9A074">
            <w:pPr>
              <w:pStyle w:val="57"/>
              <w:jc w:val="center"/>
              <w:rPr>
                <w:rFonts w:ascii="Times New Roman" w:cs="Times New Roman"/>
              </w:rPr>
            </w:pPr>
            <w:r>
              <w:rPr>
                <w:rFonts w:ascii="Times New Roman" w:cs="Times New Roman"/>
              </w:rPr>
              <w:t>罗塘街道三水河西路与古田东路交汇处北侧30米</w:t>
            </w:r>
          </w:p>
        </w:tc>
        <w:tc>
          <w:tcPr>
            <w:tcW w:w="936" w:type="pct"/>
            <w:tcBorders>
              <w:top w:val="nil"/>
              <w:left w:val="nil"/>
              <w:bottom w:val="single" w:color="auto" w:sz="4" w:space="0"/>
              <w:right w:val="single" w:color="auto" w:sz="4" w:space="0"/>
            </w:tcBorders>
            <w:shd w:val="clear" w:color="auto" w:fill="auto"/>
            <w:vAlign w:val="center"/>
          </w:tcPr>
          <w:p w14:paraId="18752203">
            <w:pPr>
              <w:pStyle w:val="57"/>
              <w:jc w:val="center"/>
              <w:rPr>
                <w:rFonts w:ascii="Times New Roman" w:cs="Times New Roman"/>
              </w:rPr>
            </w:pPr>
            <w:r>
              <w:rPr>
                <w:rFonts w:ascii="Times New Roman" w:cs="Times New Roman"/>
              </w:rPr>
              <w:t>排污、排涝、挡洪</w:t>
            </w:r>
          </w:p>
        </w:tc>
        <w:tc>
          <w:tcPr>
            <w:tcW w:w="1039" w:type="pct"/>
            <w:tcBorders>
              <w:top w:val="nil"/>
              <w:left w:val="nil"/>
              <w:bottom w:val="single" w:color="auto" w:sz="4" w:space="0"/>
              <w:right w:val="single" w:color="auto" w:sz="4" w:space="0"/>
            </w:tcBorders>
            <w:shd w:val="clear" w:color="auto" w:fill="auto"/>
            <w:vAlign w:val="center"/>
          </w:tcPr>
          <w:p w14:paraId="7E1C45F5">
            <w:pPr>
              <w:pStyle w:val="57"/>
              <w:jc w:val="center"/>
              <w:rPr>
                <w:rFonts w:ascii="Times New Roman" w:cs="Times New Roman"/>
              </w:rPr>
            </w:pPr>
            <w:r>
              <w:rPr>
                <w:rFonts w:ascii="Times New Roman" w:cs="Times New Roman"/>
              </w:rPr>
              <w:t>5</w:t>
            </w:r>
          </w:p>
        </w:tc>
      </w:tr>
      <w:tr w14:paraId="64579FEE">
        <w:tblPrEx>
          <w:tblCellMar>
            <w:top w:w="0" w:type="dxa"/>
            <w:left w:w="108" w:type="dxa"/>
            <w:bottom w:w="0" w:type="dxa"/>
            <w:right w:w="108" w:type="dxa"/>
          </w:tblCellMar>
        </w:tblPrEx>
        <w:trPr>
          <w:trHeight w:val="20" w:hRule="atLeast"/>
        </w:trPr>
        <w:tc>
          <w:tcPr>
            <w:tcW w:w="533" w:type="pct"/>
            <w:tcBorders>
              <w:top w:val="nil"/>
              <w:left w:val="single" w:color="auto" w:sz="4" w:space="0"/>
              <w:bottom w:val="single" w:color="auto" w:sz="4" w:space="0"/>
              <w:right w:val="single" w:color="auto" w:sz="4" w:space="0"/>
            </w:tcBorders>
            <w:shd w:val="clear" w:color="auto" w:fill="auto"/>
            <w:vAlign w:val="center"/>
          </w:tcPr>
          <w:p w14:paraId="62337409">
            <w:pPr>
              <w:pStyle w:val="57"/>
              <w:jc w:val="center"/>
              <w:rPr>
                <w:rFonts w:ascii="Times New Roman" w:cs="Times New Roman"/>
              </w:rPr>
            </w:pPr>
            <w:r>
              <w:rPr>
                <w:rFonts w:ascii="Times New Roman" w:cs="Times New Roman"/>
              </w:rPr>
              <w:t>8</w:t>
            </w:r>
          </w:p>
        </w:tc>
        <w:tc>
          <w:tcPr>
            <w:tcW w:w="853" w:type="pct"/>
            <w:tcBorders>
              <w:top w:val="nil"/>
              <w:left w:val="nil"/>
              <w:bottom w:val="single" w:color="auto" w:sz="4" w:space="0"/>
              <w:right w:val="single" w:color="auto" w:sz="4" w:space="0"/>
            </w:tcBorders>
            <w:shd w:val="clear" w:color="auto" w:fill="auto"/>
            <w:vAlign w:val="center"/>
          </w:tcPr>
          <w:p w14:paraId="5F6D199E">
            <w:pPr>
              <w:pStyle w:val="57"/>
              <w:jc w:val="center"/>
              <w:rPr>
                <w:rFonts w:ascii="Times New Roman" w:cs="Times New Roman"/>
              </w:rPr>
            </w:pPr>
            <w:r>
              <w:rPr>
                <w:rFonts w:ascii="Times New Roman" w:cs="Times New Roman"/>
              </w:rPr>
              <w:t>罗塘河闸站</w:t>
            </w:r>
          </w:p>
        </w:tc>
        <w:tc>
          <w:tcPr>
            <w:tcW w:w="1639" w:type="pct"/>
            <w:tcBorders>
              <w:top w:val="nil"/>
              <w:left w:val="nil"/>
              <w:bottom w:val="single" w:color="auto" w:sz="4" w:space="0"/>
              <w:right w:val="single" w:color="auto" w:sz="4" w:space="0"/>
            </w:tcBorders>
            <w:shd w:val="clear" w:color="auto" w:fill="auto"/>
            <w:vAlign w:val="center"/>
          </w:tcPr>
          <w:p w14:paraId="09259A40">
            <w:pPr>
              <w:pStyle w:val="57"/>
              <w:jc w:val="center"/>
              <w:rPr>
                <w:rFonts w:ascii="Times New Roman" w:cs="Times New Roman"/>
              </w:rPr>
            </w:pPr>
            <w:r>
              <w:rPr>
                <w:rFonts w:ascii="Times New Roman" w:cs="Times New Roman"/>
              </w:rPr>
              <w:t>罗塘河百龙桥南侧80米处</w:t>
            </w:r>
          </w:p>
        </w:tc>
        <w:tc>
          <w:tcPr>
            <w:tcW w:w="936" w:type="pct"/>
            <w:tcBorders>
              <w:top w:val="nil"/>
              <w:left w:val="nil"/>
              <w:bottom w:val="single" w:color="auto" w:sz="4" w:space="0"/>
              <w:right w:val="single" w:color="auto" w:sz="4" w:space="0"/>
            </w:tcBorders>
            <w:shd w:val="clear" w:color="auto" w:fill="auto"/>
            <w:vAlign w:val="center"/>
          </w:tcPr>
          <w:p w14:paraId="31AF3527">
            <w:pPr>
              <w:pStyle w:val="57"/>
              <w:jc w:val="center"/>
              <w:rPr>
                <w:rFonts w:ascii="Times New Roman" w:cs="Times New Roman"/>
              </w:rPr>
            </w:pPr>
            <w:r>
              <w:rPr>
                <w:rFonts w:ascii="Times New Roman" w:cs="Times New Roman"/>
              </w:rPr>
              <w:t>控制水位</w:t>
            </w:r>
          </w:p>
        </w:tc>
        <w:tc>
          <w:tcPr>
            <w:tcW w:w="1039" w:type="pct"/>
            <w:tcBorders>
              <w:top w:val="nil"/>
              <w:left w:val="nil"/>
              <w:bottom w:val="single" w:color="auto" w:sz="4" w:space="0"/>
              <w:right w:val="single" w:color="auto" w:sz="4" w:space="0"/>
            </w:tcBorders>
            <w:shd w:val="clear" w:color="auto" w:fill="auto"/>
            <w:vAlign w:val="center"/>
          </w:tcPr>
          <w:p w14:paraId="3D6B67FF">
            <w:pPr>
              <w:pStyle w:val="57"/>
              <w:jc w:val="center"/>
              <w:rPr>
                <w:rFonts w:ascii="Times New Roman" w:cs="Times New Roman"/>
              </w:rPr>
            </w:pPr>
            <w:r>
              <w:rPr>
                <w:rFonts w:ascii="Times New Roman" w:cs="Times New Roman"/>
              </w:rPr>
              <w:t>1</w:t>
            </w:r>
          </w:p>
        </w:tc>
      </w:tr>
      <w:tr w14:paraId="0DFDAC24">
        <w:tblPrEx>
          <w:tblCellMar>
            <w:top w:w="0" w:type="dxa"/>
            <w:left w:w="108" w:type="dxa"/>
            <w:bottom w:w="0" w:type="dxa"/>
            <w:right w:w="108" w:type="dxa"/>
          </w:tblCellMar>
        </w:tblPrEx>
        <w:trPr>
          <w:trHeight w:val="20" w:hRule="atLeast"/>
        </w:trPr>
        <w:tc>
          <w:tcPr>
            <w:tcW w:w="533" w:type="pct"/>
            <w:tcBorders>
              <w:top w:val="nil"/>
              <w:left w:val="single" w:color="auto" w:sz="4" w:space="0"/>
              <w:bottom w:val="single" w:color="auto" w:sz="4" w:space="0"/>
              <w:right w:val="single" w:color="auto" w:sz="4" w:space="0"/>
            </w:tcBorders>
            <w:shd w:val="clear" w:color="auto" w:fill="auto"/>
            <w:vAlign w:val="center"/>
          </w:tcPr>
          <w:p w14:paraId="397418F8">
            <w:pPr>
              <w:pStyle w:val="57"/>
              <w:jc w:val="center"/>
              <w:rPr>
                <w:rFonts w:ascii="Times New Roman" w:cs="Times New Roman"/>
              </w:rPr>
            </w:pPr>
            <w:r>
              <w:rPr>
                <w:rFonts w:ascii="Times New Roman" w:cs="Times New Roman"/>
              </w:rPr>
              <w:t>9</w:t>
            </w:r>
          </w:p>
        </w:tc>
        <w:tc>
          <w:tcPr>
            <w:tcW w:w="853" w:type="pct"/>
            <w:tcBorders>
              <w:top w:val="nil"/>
              <w:left w:val="nil"/>
              <w:bottom w:val="nil"/>
              <w:right w:val="single" w:color="auto" w:sz="4" w:space="0"/>
            </w:tcBorders>
            <w:shd w:val="clear" w:color="auto" w:fill="auto"/>
            <w:vAlign w:val="center"/>
          </w:tcPr>
          <w:p w14:paraId="6E3BACB3">
            <w:pPr>
              <w:pStyle w:val="57"/>
              <w:jc w:val="center"/>
              <w:rPr>
                <w:rFonts w:ascii="Times New Roman" w:cs="Times New Roman"/>
              </w:rPr>
            </w:pPr>
            <w:r>
              <w:rPr>
                <w:rFonts w:ascii="Times New Roman" w:cs="Times New Roman"/>
              </w:rPr>
              <w:t>鹿鸣闸</w:t>
            </w:r>
          </w:p>
        </w:tc>
        <w:tc>
          <w:tcPr>
            <w:tcW w:w="1639" w:type="pct"/>
            <w:tcBorders>
              <w:top w:val="nil"/>
              <w:left w:val="nil"/>
              <w:bottom w:val="single" w:color="auto" w:sz="4" w:space="0"/>
              <w:right w:val="single" w:color="auto" w:sz="4" w:space="0"/>
            </w:tcBorders>
            <w:shd w:val="clear" w:color="auto" w:fill="auto"/>
            <w:vAlign w:val="center"/>
          </w:tcPr>
          <w:p w14:paraId="45C5AAB7">
            <w:pPr>
              <w:pStyle w:val="57"/>
              <w:jc w:val="center"/>
              <w:rPr>
                <w:rFonts w:ascii="Times New Roman" w:cs="Times New Roman"/>
              </w:rPr>
            </w:pPr>
            <w:r>
              <w:rPr>
                <w:rFonts w:ascii="Times New Roman" w:cs="Times New Roman"/>
              </w:rPr>
              <w:t>罗塘街道烈士陵园南侧80米</w:t>
            </w:r>
          </w:p>
        </w:tc>
        <w:tc>
          <w:tcPr>
            <w:tcW w:w="936" w:type="pct"/>
            <w:tcBorders>
              <w:top w:val="nil"/>
              <w:left w:val="nil"/>
              <w:bottom w:val="single" w:color="auto" w:sz="4" w:space="0"/>
              <w:right w:val="single" w:color="auto" w:sz="4" w:space="0"/>
            </w:tcBorders>
            <w:shd w:val="clear" w:color="auto" w:fill="auto"/>
            <w:vAlign w:val="center"/>
          </w:tcPr>
          <w:p w14:paraId="64D4751E">
            <w:pPr>
              <w:pStyle w:val="57"/>
              <w:jc w:val="center"/>
              <w:rPr>
                <w:rFonts w:ascii="Times New Roman" w:cs="Times New Roman"/>
              </w:rPr>
            </w:pPr>
            <w:r>
              <w:rPr>
                <w:rFonts w:ascii="Times New Roman" w:cs="Times New Roman"/>
              </w:rPr>
              <w:t>防洪、引水排涝、活水</w:t>
            </w:r>
          </w:p>
        </w:tc>
        <w:tc>
          <w:tcPr>
            <w:tcW w:w="1039" w:type="pct"/>
            <w:tcBorders>
              <w:top w:val="nil"/>
              <w:left w:val="nil"/>
              <w:bottom w:val="single" w:color="auto" w:sz="4" w:space="0"/>
              <w:right w:val="single" w:color="auto" w:sz="4" w:space="0"/>
            </w:tcBorders>
            <w:shd w:val="clear" w:color="auto" w:fill="auto"/>
            <w:vAlign w:val="center"/>
          </w:tcPr>
          <w:p w14:paraId="19184184">
            <w:pPr>
              <w:pStyle w:val="57"/>
              <w:jc w:val="center"/>
              <w:rPr>
                <w:rFonts w:ascii="Times New Roman" w:cs="Times New Roman"/>
              </w:rPr>
            </w:pPr>
            <w:r>
              <w:rPr>
                <w:rFonts w:ascii="Times New Roman" w:cs="Times New Roman"/>
              </w:rPr>
              <w:t>14</w:t>
            </w:r>
          </w:p>
        </w:tc>
      </w:tr>
      <w:tr w14:paraId="35031FBA">
        <w:tblPrEx>
          <w:tblCellMar>
            <w:top w:w="0" w:type="dxa"/>
            <w:left w:w="108" w:type="dxa"/>
            <w:bottom w:w="0" w:type="dxa"/>
            <w:right w:w="108" w:type="dxa"/>
          </w:tblCellMar>
        </w:tblPrEx>
        <w:trPr>
          <w:trHeight w:val="20" w:hRule="atLeast"/>
        </w:trPr>
        <w:tc>
          <w:tcPr>
            <w:tcW w:w="533" w:type="pct"/>
            <w:tcBorders>
              <w:top w:val="nil"/>
              <w:left w:val="single" w:color="auto" w:sz="4" w:space="0"/>
              <w:bottom w:val="single" w:color="auto" w:sz="4" w:space="0"/>
              <w:right w:val="single" w:color="auto" w:sz="4" w:space="0"/>
            </w:tcBorders>
            <w:shd w:val="clear" w:color="auto" w:fill="auto"/>
            <w:vAlign w:val="center"/>
          </w:tcPr>
          <w:p w14:paraId="1716314C">
            <w:pPr>
              <w:pStyle w:val="57"/>
              <w:jc w:val="center"/>
              <w:rPr>
                <w:rFonts w:ascii="Times New Roman" w:cs="Times New Roman"/>
              </w:rPr>
            </w:pPr>
            <w:r>
              <w:rPr>
                <w:rFonts w:ascii="Times New Roman" w:cs="Times New Roman"/>
              </w:rPr>
              <w:t>10</w:t>
            </w:r>
          </w:p>
        </w:tc>
        <w:tc>
          <w:tcPr>
            <w:tcW w:w="853" w:type="pct"/>
            <w:tcBorders>
              <w:top w:val="single" w:color="auto" w:sz="4" w:space="0"/>
              <w:left w:val="nil"/>
              <w:bottom w:val="single" w:color="auto" w:sz="4" w:space="0"/>
              <w:right w:val="single" w:color="auto" w:sz="4" w:space="0"/>
            </w:tcBorders>
            <w:shd w:val="clear" w:color="auto" w:fill="auto"/>
            <w:vAlign w:val="center"/>
          </w:tcPr>
          <w:p w14:paraId="1EAAB1D1">
            <w:pPr>
              <w:pStyle w:val="57"/>
              <w:jc w:val="center"/>
              <w:rPr>
                <w:rFonts w:ascii="Times New Roman" w:cs="Times New Roman"/>
              </w:rPr>
            </w:pPr>
            <w:r>
              <w:rPr>
                <w:rFonts w:ascii="Times New Roman" w:cs="Times New Roman"/>
              </w:rPr>
              <w:t>砖桥闸</w:t>
            </w:r>
          </w:p>
        </w:tc>
        <w:tc>
          <w:tcPr>
            <w:tcW w:w="1639" w:type="pct"/>
            <w:tcBorders>
              <w:top w:val="nil"/>
              <w:left w:val="nil"/>
              <w:bottom w:val="single" w:color="auto" w:sz="4" w:space="0"/>
              <w:right w:val="single" w:color="auto" w:sz="4" w:space="0"/>
            </w:tcBorders>
            <w:shd w:val="clear" w:color="auto" w:fill="auto"/>
            <w:vAlign w:val="center"/>
          </w:tcPr>
          <w:p w14:paraId="7219F06B">
            <w:pPr>
              <w:pStyle w:val="57"/>
              <w:jc w:val="center"/>
              <w:rPr>
                <w:rFonts w:ascii="Times New Roman" w:cs="Times New Roman"/>
              </w:rPr>
            </w:pPr>
            <w:r>
              <w:rPr>
                <w:rFonts w:ascii="Times New Roman" w:cs="Times New Roman"/>
              </w:rPr>
              <w:t>天目山街道香溪美地小区附近，姜堰大道北侧路边</w:t>
            </w:r>
          </w:p>
        </w:tc>
        <w:tc>
          <w:tcPr>
            <w:tcW w:w="936" w:type="pct"/>
            <w:tcBorders>
              <w:top w:val="nil"/>
              <w:left w:val="nil"/>
              <w:bottom w:val="single" w:color="auto" w:sz="4" w:space="0"/>
              <w:right w:val="single" w:color="auto" w:sz="4" w:space="0"/>
            </w:tcBorders>
            <w:shd w:val="clear" w:color="auto" w:fill="auto"/>
            <w:vAlign w:val="center"/>
          </w:tcPr>
          <w:p w14:paraId="4A344942">
            <w:pPr>
              <w:pStyle w:val="57"/>
              <w:jc w:val="center"/>
              <w:rPr>
                <w:rFonts w:ascii="Times New Roman" w:cs="Times New Roman"/>
              </w:rPr>
            </w:pPr>
            <w:r>
              <w:rPr>
                <w:rFonts w:ascii="Times New Roman" w:cs="Times New Roman"/>
              </w:rPr>
              <w:t>防洪、引水排涝、活水</w:t>
            </w:r>
          </w:p>
        </w:tc>
        <w:tc>
          <w:tcPr>
            <w:tcW w:w="1039" w:type="pct"/>
            <w:tcBorders>
              <w:top w:val="nil"/>
              <w:left w:val="nil"/>
              <w:bottom w:val="single" w:color="auto" w:sz="4" w:space="0"/>
              <w:right w:val="single" w:color="auto" w:sz="4" w:space="0"/>
            </w:tcBorders>
            <w:shd w:val="clear" w:color="auto" w:fill="auto"/>
            <w:vAlign w:val="center"/>
          </w:tcPr>
          <w:p w14:paraId="4A1B7AEB">
            <w:pPr>
              <w:pStyle w:val="57"/>
              <w:jc w:val="center"/>
              <w:rPr>
                <w:rFonts w:ascii="Times New Roman" w:cs="Times New Roman"/>
              </w:rPr>
            </w:pPr>
            <w:r>
              <w:rPr>
                <w:rFonts w:ascii="Times New Roman" w:cs="Times New Roman"/>
              </w:rPr>
              <w:t>14</w:t>
            </w:r>
          </w:p>
        </w:tc>
      </w:tr>
      <w:tr w14:paraId="26AD5536">
        <w:tblPrEx>
          <w:tblCellMar>
            <w:top w:w="0" w:type="dxa"/>
            <w:left w:w="108" w:type="dxa"/>
            <w:bottom w:w="0" w:type="dxa"/>
            <w:right w:w="108" w:type="dxa"/>
          </w:tblCellMar>
        </w:tblPrEx>
        <w:trPr>
          <w:trHeight w:val="20" w:hRule="atLeast"/>
        </w:trPr>
        <w:tc>
          <w:tcPr>
            <w:tcW w:w="533" w:type="pct"/>
            <w:tcBorders>
              <w:top w:val="nil"/>
              <w:left w:val="single" w:color="auto" w:sz="4" w:space="0"/>
              <w:bottom w:val="single" w:color="auto" w:sz="4" w:space="0"/>
              <w:right w:val="single" w:color="auto" w:sz="4" w:space="0"/>
            </w:tcBorders>
            <w:shd w:val="clear" w:color="auto" w:fill="auto"/>
            <w:vAlign w:val="center"/>
          </w:tcPr>
          <w:p w14:paraId="7A2CA37B">
            <w:pPr>
              <w:pStyle w:val="57"/>
              <w:jc w:val="center"/>
              <w:rPr>
                <w:rFonts w:ascii="Times New Roman" w:cs="Times New Roman"/>
              </w:rPr>
            </w:pPr>
            <w:r>
              <w:rPr>
                <w:rFonts w:ascii="Times New Roman" w:cs="Times New Roman"/>
              </w:rPr>
              <w:t>11</w:t>
            </w:r>
          </w:p>
        </w:tc>
        <w:tc>
          <w:tcPr>
            <w:tcW w:w="853" w:type="pct"/>
            <w:tcBorders>
              <w:top w:val="nil"/>
              <w:left w:val="nil"/>
              <w:bottom w:val="single" w:color="auto" w:sz="4" w:space="0"/>
              <w:right w:val="single" w:color="auto" w:sz="4" w:space="0"/>
            </w:tcBorders>
            <w:shd w:val="clear" w:color="auto" w:fill="auto"/>
            <w:vAlign w:val="center"/>
          </w:tcPr>
          <w:p w14:paraId="4E8E73C1">
            <w:pPr>
              <w:pStyle w:val="57"/>
              <w:jc w:val="center"/>
              <w:rPr>
                <w:rFonts w:ascii="Times New Roman" w:cs="Times New Roman"/>
              </w:rPr>
            </w:pPr>
            <w:r>
              <w:rPr>
                <w:rFonts w:ascii="Times New Roman" w:cs="Times New Roman"/>
              </w:rPr>
              <w:t>城东涵闸</w:t>
            </w:r>
          </w:p>
        </w:tc>
        <w:tc>
          <w:tcPr>
            <w:tcW w:w="1639" w:type="pct"/>
            <w:tcBorders>
              <w:top w:val="nil"/>
              <w:left w:val="nil"/>
              <w:bottom w:val="single" w:color="auto" w:sz="4" w:space="0"/>
              <w:right w:val="single" w:color="auto" w:sz="4" w:space="0"/>
            </w:tcBorders>
            <w:shd w:val="clear" w:color="auto" w:fill="auto"/>
            <w:vAlign w:val="center"/>
          </w:tcPr>
          <w:p w14:paraId="48F9FB17">
            <w:pPr>
              <w:pStyle w:val="57"/>
              <w:jc w:val="center"/>
              <w:rPr>
                <w:rFonts w:ascii="Times New Roman" w:cs="Times New Roman"/>
              </w:rPr>
            </w:pPr>
            <w:r>
              <w:rPr>
                <w:rFonts w:ascii="Times New Roman" w:cs="Times New Roman"/>
              </w:rPr>
              <w:t>磨桥河与交叉处328国道南侧</w:t>
            </w:r>
          </w:p>
        </w:tc>
        <w:tc>
          <w:tcPr>
            <w:tcW w:w="936" w:type="pct"/>
            <w:tcBorders>
              <w:top w:val="nil"/>
              <w:left w:val="nil"/>
              <w:bottom w:val="single" w:color="auto" w:sz="4" w:space="0"/>
              <w:right w:val="single" w:color="auto" w:sz="4" w:space="0"/>
            </w:tcBorders>
            <w:shd w:val="clear" w:color="auto" w:fill="auto"/>
            <w:vAlign w:val="center"/>
          </w:tcPr>
          <w:p w14:paraId="3284AA36">
            <w:pPr>
              <w:pStyle w:val="57"/>
              <w:jc w:val="center"/>
              <w:rPr>
                <w:rFonts w:ascii="Times New Roman" w:cs="Times New Roman"/>
              </w:rPr>
            </w:pPr>
            <w:r>
              <w:rPr>
                <w:rFonts w:ascii="Times New Roman" w:cs="Times New Roman"/>
              </w:rPr>
              <w:t>节制涵</w:t>
            </w:r>
          </w:p>
        </w:tc>
        <w:tc>
          <w:tcPr>
            <w:tcW w:w="1039" w:type="pct"/>
            <w:tcBorders>
              <w:top w:val="nil"/>
              <w:left w:val="nil"/>
              <w:bottom w:val="single" w:color="auto" w:sz="4" w:space="0"/>
              <w:right w:val="single" w:color="auto" w:sz="4" w:space="0"/>
            </w:tcBorders>
            <w:shd w:val="clear" w:color="auto" w:fill="auto"/>
            <w:vAlign w:val="center"/>
          </w:tcPr>
          <w:p w14:paraId="246D1B4B">
            <w:pPr>
              <w:pStyle w:val="57"/>
              <w:jc w:val="center"/>
              <w:rPr>
                <w:rFonts w:ascii="Times New Roman" w:cs="Times New Roman"/>
              </w:rPr>
            </w:pPr>
            <w:r>
              <w:rPr>
                <w:rFonts w:ascii="Times New Roman" w:cs="Times New Roman"/>
              </w:rPr>
              <w:t>5</w:t>
            </w:r>
          </w:p>
        </w:tc>
      </w:tr>
      <w:tr w14:paraId="5BC382E5">
        <w:tblPrEx>
          <w:tblCellMar>
            <w:top w:w="0" w:type="dxa"/>
            <w:left w:w="108" w:type="dxa"/>
            <w:bottom w:w="0" w:type="dxa"/>
            <w:right w:w="108" w:type="dxa"/>
          </w:tblCellMar>
        </w:tblPrEx>
        <w:trPr>
          <w:trHeight w:val="20" w:hRule="atLeast"/>
        </w:trPr>
        <w:tc>
          <w:tcPr>
            <w:tcW w:w="533" w:type="pct"/>
            <w:tcBorders>
              <w:top w:val="nil"/>
              <w:left w:val="single" w:color="auto" w:sz="4" w:space="0"/>
              <w:bottom w:val="single" w:color="auto" w:sz="4" w:space="0"/>
              <w:right w:val="single" w:color="auto" w:sz="4" w:space="0"/>
            </w:tcBorders>
            <w:shd w:val="clear" w:color="auto" w:fill="auto"/>
            <w:vAlign w:val="center"/>
          </w:tcPr>
          <w:p w14:paraId="30408ADE">
            <w:pPr>
              <w:pStyle w:val="57"/>
              <w:jc w:val="center"/>
              <w:rPr>
                <w:rFonts w:ascii="Times New Roman" w:cs="Times New Roman"/>
              </w:rPr>
            </w:pPr>
            <w:r>
              <w:rPr>
                <w:rFonts w:ascii="Times New Roman" w:cs="Times New Roman"/>
              </w:rPr>
              <w:t>12</w:t>
            </w:r>
          </w:p>
        </w:tc>
        <w:tc>
          <w:tcPr>
            <w:tcW w:w="853" w:type="pct"/>
            <w:tcBorders>
              <w:top w:val="nil"/>
              <w:left w:val="nil"/>
              <w:bottom w:val="single" w:color="auto" w:sz="4" w:space="0"/>
              <w:right w:val="single" w:color="auto" w:sz="4" w:space="0"/>
            </w:tcBorders>
            <w:shd w:val="clear" w:color="auto" w:fill="auto"/>
            <w:vAlign w:val="center"/>
          </w:tcPr>
          <w:p w14:paraId="2383AA88">
            <w:pPr>
              <w:pStyle w:val="57"/>
              <w:jc w:val="center"/>
              <w:rPr>
                <w:rFonts w:ascii="Times New Roman" w:cs="Times New Roman"/>
              </w:rPr>
            </w:pPr>
            <w:r>
              <w:rPr>
                <w:rFonts w:ascii="Times New Roman" w:cs="Times New Roman"/>
              </w:rPr>
              <w:t>朱家涵闸</w:t>
            </w:r>
          </w:p>
        </w:tc>
        <w:tc>
          <w:tcPr>
            <w:tcW w:w="1639" w:type="pct"/>
            <w:tcBorders>
              <w:top w:val="nil"/>
              <w:left w:val="nil"/>
              <w:bottom w:val="single" w:color="auto" w:sz="4" w:space="0"/>
              <w:right w:val="single" w:color="auto" w:sz="4" w:space="0"/>
            </w:tcBorders>
            <w:shd w:val="clear" w:color="auto" w:fill="auto"/>
            <w:vAlign w:val="center"/>
          </w:tcPr>
          <w:p w14:paraId="4649A596">
            <w:pPr>
              <w:pStyle w:val="57"/>
              <w:jc w:val="center"/>
              <w:rPr>
                <w:rFonts w:ascii="Times New Roman" w:cs="Times New Roman"/>
              </w:rPr>
            </w:pPr>
            <w:r>
              <w:rPr>
                <w:rFonts w:ascii="Times New Roman" w:cs="Times New Roman"/>
              </w:rPr>
              <w:t>天目山街道与白米镇交界处328国道南侧</w:t>
            </w:r>
          </w:p>
        </w:tc>
        <w:tc>
          <w:tcPr>
            <w:tcW w:w="936" w:type="pct"/>
            <w:tcBorders>
              <w:top w:val="nil"/>
              <w:left w:val="nil"/>
              <w:bottom w:val="single" w:color="auto" w:sz="4" w:space="0"/>
              <w:right w:val="single" w:color="auto" w:sz="4" w:space="0"/>
            </w:tcBorders>
            <w:shd w:val="clear" w:color="auto" w:fill="auto"/>
            <w:vAlign w:val="center"/>
          </w:tcPr>
          <w:p w14:paraId="7F1440E4">
            <w:pPr>
              <w:pStyle w:val="57"/>
              <w:jc w:val="center"/>
              <w:rPr>
                <w:rFonts w:ascii="Times New Roman" w:cs="Times New Roman"/>
              </w:rPr>
            </w:pPr>
            <w:r>
              <w:rPr>
                <w:rFonts w:ascii="Times New Roman" w:cs="Times New Roman"/>
              </w:rPr>
              <w:t>节制涵</w:t>
            </w:r>
          </w:p>
        </w:tc>
        <w:tc>
          <w:tcPr>
            <w:tcW w:w="1039" w:type="pct"/>
            <w:tcBorders>
              <w:top w:val="nil"/>
              <w:left w:val="nil"/>
              <w:bottom w:val="single" w:color="auto" w:sz="4" w:space="0"/>
              <w:right w:val="single" w:color="auto" w:sz="4" w:space="0"/>
            </w:tcBorders>
            <w:shd w:val="clear" w:color="auto" w:fill="auto"/>
            <w:vAlign w:val="center"/>
          </w:tcPr>
          <w:p w14:paraId="417225F1">
            <w:pPr>
              <w:pStyle w:val="57"/>
              <w:jc w:val="center"/>
              <w:rPr>
                <w:rFonts w:ascii="Times New Roman" w:cs="Times New Roman"/>
              </w:rPr>
            </w:pPr>
            <w:r>
              <w:rPr>
                <w:rFonts w:ascii="Times New Roman" w:cs="Times New Roman"/>
              </w:rPr>
              <w:t>5</w:t>
            </w:r>
          </w:p>
        </w:tc>
      </w:tr>
      <w:tr w14:paraId="6DC06DA6">
        <w:tblPrEx>
          <w:tblCellMar>
            <w:top w:w="0" w:type="dxa"/>
            <w:left w:w="108" w:type="dxa"/>
            <w:bottom w:w="0" w:type="dxa"/>
            <w:right w:w="108" w:type="dxa"/>
          </w:tblCellMar>
        </w:tblPrEx>
        <w:trPr>
          <w:trHeight w:val="20" w:hRule="atLeast"/>
        </w:trPr>
        <w:tc>
          <w:tcPr>
            <w:tcW w:w="533" w:type="pct"/>
            <w:tcBorders>
              <w:top w:val="nil"/>
              <w:left w:val="single" w:color="auto" w:sz="4" w:space="0"/>
              <w:bottom w:val="single" w:color="auto" w:sz="4" w:space="0"/>
              <w:right w:val="single" w:color="auto" w:sz="4" w:space="0"/>
            </w:tcBorders>
            <w:shd w:val="clear" w:color="auto" w:fill="auto"/>
            <w:vAlign w:val="center"/>
          </w:tcPr>
          <w:p w14:paraId="3DADEF63">
            <w:pPr>
              <w:pStyle w:val="57"/>
              <w:jc w:val="center"/>
              <w:rPr>
                <w:rFonts w:ascii="Times New Roman" w:cs="Times New Roman"/>
              </w:rPr>
            </w:pPr>
            <w:r>
              <w:rPr>
                <w:rFonts w:ascii="Times New Roman" w:cs="Times New Roman"/>
              </w:rPr>
              <w:t>13</w:t>
            </w:r>
          </w:p>
        </w:tc>
        <w:tc>
          <w:tcPr>
            <w:tcW w:w="853" w:type="pct"/>
            <w:tcBorders>
              <w:top w:val="nil"/>
              <w:left w:val="nil"/>
              <w:bottom w:val="single" w:color="auto" w:sz="4" w:space="0"/>
              <w:right w:val="single" w:color="auto" w:sz="4" w:space="0"/>
            </w:tcBorders>
            <w:shd w:val="clear" w:color="auto" w:fill="auto"/>
            <w:vAlign w:val="center"/>
          </w:tcPr>
          <w:p w14:paraId="7EE5C389">
            <w:pPr>
              <w:pStyle w:val="57"/>
              <w:jc w:val="center"/>
              <w:rPr>
                <w:rFonts w:ascii="Times New Roman" w:cs="Times New Roman"/>
              </w:rPr>
            </w:pPr>
            <w:r>
              <w:rPr>
                <w:rFonts w:ascii="Times New Roman" w:cs="Times New Roman"/>
              </w:rPr>
              <w:t>储家涵闸</w:t>
            </w:r>
          </w:p>
        </w:tc>
        <w:tc>
          <w:tcPr>
            <w:tcW w:w="1639" w:type="pct"/>
            <w:tcBorders>
              <w:top w:val="nil"/>
              <w:left w:val="nil"/>
              <w:bottom w:val="single" w:color="auto" w:sz="4" w:space="0"/>
              <w:right w:val="single" w:color="auto" w:sz="4" w:space="0"/>
            </w:tcBorders>
            <w:shd w:val="clear" w:color="auto" w:fill="auto"/>
            <w:vAlign w:val="center"/>
          </w:tcPr>
          <w:p w14:paraId="3977B2EA">
            <w:pPr>
              <w:pStyle w:val="57"/>
              <w:jc w:val="center"/>
              <w:rPr>
                <w:rFonts w:ascii="Times New Roman" w:cs="Times New Roman"/>
              </w:rPr>
            </w:pPr>
            <w:r>
              <w:rPr>
                <w:rFonts w:ascii="Times New Roman" w:cs="Times New Roman"/>
              </w:rPr>
              <w:t>328国道沿线马沟、杭家铺村</w:t>
            </w:r>
          </w:p>
        </w:tc>
        <w:tc>
          <w:tcPr>
            <w:tcW w:w="936" w:type="pct"/>
            <w:tcBorders>
              <w:top w:val="nil"/>
              <w:left w:val="nil"/>
              <w:bottom w:val="single" w:color="auto" w:sz="4" w:space="0"/>
              <w:right w:val="single" w:color="auto" w:sz="4" w:space="0"/>
            </w:tcBorders>
            <w:shd w:val="clear" w:color="auto" w:fill="auto"/>
            <w:vAlign w:val="center"/>
          </w:tcPr>
          <w:p w14:paraId="3FF46421">
            <w:pPr>
              <w:pStyle w:val="57"/>
              <w:jc w:val="center"/>
              <w:rPr>
                <w:rFonts w:ascii="Times New Roman" w:cs="Times New Roman"/>
              </w:rPr>
            </w:pPr>
            <w:r>
              <w:rPr>
                <w:rFonts w:ascii="Times New Roman" w:cs="Times New Roman"/>
              </w:rPr>
              <w:t>节制涵</w:t>
            </w:r>
          </w:p>
        </w:tc>
        <w:tc>
          <w:tcPr>
            <w:tcW w:w="1039" w:type="pct"/>
            <w:tcBorders>
              <w:top w:val="nil"/>
              <w:left w:val="nil"/>
              <w:bottom w:val="single" w:color="auto" w:sz="4" w:space="0"/>
              <w:right w:val="single" w:color="auto" w:sz="4" w:space="0"/>
            </w:tcBorders>
            <w:shd w:val="clear" w:color="auto" w:fill="auto"/>
            <w:vAlign w:val="center"/>
          </w:tcPr>
          <w:p w14:paraId="685B18D1">
            <w:pPr>
              <w:pStyle w:val="57"/>
              <w:jc w:val="center"/>
              <w:rPr>
                <w:rFonts w:ascii="Times New Roman" w:cs="Times New Roman"/>
              </w:rPr>
            </w:pPr>
            <w:r>
              <w:rPr>
                <w:rFonts w:ascii="Times New Roman" w:cs="Times New Roman"/>
              </w:rPr>
              <w:t>0.8</w:t>
            </w:r>
          </w:p>
        </w:tc>
      </w:tr>
      <w:tr w14:paraId="1A6DF097">
        <w:tblPrEx>
          <w:tblCellMar>
            <w:top w:w="0" w:type="dxa"/>
            <w:left w:w="108" w:type="dxa"/>
            <w:bottom w:w="0" w:type="dxa"/>
            <w:right w:w="108" w:type="dxa"/>
          </w:tblCellMar>
        </w:tblPrEx>
        <w:trPr>
          <w:trHeight w:val="20" w:hRule="atLeast"/>
        </w:trPr>
        <w:tc>
          <w:tcPr>
            <w:tcW w:w="533" w:type="pct"/>
            <w:tcBorders>
              <w:top w:val="nil"/>
              <w:left w:val="single" w:color="auto" w:sz="4" w:space="0"/>
              <w:bottom w:val="single" w:color="auto" w:sz="4" w:space="0"/>
              <w:right w:val="single" w:color="auto" w:sz="4" w:space="0"/>
            </w:tcBorders>
            <w:shd w:val="clear" w:color="auto" w:fill="auto"/>
            <w:vAlign w:val="center"/>
          </w:tcPr>
          <w:p w14:paraId="062D63C3">
            <w:pPr>
              <w:pStyle w:val="57"/>
              <w:jc w:val="center"/>
              <w:rPr>
                <w:rFonts w:ascii="Times New Roman" w:cs="Times New Roman"/>
              </w:rPr>
            </w:pPr>
            <w:r>
              <w:rPr>
                <w:rFonts w:ascii="Times New Roman" w:cs="Times New Roman"/>
              </w:rPr>
              <w:t>14</w:t>
            </w:r>
          </w:p>
        </w:tc>
        <w:tc>
          <w:tcPr>
            <w:tcW w:w="853" w:type="pct"/>
            <w:tcBorders>
              <w:top w:val="nil"/>
              <w:left w:val="nil"/>
              <w:bottom w:val="single" w:color="auto" w:sz="4" w:space="0"/>
              <w:right w:val="single" w:color="auto" w:sz="4" w:space="0"/>
            </w:tcBorders>
            <w:shd w:val="clear" w:color="auto" w:fill="auto"/>
            <w:vAlign w:val="center"/>
          </w:tcPr>
          <w:p w14:paraId="200099AC">
            <w:pPr>
              <w:pStyle w:val="57"/>
              <w:jc w:val="center"/>
              <w:rPr>
                <w:rFonts w:ascii="Times New Roman" w:cs="Times New Roman"/>
              </w:rPr>
            </w:pPr>
            <w:r>
              <w:rPr>
                <w:rFonts w:ascii="Times New Roman" w:cs="Times New Roman"/>
              </w:rPr>
              <w:t>曹洪喜涵闸</w:t>
            </w:r>
          </w:p>
        </w:tc>
        <w:tc>
          <w:tcPr>
            <w:tcW w:w="1639" w:type="pct"/>
            <w:tcBorders>
              <w:top w:val="nil"/>
              <w:left w:val="nil"/>
              <w:bottom w:val="single" w:color="auto" w:sz="4" w:space="0"/>
              <w:right w:val="single" w:color="auto" w:sz="4" w:space="0"/>
            </w:tcBorders>
            <w:shd w:val="clear" w:color="auto" w:fill="auto"/>
            <w:vAlign w:val="center"/>
          </w:tcPr>
          <w:p w14:paraId="6403E7D8">
            <w:pPr>
              <w:pStyle w:val="57"/>
              <w:jc w:val="center"/>
              <w:rPr>
                <w:rFonts w:ascii="Times New Roman" w:cs="Times New Roman"/>
              </w:rPr>
            </w:pPr>
            <w:r>
              <w:rPr>
                <w:rFonts w:ascii="Times New Roman" w:cs="Times New Roman"/>
              </w:rPr>
              <w:t>328国道沿线马沟、曹新村</w:t>
            </w:r>
          </w:p>
        </w:tc>
        <w:tc>
          <w:tcPr>
            <w:tcW w:w="936" w:type="pct"/>
            <w:tcBorders>
              <w:top w:val="nil"/>
              <w:left w:val="nil"/>
              <w:bottom w:val="single" w:color="auto" w:sz="4" w:space="0"/>
              <w:right w:val="single" w:color="auto" w:sz="4" w:space="0"/>
            </w:tcBorders>
            <w:shd w:val="clear" w:color="auto" w:fill="auto"/>
            <w:vAlign w:val="center"/>
          </w:tcPr>
          <w:p w14:paraId="51AB52A5">
            <w:pPr>
              <w:pStyle w:val="57"/>
              <w:jc w:val="center"/>
              <w:rPr>
                <w:rFonts w:ascii="Times New Roman" w:cs="Times New Roman"/>
              </w:rPr>
            </w:pPr>
            <w:r>
              <w:rPr>
                <w:rFonts w:ascii="Times New Roman" w:cs="Times New Roman"/>
              </w:rPr>
              <w:t>节制涵</w:t>
            </w:r>
          </w:p>
        </w:tc>
        <w:tc>
          <w:tcPr>
            <w:tcW w:w="1039" w:type="pct"/>
            <w:tcBorders>
              <w:top w:val="nil"/>
              <w:left w:val="nil"/>
              <w:bottom w:val="single" w:color="auto" w:sz="4" w:space="0"/>
              <w:right w:val="single" w:color="auto" w:sz="4" w:space="0"/>
            </w:tcBorders>
            <w:shd w:val="clear" w:color="auto" w:fill="auto"/>
            <w:vAlign w:val="center"/>
          </w:tcPr>
          <w:p w14:paraId="1D75CD0B">
            <w:pPr>
              <w:pStyle w:val="57"/>
              <w:jc w:val="center"/>
              <w:rPr>
                <w:rFonts w:ascii="Times New Roman" w:cs="Times New Roman"/>
              </w:rPr>
            </w:pPr>
            <w:r>
              <w:rPr>
                <w:rFonts w:ascii="Times New Roman" w:cs="Times New Roman"/>
              </w:rPr>
              <w:t>0.8</w:t>
            </w:r>
          </w:p>
        </w:tc>
      </w:tr>
      <w:tr w14:paraId="358281DB">
        <w:tblPrEx>
          <w:tblCellMar>
            <w:top w:w="0" w:type="dxa"/>
            <w:left w:w="108" w:type="dxa"/>
            <w:bottom w:w="0" w:type="dxa"/>
            <w:right w:w="108" w:type="dxa"/>
          </w:tblCellMar>
        </w:tblPrEx>
        <w:trPr>
          <w:trHeight w:val="20" w:hRule="atLeast"/>
        </w:trPr>
        <w:tc>
          <w:tcPr>
            <w:tcW w:w="533" w:type="pct"/>
            <w:tcBorders>
              <w:top w:val="nil"/>
              <w:left w:val="single" w:color="auto" w:sz="4" w:space="0"/>
              <w:bottom w:val="single" w:color="auto" w:sz="4" w:space="0"/>
              <w:right w:val="single" w:color="auto" w:sz="4" w:space="0"/>
            </w:tcBorders>
            <w:shd w:val="clear" w:color="auto" w:fill="auto"/>
            <w:vAlign w:val="center"/>
          </w:tcPr>
          <w:p w14:paraId="15802AC1">
            <w:pPr>
              <w:pStyle w:val="57"/>
              <w:jc w:val="center"/>
              <w:rPr>
                <w:rFonts w:ascii="Times New Roman" w:cs="Times New Roman"/>
              </w:rPr>
            </w:pPr>
            <w:r>
              <w:rPr>
                <w:rFonts w:ascii="Times New Roman" w:cs="Times New Roman"/>
              </w:rPr>
              <w:t>15</w:t>
            </w:r>
          </w:p>
        </w:tc>
        <w:tc>
          <w:tcPr>
            <w:tcW w:w="853" w:type="pct"/>
            <w:tcBorders>
              <w:top w:val="nil"/>
              <w:left w:val="nil"/>
              <w:bottom w:val="single" w:color="auto" w:sz="4" w:space="0"/>
              <w:right w:val="single" w:color="auto" w:sz="4" w:space="0"/>
            </w:tcBorders>
            <w:shd w:val="clear" w:color="auto" w:fill="auto"/>
            <w:vAlign w:val="center"/>
          </w:tcPr>
          <w:p w14:paraId="7A851FEC">
            <w:pPr>
              <w:pStyle w:val="57"/>
              <w:jc w:val="center"/>
              <w:rPr>
                <w:rFonts w:ascii="Times New Roman" w:cs="Times New Roman"/>
              </w:rPr>
            </w:pPr>
            <w:r>
              <w:rPr>
                <w:rFonts w:ascii="Times New Roman" w:cs="Times New Roman"/>
              </w:rPr>
              <w:t>杨家涵闸</w:t>
            </w:r>
          </w:p>
        </w:tc>
        <w:tc>
          <w:tcPr>
            <w:tcW w:w="1639" w:type="pct"/>
            <w:tcBorders>
              <w:top w:val="nil"/>
              <w:left w:val="nil"/>
              <w:bottom w:val="single" w:color="auto" w:sz="4" w:space="0"/>
              <w:right w:val="single" w:color="auto" w:sz="4" w:space="0"/>
            </w:tcBorders>
            <w:shd w:val="clear" w:color="auto" w:fill="auto"/>
            <w:vAlign w:val="center"/>
          </w:tcPr>
          <w:p w14:paraId="120D3E0B">
            <w:pPr>
              <w:pStyle w:val="57"/>
              <w:jc w:val="center"/>
              <w:rPr>
                <w:rFonts w:ascii="Times New Roman" w:cs="Times New Roman"/>
              </w:rPr>
            </w:pPr>
            <w:r>
              <w:rPr>
                <w:rFonts w:ascii="Times New Roman" w:cs="Times New Roman"/>
              </w:rPr>
              <w:t>328国道沿线曹新村</w:t>
            </w:r>
          </w:p>
        </w:tc>
        <w:tc>
          <w:tcPr>
            <w:tcW w:w="936" w:type="pct"/>
            <w:tcBorders>
              <w:top w:val="nil"/>
              <w:left w:val="nil"/>
              <w:bottom w:val="single" w:color="auto" w:sz="4" w:space="0"/>
              <w:right w:val="single" w:color="auto" w:sz="4" w:space="0"/>
            </w:tcBorders>
            <w:shd w:val="clear" w:color="auto" w:fill="auto"/>
            <w:vAlign w:val="center"/>
          </w:tcPr>
          <w:p w14:paraId="6CE238C6">
            <w:pPr>
              <w:pStyle w:val="57"/>
              <w:jc w:val="center"/>
              <w:rPr>
                <w:rFonts w:ascii="Times New Roman" w:cs="Times New Roman"/>
              </w:rPr>
            </w:pPr>
            <w:r>
              <w:rPr>
                <w:rFonts w:ascii="Times New Roman" w:cs="Times New Roman"/>
              </w:rPr>
              <w:t>节制涵</w:t>
            </w:r>
          </w:p>
        </w:tc>
        <w:tc>
          <w:tcPr>
            <w:tcW w:w="1039" w:type="pct"/>
            <w:tcBorders>
              <w:top w:val="nil"/>
              <w:left w:val="nil"/>
              <w:bottom w:val="single" w:color="auto" w:sz="4" w:space="0"/>
              <w:right w:val="single" w:color="auto" w:sz="4" w:space="0"/>
            </w:tcBorders>
            <w:shd w:val="clear" w:color="auto" w:fill="auto"/>
            <w:vAlign w:val="center"/>
          </w:tcPr>
          <w:p w14:paraId="145D45B4">
            <w:pPr>
              <w:pStyle w:val="57"/>
              <w:jc w:val="center"/>
              <w:rPr>
                <w:rFonts w:ascii="Times New Roman" w:cs="Times New Roman"/>
              </w:rPr>
            </w:pPr>
            <w:r>
              <w:rPr>
                <w:rFonts w:ascii="Times New Roman" w:cs="Times New Roman"/>
              </w:rPr>
              <w:t>0.8</w:t>
            </w:r>
          </w:p>
        </w:tc>
      </w:tr>
      <w:tr w14:paraId="778479B6">
        <w:tblPrEx>
          <w:tblCellMar>
            <w:top w:w="0" w:type="dxa"/>
            <w:left w:w="108" w:type="dxa"/>
            <w:bottom w:w="0" w:type="dxa"/>
            <w:right w:w="108" w:type="dxa"/>
          </w:tblCellMar>
        </w:tblPrEx>
        <w:trPr>
          <w:trHeight w:val="20" w:hRule="atLeast"/>
        </w:trPr>
        <w:tc>
          <w:tcPr>
            <w:tcW w:w="533" w:type="pct"/>
            <w:tcBorders>
              <w:top w:val="nil"/>
              <w:left w:val="single" w:color="auto" w:sz="4" w:space="0"/>
              <w:bottom w:val="single" w:color="auto" w:sz="4" w:space="0"/>
              <w:right w:val="single" w:color="auto" w:sz="4" w:space="0"/>
            </w:tcBorders>
            <w:shd w:val="clear" w:color="auto" w:fill="auto"/>
            <w:vAlign w:val="center"/>
          </w:tcPr>
          <w:p w14:paraId="052ACDDB">
            <w:pPr>
              <w:pStyle w:val="57"/>
              <w:jc w:val="center"/>
              <w:rPr>
                <w:rFonts w:ascii="Times New Roman" w:cs="Times New Roman"/>
              </w:rPr>
            </w:pPr>
            <w:r>
              <w:rPr>
                <w:rFonts w:ascii="Times New Roman" w:cs="Times New Roman"/>
              </w:rPr>
              <w:t>16</w:t>
            </w:r>
          </w:p>
        </w:tc>
        <w:tc>
          <w:tcPr>
            <w:tcW w:w="853" w:type="pct"/>
            <w:tcBorders>
              <w:top w:val="nil"/>
              <w:left w:val="nil"/>
              <w:bottom w:val="single" w:color="auto" w:sz="4" w:space="0"/>
              <w:right w:val="single" w:color="auto" w:sz="4" w:space="0"/>
            </w:tcBorders>
            <w:shd w:val="clear" w:color="auto" w:fill="auto"/>
            <w:vAlign w:val="center"/>
          </w:tcPr>
          <w:p w14:paraId="21A2ADA1">
            <w:pPr>
              <w:pStyle w:val="57"/>
              <w:jc w:val="center"/>
              <w:rPr>
                <w:rFonts w:ascii="Times New Roman" w:cs="Times New Roman"/>
              </w:rPr>
            </w:pPr>
            <w:r>
              <w:rPr>
                <w:rFonts w:ascii="Times New Roman" w:cs="Times New Roman"/>
              </w:rPr>
              <w:t>双涵闸</w:t>
            </w:r>
          </w:p>
        </w:tc>
        <w:tc>
          <w:tcPr>
            <w:tcW w:w="1639" w:type="pct"/>
            <w:tcBorders>
              <w:top w:val="nil"/>
              <w:left w:val="nil"/>
              <w:bottom w:val="single" w:color="auto" w:sz="4" w:space="0"/>
              <w:right w:val="single" w:color="auto" w:sz="4" w:space="0"/>
            </w:tcBorders>
            <w:shd w:val="clear" w:color="auto" w:fill="auto"/>
            <w:vAlign w:val="center"/>
          </w:tcPr>
          <w:p w14:paraId="042C798F">
            <w:pPr>
              <w:pStyle w:val="57"/>
              <w:jc w:val="center"/>
              <w:rPr>
                <w:rFonts w:ascii="Times New Roman" w:cs="Times New Roman"/>
              </w:rPr>
            </w:pPr>
            <w:r>
              <w:rPr>
                <w:rFonts w:ascii="Times New Roman" w:cs="Times New Roman"/>
              </w:rPr>
              <w:t>328国道沿线白米村</w:t>
            </w:r>
          </w:p>
        </w:tc>
        <w:tc>
          <w:tcPr>
            <w:tcW w:w="936" w:type="pct"/>
            <w:tcBorders>
              <w:top w:val="nil"/>
              <w:left w:val="nil"/>
              <w:bottom w:val="single" w:color="auto" w:sz="4" w:space="0"/>
              <w:right w:val="single" w:color="auto" w:sz="4" w:space="0"/>
            </w:tcBorders>
            <w:shd w:val="clear" w:color="auto" w:fill="auto"/>
            <w:vAlign w:val="center"/>
          </w:tcPr>
          <w:p w14:paraId="5D362FC6">
            <w:pPr>
              <w:pStyle w:val="57"/>
              <w:jc w:val="center"/>
              <w:rPr>
                <w:rFonts w:ascii="Times New Roman" w:cs="Times New Roman"/>
              </w:rPr>
            </w:pPr>
            <w:r>
              <w:rPr>
                <w:rFonts w:ascii="Times New Roman" w:cs="Times New Roman"/>
              </w:rPr>
              <w:t>节制涵</w:t>
            </w:r>
          </w:p>
        </w:tc>
        <w:tc>
          <w:tcPr>
            <w:tcW w:w="1039" w:type="pct"/>
            <w:tcBorders>
              <w:top w:val="nil"/>
              <w:left w:val="nil"/>
              <w:bottom w:val="single" w:color="auto" w:sz="4" w:space="0"/>
              <w:right w:val="single" w:color="auto" w:sz="4" w:space="0"/>
            </w:tcBorders>
            <w:shd w:val="clear" w:color="auto" w:fill="auto"/>
            <w:vAlign w:val="center"/>
          </w:tcPr>
          <w:p w14:paraId="353E4AE2">
            <w:pPr>
              <w:pStyle w:val="57"/>
              <w:jc w:val="center"/>
              <w:rPr>
                <w:rFonts w:ascii="Times New Roman" w:cs="Times New Roman"/>
              </w:rPr>
            </w:pPr>
            <w:r>
              <w:rPr>
                <w:rFonts w:ascii="Times New Roman" w:cs="Times New Roman"/>
              </w:rPr>
              <w:t>0.8</w:t>
            </w:r>
          </w:p>
        </w:tc>
      </w:tr>
      <w:tr w14:paraId="143CCA16">
        <w:tblPrEx>
          <w:tblCellMar>
            <w:top w:w="0" w:type="dxa"/>
            <w:left w:w="108" w:type="dxa"/>
            <w:bottom w:w="0" w:type="dxa"/>
            <w:right w:w="108" w:type="dxa"/>
          </w:tblCellMar>
        </w:tblPrEx>
        <w:trPr>
          <w:trHeight w:val="20" w:hRule="atLeast"/>
        </w:trPr>
        <w:tc>
          <w:tcPr>
            <w:tcW w:w="533" w:type="pct"/>
            <w:tcBorders>
              <w:top w:val="nil"/>
              <w:left w:val="single" w:color="auto" w:sz="4" w:space="0"/>
              <w:bottom w:val="single" w:color="auto" w:sz="4" w:space="0"/>
              <w:right w:val="single" w:color="auto" w:sz="4" w:space="0"/>
            </w:tcBorders>
            <w:shd w:val="clear" w:color="auto" w:fill="auto"/>
            <w:vAlign w:val="center"/>
          </w:tcPr>
          <w:p w14:paraId="7A990ED2">
            <w:pPr>
              <w:pStyle w:val="57"/>
              <w:jc w:val="center"/>
              <w:rPr>
                <w:rFonts w:ascii="Times New Roman" w:cs="Times New Roman"/>
              </w:rPr>
            </w:pPr>
            <w:r>
              <w:rPr>
                <w:rFonts w:ascii="Times New Roman" w:cs="Times New Roman"/>
              </w:rPr>
              <w:t>17</w:t>
            </w:r>
          </w:p>
        </w:tc>
        <w:tc>
          <w:tcPr>
            <w:tcW w:w="853" w:type="pct"/>
            <w:tcBorders>
              <w:top w:val="nil"/>
              <w:left w:val="nil"/>
              <w:bottom w:val="single" w:color="auto" w:sz="4" w:space="0"/>
              <w:right w:val="single" w:color="auto" w:sz="4" w:space="0"/>
            </w:tcBorders>
            <w:shd w:val="clear" w:color="auto" w:fill="auto"/>
            <w:vAlign w:val="center"/>
          </w:tcPr>
          <w:p w14:paraId="6ACB79D1">
            <w:pPr>
              <w:pStyle w:val="57"/>
              <w:jc w:val="center"/>
              <w:rPr>
                <w:rFonts w:ascii="Times New Roman" w:cs="Times New Roman"/>
              </w:rPr>
            </w:pPr>
            <w:r>
              <w:rPr>
                <w:rFonts w:ascii="Times New Roman" w:cs="Times New Roman"/>
              </w:rPr>
              <w:t>丁家巷涵闸</w:t>
            </w:r>
          </w:p>
        </w:tc>
        <w:tc>
          <w:tcPr>
            <w:tcW w:w="1639" w:type="pct"/>
            <w:tcBorders>
              <w:top w:val="nil"/>
              <w:left w:val="nil"/>
              <w:bottom w:val="single" w:color="auto" w:sz="4" w:space="0"/>
              <w:right w:val="single" w:color="auto" w:sz="4" w:space="0"/>
            </w:tcBorders>
            <w:shd w:val="clear" w:color="auto" w:fill="auto"/>
            <w:vAlign w:val="center"/>
          </w:tcPr>
          <w:p w14:paraId="73BAA8B5">
            <w:pPr>
              <w:pStyle w:val="57"/>
              <w:jc w:val="center"/>
              <w:rPr>
                <w:rFonts w:ascii="Times New Roman" w:cs="Times New Roman"/>
              </w:rPr>
            </w:pPr>
            <w:r>
              <w:rPr>
                <w:rFonts w:ascii="Times New Roman" w:cs="Times New Roman"/>
              </w:rPr>
              <w:t>328国道沿线白米村</w:t>
            </w:r>
          </w:p>
        </w:tc>
        <w:tc>
          <w:tcPr>
            <w:tcW w:w="936" w:type="pct"/>
            <w:tcBorders>
              <w:top w:val="nil"/>
              <w:left w:val="nil"/>
              <w:bottom w:val="single" w:color="auto" w:sz="4" w:space="0"/>
              <w:right w:val="single" w:color="auto" w:sz="4" w:space="0"/>
            </w:tcBorders>
            <w:shd w:val="clear" w:color="auto" w:fill="auto"/>
            <w:vAlign w:val="center"/>
          </w:tcPr>
          <w:p w14:paraId="19237911">
            <w:pPr>
              <w:pStyle w:val="57"/>
              <w:jc w:val="center"/>
              <w:rPr>
                <w:rFonts w:ascii="Times New Roman" w:cs="Times New Roman"/>
              </w:rPr>
            </w:pPr>
            <w:r>
              <w:rPr>
                <w:rFonts w:ascii="Times New Roman" w:cs="Times New Roman"/>
              </w:rPr>
              <w:t>节制涵</w:t>
            </w:r>
          </w:p>
        </w:tc>
        <w:tc>
          <w:tcPr>
            <w:tcW w:w="1039" w:type="pct"/>
            <w:tcBorders>
              <w:top w:val="nil"/>
              <w:left w:val="nil"/>
              <w:bottom w:val="single" w:color="auto" w:sz="4" w:space="0"/>
              <w:right w:val="single" w:color="auto" w:sz="4" w:space="0"/>
            </w:tcBorders>
            <w:shd w:val="clear" w:color="auto" w:fill="auto"/>
            <w:vAlign w:val="center"/>
          </w:tcPr>
          <w:p w14:paraId="60E575D9">
            <w:pPr>
              <w:pStyle w:val="57"/>
              <w:jc w:val="center"/>
              <w:rPr>
                <w:rFonts w:ascii="Times New Roman" w:cs="Times New Roman"/>
              </w:rPr>
            </w:pPr>
            <w:r>
              <w:rPr>
                <w:rFonts w:ascii="Times New Roman" w:cs="Times New Roman"/>
              </w:rPr>
              <w:t>0.8</w:t>
            </w:r>
          </w:p>
        </w:tc>
      </w:tr>
      <w:tr w14:paraId="5DDC6A43">
        <w:tblPrEx>
          <w:tblCellMar>
            <w:top w:w="0" w:type="dxa"/>
            <w:left w:w="108" w:type="dxa"/>
            <w:bottom w:w="0" w:type="dxa"/>
            <w:right w:w="108" w:type="dxa"/>
          </w:tblCellMar>
        </w:tblPrEx>
        <w:trPr>
          <w:trHeight w:val="20" w:hRule="atLeast"/>
        </w:trPr>
        <w:tc>
          <w:tcPr>
            <w:tcW w:w="533" w:type="pct"/>
            <w:tcBorders>
              <w:top w:val="nil"/>
              <w:left w:val="single" w:color="auto" w:sz="4" w:space="0"/>
              <w:bottom w:val="single" w:color="auto" w:sz="4" w:space="0"/>
              <w:right w:val="single" w:color="auto" w:sz="4" w:space="0"/>
            </w:tcBorders>
            <w:shd w:val="clear" w:color="auto" w:fill="auto"/>
            <w:vAlign w:val="center"/>
          </w:tcPr>
          <w:p w14:paraId="4167EDA9">
            <w:pPr>
              <w:pStyle w:val="57"/>
              <w:jc w:val="center"/>
              <w:rPr>
                <w:rFonts w:ascii="Times New Roman" w:cs="Times New Roman"/>
              </w:rPr>
            </w:pPr>
            <w:r>
              <w:rPr>
                <w:rFonts w:ascii="Times New Roman" w:cs="Times New Roman"/>
              </w:rPr>
              <w:t>18</w:t>
            </w:r>
          </w:p>
        </w:tc>
        <w:tc>
          <w:tcPr>
            <w:tcW w:w="853" w:type="pct"/>
            <w:tcBorders>
              <w:top w:val="nil"/>
              <w:left w:val="nil"/>
              <w:bottom w:val="single" w:color="auto" w:sz="4" w:space="0"/>
              <w:right w:val="single" w:color="auto" w:sz="4" w:space="0"/>
            </w:tcBorders>
            <w:shd w:val="clear" w:color="auto" w:fill="auto"/>
            <w:vAlign w:val="center"/>
          </w:tcPr>
          <w:p w14:paraId="2A9850E9">
            <w:pPr>
              <w:pStyle w:val="57"/>
              <w:jc w:val="center"/>
              <w:rPr>
                <w:rFonts w:ascii="Times New Roman" w:cs="Times New Roman"/>
              </w:rPr>
            </w:pPr>
            <w:r>
              <w:rPr>
                <w:rFonts w:ascii="Times New Roman" w:cs="Times New Roman"/>
              </w:rPr>
              <w:t>白米闸</w:t>
            </w:r>
          </w:p>
        </w:tc>
        <w:tc>
          <w:tcPr>
            <w:tcW w:w="1639" w:type="pct"/>
            <w:tcBorders>
              <w:top w:val="nil"/>
              <w:left w:val="nil"/>
              <w:bottom w:val="single" w:color="auto" w:sz="4" w:space="0"/>
              <w:right w:val="single" w:color="auto" w:sz="4" w:space="0"/>
            </w:tcBorders>
            <w:shd w:val="clear" w:color="auto" w:fill="auto"/>
            <w:vAlign w:val="center"/>
          </w:tcPr>
          <w:p w14:paraId="16F99EF3">
            <w:pPr>
              <w:pStyle w:val="57"/>
              <w:jc w:val="center"/>
              <w:rPr>
                <w:rFonts w:ascii="Times New Roman" w:cs="Times New Roman"/>
              </w:rPr>
            </w:pPr>
            <w:r>
              <w:rPr>
                <w:rFonts w:ascii="Times New Roman" w:cs="Times New Roman"/>
              </w:rPr>
              <w:t>白米村捷峰帽业东南200米</w:t>
            </w:r>
          </w:p>
        </w:tc>
        <w:tc>
          <w:tcPr>
            <w:tcW w:w="936" w:type="pct"/>
            <w:tcBorders>
              <w:top w:val="nil"/>
              <w:left w:val="nil"/>
              <w:bottom w:val="single" w:color="auto" w:sz="4" w:space="0"/>
              <w:right w:val="single" w:color="auto" w:sz="4" w:space="0"/>
            </w:tcBorders>
            <w:shd w:val="clear" w:color="auto" w:fill="auto"/>
            <w:vAlign w:val="center"/>
          </w:tcPr>
          <w:p w14:paraId="4125B2D3">
            <w:pPr>
              <w:pStyle w:val="57"/>
              <w:jc w:val="center"/>
              <w:rPr>
                <w:rFonts w:ascii="Times New Roman" w:cs="Times New Roman"/>
              </w:rPr>
            </w:pPr>
            <w:r>
              <w:rPr>
                <w:rFonts w:ascii="Times New Roman" w:cs="Times New Roman"/>
              </w:rPr>
              <w:t>引、排</w:t>
            </w:r>
          </w:p>
        </w:tc>
        <w:tc>
          <w:tcPr>
            <w:tcW w:w="1039" w:type="pct"/>
            <w:tcBorders>
              <w:top w:val="nil"/>
              <w:left w:val="nil"/>
              <w:bottom w:val="single" w:color="auto" w:sz="4" w:space="0"/>
              <w:right w:val="single" w:color="auto" w:sz="4" w:space="0"/>
            </w:tcBorders>
            <w:shd w:val="clear" w:color="auto" w:fill="auto"/>
            <w:vAlign w:val="center"/>
          </w:tcPr>
          <w:p w14:paraId="503EBD0A">
            <w:pPr>
              <w:pStyle w:val="57"/>
              <w:jc w:val="center"/>
              <w:rPr>
                <w:rFonts w:ascii="Times New Roman" w:cs="Times New Roman"/>
              </w:rPr>
            </w:pPr>
            <w:r>
              <w:rPr>
                <w:rFonts w:ascii="Times New Roman" w:cs="Times New Roman"/>
              </w:rPr>
              <w:t>18</w:t>
            </w:r>
          </w:p>
        </w:tc>
      </w:tr>
      <w:tr w14:paraId="055AA2A0">
        <w:tblPrEx>
          <w:tblCellMar>
            <w:top w:w="0" w:type="dxa"/>
            <w:left w:w="108" w:type="dxa"/>
            <w:bottom w:w="0" w:type="dxa"/>
            <w:right w:w="108" w:type="dxa"/>
          </w:tblCellMar>
        </w:tblPrEx>
        <w:trPr>
          <w:trHeight w:val="20" w:hRule="atLeast"/>
        </w:trPr>
        <w:tc>
          <w:tcPr>
            <w:tcW w:w="533" w:type="pct"/>
            <w:tcBorders>
              <w:top w:val="nil"/>
              <w:left w:val="single" w:color="auto" w:sz="4" w:space="0"/>
              <w:bottom w:val="single" w:color="auto" w:sz="4" w:space="0"/>
              <w:right w:val="single" w:color="auto" w:sz="4" w:space="0"/>
            </w:tcBorders>
            <w:shd w:val="clear" w:color="auto" w:fill="auto"/>
            <w:vAlign w:val="center"/>
          </w:tcPr>
          <w:p w14:paraId="43616CA7">
            <w:pPr>
              <w:pStyle w:val="57"/>
              <w:jc w:val="center"/>
              <w:rPr>
                <w:rFonts w:ascii="Times New Roman" w:cs="Times New Roman"/>
              </w:rPr>
            </w:pPr>
            <w:r>
              <w:rPr>
                <w:rFonts w:ascii="Times New Roman" w:cs="Times New Roman"/>
              </w:rPr>
              <w:t>19</w:t>
            </w:r>
          </w:p>
        </w:tc>
        <w:tc>
          <w:tcPr>
            <w:tcW w:w="853" w:type="pct"/>
            <w:tcBorders>
              <w:top w:val="nil"/>
              <w:left w:val="nil"/>
              <w:bottom w:val="single" w:color="auto" w:sz="4" w:space="0"/>
              <w:right w:val="single" w:color="auto" w:sz="4" w:space="0"/>
            </w:tcBorders>
            <w:shd w:val="clear" w:color="auto" w:fill="auto"/>
            <w:vAlign w:val="center"/>
          </w:tcPr>
          <w:p w14:paraId="5428630B">
            <w:pPr>
              <w:pStyle w:val="57"/>
              <w:jc w:val="center"/>
              <w:rPr>
                <w:rFonts w:ascii="Times New Roman" w:cs="Times New Roman"/>
              </w:rPr>
            </w:pPr>
            <w:r>
              <w:rPr>
                <w:rFonts w:ascii="Times New Roman" w:cs="Times New Roman"/>
              </w:rPr>
              <w:t>西郭家涵闸</w:t>
            </w:r>
          </w:p>
        </w:tc>
        <w:tc>
          <w:tcPr>
            <w:tcW w:w="1639" w:type="pct"/>
            <w:tcBorders>
              <w:top w:val="nil"/>
              <w:left w:val="nil"/>
              <w:bottom w:val="single" w:color="auto" w:sz="4" w:space="0"/>
              <w:right w:val="single" w:color="auto" w:sz="4" w:space="0"/>
            </w:tcBorders>
            <w:shd w:val="clear" w:color="auto" w:fill="auto"/>
            <w:vAlign w:val="center"/>
          </w:tcPr>
          <w:p w14:paraId="1FC8F3C2">
            <w:pPr>
              <w:pStyle w:val="57"/>
              <w:jc w:val="center"/>
              <w:rPr>
                <w:rFonts w:ascii="Times New Roman" w:cs="Times New Roman"/>
              </w:rPr>
            </w:pPr>
            <w:r>
              <w:rPr>
                <w:rFonts w:ascii="Times New Roman" w:cs="Times New Roman"/>
              </w:rPr>
              <w:t>328国道沿线白米村</w:t>
            </w:r>
          </w:p>
        </w:tc>
        <w:tc>
          <w:tcPr>
            <w:tcW w:w="936" w:type="pct"/>
            <w:tcBorders>
              <w:top w:val="nil"/>
              <w:left w:val="nil"/>
              <w:bottom w:val="single" w:color="auto" w:sz="4" w:space="0"/>
              <w:right w:val="single" w:color="auto" w:sz="4" w:space="0"/>
            </w:tcBorders>
            <w:shd w:val="clear" w:color="auto" w:fill="auto"/>
            <w:vAlign w:val="center"/>
          </w:tcPr>
          <w:p w14:paraId="68B9415B">
            <w:pPr>
              <w:pStyle w:val="57"/>
              <w:jc w:val="center"/>
              <w:rPr>
                <w:rFonts w:ascii="Times New Roman" w:cs="Times New Roman"/>
              </w:rPr>
            </w:pPr>
            <w:r>
              <w:rPr>
                <w:rFonts w:ascii="Times New Roman" w:cs="Times New Roman"/>
              </w:rPr>
              <w:t>节制涵</w:t>
            </w:r>
          </w:p>
        </w:tc>
        <w:tc>
          <w:tcPr>
            <w:tcW w:w="1039" w:type="pct"/>
            <w:tcBorders>
              <w:top w:val="nil"/>
              <w:left w:val="nil"/>
              <w:bottom w:val="single" w:color="auto" w:sz="4" w:space="0"/>
              <w:right w:val="single" w:color="auto" w:sz="4" w:space="0"/>
            </w:tcBorders>
            <w:shd w:val="clear" w:color="auto" w:fill="auto"/>
            <w:vAlign w:val="center"/>
          </w:tcPr>
          <w:p w14:paraId="6B71894A">
            <w:pPr>
              <w:pStyle w:val="57"/>
              <w:jc w:val="center"/>
              <w:rPr>
                <w:rFonts w:ascii="Times New Roman" w:cs="Times New Roman"/>
              </w:rPr>
            </w:pPr>
            <w:r>
              <w:rPr>
                <w:rFonts w:ascii="Times New Roman" w:cs="Times New Roman"/>
              </w:rPr>
              <w:t>0.8</w:t>
            </w:r>
          </w:p>
        </w:tc>
      </w:tr>
      <w:tr w14:paraId="63620A49">
        <w:tblPrEx>
          <w:tblCellMar>
            <w:top w:w="0" w:type="dxa"/>
            <w:left w:w="108" w:type="dxa"/>
            <w:bottom w:w="0" w:type="dxa"/>
            <w:right w:w="108" w:type="dxa"/>
          </w:tblCellMar>
        </w:tblPrEx>
        <w:trPr>
          <w:trHeight w:val="20" w:hRule="atLeast"/>
        </w:trPr>
        <w:tc>
          <w:tcPr>
            <w:tcW w:w="533" w:type="pct"/>
            <w:tcBorders>
              <w:top w:val="nil"/>
              <w:left w:val="single" w:color="auto" w:sz="4" w:space="0"/>
              <w:bottom w:val="single" w:color="auto" w:sz="4" w:space="0"/>
              <w:right w:val="single" w:color="auto" w:sz="4" w:space="0"/>
            </w:tcBorders>
            <w:shd w:val="clear" w:color="auto" w:fill="auto"/>
            <w:vAlign w:val="center"/>
          </w:tcPr>
          <w:p w14:paraId="6B62DAB8">
            <w:pPr>
              <w:pStyle w:val="57"/>
              <w:jc w:val="center"/>
              <w:rPr>
                <w:rFonts w:ascii="Times New Roman" w:cs="Times New Roman"/>
              </w:rPr>
            </w:pPr>
          </w:p>
        </w:tc>
        <w:tc>
          <w:tcPr>
            <w:tcW w:w="4467" w:type="pct"/>
            <w:gridSpan w:val="4"/>
            <w:tcBorders>
              <w:top w:val="single" w:color="auto" w:sz="4" w:space="0"/>
              <w:left w:val="nil"/>
              <w:bottom w:val="single" w:color="auto" w:sz="4" w:space="0"/>
              <w:right w:val="single" w:color="auto" w:sz="4" w:space="0"/>
            </w:tcBorders>
            <w:shd w:val="clear" w:color="auto" w:fill="auto"/>
            <w:vAlign w:val="center"/>
          </w:tcPr>
          <w:p w14:paraId="59C4C6EC">
            <w:pPr>
              <w:pStyle w:val="57"/>
              <w:jc w:val="center"/>
              <w:rPr>
                <w:rFonts w:ascii="Times New Roman" w:cs="Times New Roman"/>
                <w:b/>
                <w:bCs/>
              </w:rPr>
            </w:pPr>
            <w:r>
              <w:rPr>
                <w:rFonts w:ascii="Times New Roman" w:cs="Times New Roman"/>
                <w:b/>
                <w:bCs/>
              </w:rPr>
              <w:t>海陵</w:t>
            </w:r>
          </w:p>
        </w:tc>
      </w:tr>
      <w:tr w14:paraId="67E85165">
        <w:tblPrEx>
          <w:tblCellMar>
            <w:top w:w="0" w:type="dxa"/>
            <w:left w:w="108" w:type="dxa"/>
            <w:bottom w:w="0" w:type="dxa"/>
            <w:right w:w="108" w:type="dxa"/>
          </w:tblCellMar>
        </w:tblPrEx>
        <w:trPr>
          <w:trHeight w:val="20" w:hRule="atLeast"/>
        </w:trPr>
        <w:tc>
          <w:tcPr>
            <w:tcW w:w="533" w:type="pct"/>
            <w:tcBorders>
              <w:top w:val="nil"/>
              <w:left w:val="single" w:color="auto" w:sz="4" w:space="0"/>
              <w:bottom w:val="single" w:color="auto" w:sz="4" w:space="0"/>
              <w:right w:val="single" w:color="auto" w:sz="4" w:space="0"/>
            </w:tcBorders>
            <w:shd w:val="clear" w:color="auto" w:fill="auto"/>
            <w:vAlign w:val="center"/>
          </w:tcPr>
          <w:p w14:paraId="42964015">
            <w:pPr>
              <w:pStyle w:val="57"/>
              <w:jc w:val="center"/>
              <w:rPr>
                <w:rFonts w:ascii="Times New Roman" w:cs="Times New Roman"/>
              </w:rPr>
            </w:pPr>
            <w:r>
              <w:rPr>
                <w:rFonts w:ascii="Times New Roman" w:cs="Times New Roman"/>
              </w:rPr>
              <w:t>20</w:t>
            </w:r>
          </w:p>
        </w:tc>
        <w:tc>
          <w:tcPr>
            <w:tcW w:w="853" w:type="pct"/>
            <w:tcBorders>
              <w:top w:val="nil"/>
              <w:left w:val="nil"/>
              <w:bottom w:val="single" w:color="auto" w:sz="4" w:space="0"/>
              <w:right w:val="single" w:color="auto" w:sz="4" w:space="0"/>
            </w:tcBorders>
            <w:shd w:val="clear" w:color="auto" w:fill="auto"/>
            <w:vAlign w:val="center"/>
          </w:tcPr>
          <w:p w14:paraId="23B5D950">
            <w:pPr>
              <w:pStyle w:val="57"/>
              <w:jc w:val="center"/>
              <w:rPr>
                <w:rFonts w:ascii="Times New Roman" w:cs="Times New Roman"/>
              </w:rPr>
            </w:pPr>
            <w:r>
              <w:rPr>
                <w:rFonts w:ascii="Times New Roman" w:cs="Times New Roman"/>
              </w:rPr>
              <w:t>九里沟涵闸</w:t>
            </w:r>
          </w:p>
        </w:tc>
        <w:tc>
          <w:tcPr>
            <w:tcW w:w="1639" w:type="pct"/>
            <w:tcBorders>
              <w:top w:val="nil"/>
              <w:left w:val="nil"/>
              <w:bottom w:val="single" w:color="auto" w:sz="4" w:space="0"/>
              <w:right w:val="single" w:color="auto" w:sz="4" w:space="0"/>
            </w:tcBorders>
            <w:shd w:val="clear" w:color="auto" w:fill="auto"/>
            <w:vAlign w:val="center"/>
          </w:tcPr>
          <w:p w14:paraId="221191F9">
            <w:pPr>
              <w:pStyle w:val="57"/>
              <w:jc w:val="center"/>
              <w:rPr>
                <w:rFonts w:ascii="Times New Roman" w:cs="Times New Roman"/>
              </w:rPr>
            </w:pPr>
            <w:r>
              <w:rPr>
                <w:rFonts w:ascii="Times New Roman" w:cs="Times New Roman"/>
              </w:rPr>
              <w:t>城西街道</w:t>
            </w:r>
          </w:p>
        </w:tc>
        <w:tc>
          <w:tcPr>
            <w:tcW w:w="936" w:type="pct"/>
            <w:tcBorders>
              <w:top w:val="nil"/>
              <w:left w:val="nil"/>
              <w:bottom w:val="single" w:color="auto" w:sz="4" w:space="0"/>
              <w:right w:val="single" w:color="auto" w:sz="4" w:space="0"/>
            </w:tcBorders>
            <w:shd w:val="clear" w:color="auto" w:fill="auto"/>
            <w:vAlign w:val="center"/>
          </w:tcPr>
          <w:p w14:paraId="00E4F65B">
            <w:pPr>
              <w:pStyle w:val="57"/>
              <w:jc w:val="center"/>
              <w:rPr>
                <w:rFonts w:ascii="Times New Roman" w:cs="Times New Roman"/>
              </w:rPr>
            </w:pPr>
            <w:r>
              <w:rPr>
                <w:rFonts w:ascii="Times New Roman" w:cs="Times New Roman"/>
              </w:rPr>
              <w:t>节制引排水</w:t>
            </w:r>
          </w:p>
        </w:tc>
        <w:tc>
          <w:tcPr>
            <w:tcW w:w="1039" w:type="pct"/>
            <w:tcBorders>
              <w:top w:val="nil"/>
              <w:left w:val="nil"/>
              <w:bottom w:val="single" w:color="auto" w:sz="4" w:space="0"/>
              <w:right w:val="single" w:color="auto" w:sz="4" w:space="0"/>
            </w:tcBorders>
            <w:shd w:val="clear" w:color="auto" w:fill="auto"/>
            <w:vAlign w:val="center"/>
          </w:tcPr>
          <w:p w14:paraId="33EB3AA8">
            <w:pPr>
              <w:pStyle w:val="57"/>
              <w:jc w:val="center"/>
              <w:rPr>
                <w:rFonts w:ascii="Times New Roman" w:cs="Times New Roman"/>
              </w:rPr>
            </w:pPr>
            <w:r>
              <w:rPr>
                <w:rFonts w:ascii="Times New Roman" w:cs="Times New Roman"/>
              </w:rPr>
              <w:t>6</w:t>
            </w:r>
          </w:p>
        </w:tc>
      </w:tr>
      <w:tr w14:paraId="2673B990">
        <w:tblPrEx>
          <w:tblCellMar>
            <w:top w:w="0" w:type="dxa"/>
            <w:left w:w="108" w:type="dxa"/>
            <w:bottom w:w="0" w:type="dxa"/>
            <w:right w:w="108" w:type="dxa"/>
          </w:tblCellMar>
        </w:tblPrEx>
        <w:trPr>
          <w:trHeight w:val="20" w:hRule="atLeast"/>
        </w:trPr>
        <w:tc>
          <w:tcPr>
            <w:tcW w:w="533" w:type="pct"/>
            <w:tcBorders>
              <w:top w:val="nil"/>
              <w:left w:val="single" w:color="auto" w:sz="4" w:space="0"/>
              <w:bottom w:val="single" w:color="auto" w:sz="4" w:space="0"/>
              <w:right w:val="single" w:color="auto" w:sz="4" w:space="0"/>
            </w:tcBorders>
            <w:shd w:val="clear" w:color="auto" w:fill="auto"/>
            <w:vAlign w:val="center"/>
          </w:tcPr>
          <w:p w14:paraId="28E90DE3">
            <w:pPr>
              <w:pStyle w:val="57"/>
              <w:jc w:val="center"/>
              <w:rPr>
                <w:rFonts w:ascii="Times New Roman" w:cs="Times New Roman"/>
              </w:rPr>
            </w:pPr>
            <w:r>
              <w:rPr>
                <w:rFonts w:ascii="Times New Roman" w:cs="Times New Roman"/>
              </w:rPr>
              <w:t>21</w:t>
            </w:r>
          </w:p>
        </w:tc>
        <w:tc>
          <w:tcPr>
            <w:tcW w:w="853" w:type="pct"/>
            <w:tcBorders>
              <w:top w:val="nil"/>
              <w:left w:val="nil"/>
              <w:bottom w:val="single" w:color="auto" w:sz="4" w:space="0"/>
              <w:right w:val="single" w:color="auto" w:sz="4" w:space="0"/>
            </w:tcBorders>
            <w:shd w:val="clear" w:color="auto" w:fill="auto"/>
            <w:vAlign w:val="center"/>
          </w:tcPr>
          <w:p w14:paraId="4B67D15D">
            <w:pPr>
              <w:pStyle w:val="57"/>
              <w:jc w:val="center"/>
              <w:rPr>
                <w:rFonts w:ascii="Times New Roman" w:cs="Times New Roman"/>
              </w:rPr>
            </w:pPr>
            <w:r>
              <w:rPr>
                <w:rFonts w:ascii="Times New Roman" w:cs="Times New Roman"/>
              </w:rPr>
              <w:t>九里河闸</w:t>
            </w:r>
          </w:p>
        </w:tc>
        <w:tc>
          <w:tcPr>
            <w:tcW w:w="1639" w:type="pct"/>
            <w:tcBorders>
              <w:top w:val="nil"/>
              <w:left w:val="nil"/>
              <w:bottom w:val="single" w:color="auto" w:sz="4" w:space="0"/>
              <w:right w:val="single" w:color="auto" w:sz="4" w:space="0"/>
            </w:tcBorders>
            <w:shd w:val="clear" w:color="auto" w:fill="auto"/>
            <w:vAlign w:val="center"/>
          </w:tcPr>
          <w:p w14:paraId="4BD87324">
            <w:pPr>
              <w:pStyle w:val="57"/>
              <w:jc w:val="center"/>
              <w:rPr>
                <w:rFonts w:ascii="Times New Roman" w:cs="Times New Roman"/>
              </w:rPr>
            </w:pPr>
            <w:r>
              <w:rPr>
                <w:rFonts w:ascii="Times New Roman" w:cs="Times New Roman"/>
              </w:rPr>
              <w:t>泰东双墩村</w:t>
            </w:r>
          </w:p>
        </w:tc>
        <w:tc>
          <w:tcPr>
            <w:tcW w:w="936" w:type="pct"/>
            <w:tcBorders>
              <w:top w:val="nil"/>
              <w:left w:val="nil"/>
              <w:bottom w:val="single" w:color="auto" w:sz="4" w:space="0"/>
              <w:right w:val="single" w:color="auto" w:sz="4" w:space="0"/>
            </w:tcBorders>
            <w:shd w:val="clear" w:color="auto" w:fill="auto"/>
            <w:vAlign w:val="center"/>
          </w:tcPr>
          <w:p w14:paraId="46595A4F">
            <w:pPr>
              <w:pStyle w:val="57"/>
              <w:jc w:val="center"/>
              <w:rPr>
                <w:rFonts w:ascii="Times New Roman" w:cs="Times New Roman"/>
              </w:rPr>
            </w:pPr>
            <w:r>
              <w:rPr>
                <w:rFonts w:ascii="Times New Roman" w:cs="Times New Roman"/>
              </w:rPr>
              <w:t>节制引排水</w:t>
            </w:r>
          </w:p>
        </w:tc>
        <w:tc>
          <w:tcPr>
            <w:tcW w:w="1039" w:type="pct"/>
            <w:tcBorders>
              <w:top w:val="nil"/>
              <w:left w:val="nil"/>
              <w:bottom w:val="single" w:color="auto" w:sz="4" w:space="0"/>
              <w:right w:val="single" w:color="auto" w:sz="4" w:space="0"/>
            </w:tcBorders>
            <w:shd w:val="clear" w:color="auto" w:fill="auto"/>
            <w:vAlign w:val="center"/>
          </w:tcPr>
          <w:p w14:paraId="4FCCB2E2">
            <w:pPr>
              <w:pStyle w:val="57"/>
              <w:jc w:val="center"/>
              <w:rPr>
                <w:rFonts w:ascii="Times New Roman" w:cs="Times New Roman"/>
              </w:rPr>
            </w:pPr>
            <w:r>
              <w:rPr>
                <w:rFonts w:ascii="Times New Roman" w:cs="Times New Roman"/>
              </w:rPr>
              <w:t>20</w:t>
            </w:r>
          </w:p>
        </w:tc>
      </w:tr>
      <w:tr w14:paraId="1B479FE2">
        <w:tblPrEx>
          <w:tblCellMar>
            <w:top w:w="0" w:type="dxa"/>
            <w:left w:w="108" w:type="dxa"/>
            <w:bottom w:w="0" w:type="dxa"/>
            <w:right w:w="108" w:type="dxa"/>
          </w:tblCellMar>
        </w:tblPrEx>
        <w:trPr>
          <w:trHeight w:val="20" w:hRule="atLeast"/>
        </w:trPr>
        <w:tc>
          <w:tcPr>
            <w:tcW w:w="533" w:type="pct"/>
            <w:tcBorders>
              <w:top w:val="nil"/>
              <w:left w:val="single" w:color="auto" w:sz="4" w:space="0"/>
              <w:bottom w:val="single" w:color="auto" w:sz="4" w:space="0"/>
              <w:right w:val="single" w:color="auto" w:sz="4" w:space="0"/>
            </w:tcBorders>
            <w:shd w:val="clear" w:color="auto" w:fill="auto"/>
            <w:vAlign w:val="center"/>
          </w:tcPr>
          <w:p w14:paraId="3EF2E401">
            <w:pPr>
              <w:pStyle w:val="57"/>
              <w:jc w:val="center"/>
              <w:rPr>
                <w:rFonts w:ascii="Times New Roman" w:cs="Times New Roman"/>
              </w:rPr>
            </w:pPr>
            <w:r>
              <w:rPr>
                <w:rFonts w:ascii="Times New Roman" w:cs="Times New Roman"/>
              </w:rPr>
              <w:t>22</w:t>
            </w:r>
          </w:p>
        </w:tc>
        <w:tc>
          <w:tcPr>
            <w:tcW w:w="853" w:type="pct"/>
            <w:tcBorders>
              <w:top w:val="nil"/>
              <w:left w:val="nil"/>
              <w:bottom w:val="single" w:color="auto" w:sz="4" w:space="0"/>
              <w:right w:val="single" w:color="auto" w:sz="4" w:space="0"/>
            </w:tcBorders>
            <w:shd w:val="clear" w:color="auto" w:fill="auto"/>
            <w:vAlign w:val="center"/>
          </w:tcPr>
          <w:p w14:paraId="2ED7A5C3">
            <w:pPr>
              <w:pStyle w:val="57"/>
              <w:jc w:val="center"/>
              <w:rPr>
                <w:rFonts w:ascii="Times New Roman" w:cs="Times New Roman"/>
              </w:rPr>
            </w:pPr>
            <w:r>
              <w:rPr>
                <w:rFonts w:ascii="Times New Roman" w:cs="Times New Roman"/>
              </w:rPr>
              <w:t>景庄河西闸</w:t>
            </w:r>
          </w:p>
        </w:tc>
        <w:tc>
          <w:tcPr>
            <w:tcW w:w="1639" w:type="pct"/>
            <w:tcBorders>
              <w:top w:val="nil"/>
              <w:left w:val="nil"/>
              <w:bottom w:val="single" w:color="auto" w:sz="4" w:space="0"/>
              <w:right w:val="single" w:color="auto" w:sz="4" w:space="0"/>
            </w:tcBorders>
            <w:shd w:val="clear" w:color="auto" w:fill="auto"/>
            <w:vAlign w:val="center"/>
          </w:tcPr>
          <w:p w14:paraId="675E56C6">
            <w:pPr>
              <w:pStyle w:val="57"/>
              <w:jc w:val="center"/>
              <w:rPr>
                <w:rFonts w:ascii="Times New Roman" w:cs="Times New Roman"/>
              </w:rPr>
            </w:pPr>
            <w:r>
              <w:rPr>
                <w:rFonts w:ascii="Times New Roman" w:cs="Times New Roman"/>
              </w:rPr>
              <w:t>景庄河与九里沟交汇处</w:t>
            </w:r>
          </w:p>
        </w:tc>
        <w:tc>
          <w:tcPr>
            <w:tcW w:w="936" w:type="pct"/>
            <w:tcBorders>
              <w:top w:val="nil"/>
              <w:left w:val="nil"/>
              <w:bottom w:val="single" w:color="auto" w:sz="4" w:space="0"/>
              <w:right w:val="single" w:color="auto" w:sz="4" w:space="0"/>
            </w:tcBorders>
            <w:shd w:val="clear" w:color="auto" w:fill="auto"/>
            <w:vAlign w:val="center"/>
          </w:tcPr>
          <w:p w14:paraId="2E96485E">
            <w:pPr>
              <w:pStyle w:val="57"/>
              <w:jc w:val="center"/>
              <w:rPr>
                <w:rFonts w:ascii="Times New Roman" w:cs="Times New Roman"/>
              </w:rPr>
            </w:pPr>
            <w:r>
              <w:rPr>
                <w:rFonts w:ascii="Times New Roman" w:cs="Times New Roman"/>
              </w:rPr>
              <w:t>防洪、改善水质</w:t>
            </w:r>
          </w:p>
        </w:tc>
        <w:tc>
          <w:tcPr>
            <w:tcW w:w="1039" w:type="pct"/>
            <w:tcBorders>
              <w:top w:val="nil"/>
              <w:left w:val="nil"/>
              <w:bottom w:val="single" w:color="auto" w:sz="4" w:space="0"/>
              <w:right w:val="single" w:color="auto" w:sz="4" w:space="0"/>
            </w:tcBorders>
            <w:shd w:val="clear" w:color="auto" w:fill="auto"/>
            <w:vAlign w:val="center"/>
          </w:tcPr>
          <w:p w14:paraId="239AE51D">
            <w:pPr>
              <w:pStyle w:val="57"/>
              <w:jc w:val="center"/>
              <w:rPr>
                <w:rFonts w:ascii="Times New Roman" w:cs="Times New Roman"/>
              </w:rPr>
            </w:pPr>
            <w:r>
              <w:rPr>
                <w:rFonts w:ascii="Times New Roman" w:cs="Times New Roman"/>
              </w:rPr>
              <w:t>3</w:t>
            </w:r>
          </w:p>
        </w:tc>
      </w:tr>
      <w:tr w14:paraId="2A68CFF2">
        <w:tblPrEx>
          <w:tblCellMar>
            <w:top w:w="0" w:type="dxa"/>
            <w:left w:w="108" w:type="dxa"/>
            <w:bottom w:w="0" w:type="dxa"/>
            <w:right w:w="108" w:type="dxa"/>
          </w:tblCellMar>
        </w:tblPrEx>
        <w:trPr>
          <w:trHeight w:val="20" w:hRule="atLeast"/>
        </w:trPr>
        <w:tc>
          <w:tcPr>
            <w:tcW w:w="533" w:type="pct"/>
            <w:tcBorders>
              <w:top w:val="nil"/>
              <w:left w:val="single" w:color="auto" w:sz="4" w:space="0"/>
              <w:bottom w:val="single" w:color="auto" w:sz="4" w:space="0"/>
              <w:right w:val="single" w:color="auto" w:sz="4" w:space="0"/>
            </w:tcBorders>
            <w:shd w:val="clear" w:color="auto" w:fill="auto"/>
            <w:vAlign w:val="center"/>
          </w:tcPr>
          <w:p w14:paraId="01523687">
            <w:pPr>
              <w:pStyle w:val="57"/>
              <w:jc w:val="center"/>
              <w:rPr>
                <w:rFonts w:ascii="Times New Roman" w:cs="Times New Roman"/>
              </w:rPr>
            </w:pPr>
            <w:r>
              <w:rPr>
                <w:rFonts w:ascii="Times New Roman" w:cs="Times New Roman"/>
              </w:rPr>
              <w:t>23</w:t>
            </w:r>
          </w:p>
        </w:tc>
        <w:tc>
          <w:tcPr>
            <w:tcW w:w="853" w:type="pct"/>
            <w:tcBorders>
              <w:top w:val="nil"/>
              <w:left w:val="nil"/>
              <w:bottom w:val="single" w:color="auto" w:sz="4" w:space="0"/>
              <w:right w:val="single" w:color="auto" w:sz="4" w:space="0"/>
            </w:tcBorders>
            <w:shd w:val="clear" w:color="auto" w:fill="auto"/>
            <w:vAlign w:val="center"/>
          </w:tcPr>
          <w:p w14:paraId="4C5C8432">
            <w:pPr>
              <w:pStyle w:val="57"/>
              <w:jc w:val="center"/>
              <w:rPr>
                <w:rFonts w:ascii="Times New Roman" w:cs="Times New Roman"/>
              </w:rPr>
            </w:pPr>
            <w:r>
              <w:rPr>
                <w:rFonts w:ascii="Times New Roman" w:cs="Times New Roman"/>
              </w:rPr>
              <w:t>新宫涵闸</w:t>
            </w:r>
          </w:p>
        </w:tc>
        <w:tc>
          <w:tcPr>
            <w:tcW w:w="1639" w:type="pct"/>
            <w:tcBorders>
              <w:top w:val="nil"/>
              <w:left w:val="nil"/>
              <w:bottom w:val="single" w:color="auto" w:sz="4" w:space="0"/>
              <w:right w:val="single" w:color="auto" w:sz="4" w:space="0"/>
            </w:tcBorders>
            <w:shd w:val="clear" w:color="auto" w:fill="auto"/>
            <w:vAlign w:val="center"/>
          </w:tcPr>
          <w:p w14:paraId="55D9FFA9">
            <w:pPr>
              <w:pStyle w:val="57"/>
              <w:jc w:val="center"/>
              <w:rPr>
                <w:rFonts w:ascii="Times New Roman" w:cs="Times New Roman"/>
              </w:rPr>
            </w:pPr>
            <w:r>
              <w:rPr>
                <w:rFonts w:ascii="Times New Roman" w:cs="Times New Roman"/>
              </w:rPr>
              <w:t>斜桥花园内</w:t>
            </w:r>
          </w:p>
        </w:tc>
        <w:tc>
          <w:tcPr>
            <w:tcW w:w="936" w:type="pct"/>
            <w:tcBorders>
              <w:top w:val="nil"/>
              <w:left w:val="nil"/>
              <w:bottom w:val="single" w:color="auto" w:sz="4" w:space="0"/>
              <w:right w:val="single" w:color="auto" w:sz="4" w:space="0"/>
            </w:tcBorders>
            <w:shd w:val="clear" w:color="auto" w:fill="auto"/>
            <w:vAlign w:val="center"/>
          </w:tcPr>
          <w:p w14:paraId="3143C71B">
            <w:pPr>
              <w:pStyle w:val="57"/>
              <w:jc w:val="center"/>
              <w:rPr>
                <w:rFonts w:ascii="Times New Roman" w:cs="Times New Roman"/>
              </w:rPr>
            </w:pPr>
            <w:r>
              <w:rPr>
                <w:rFonts w:ascii="Times New Roman" w:cs="Times New Roman"/>
              </w:rPr>
              <w:t>区域防洪及水质改善调度</w:t>
            </w:r>
          </w:p>
        </w:tc>
        <w:tc>
          <w:tcPr>
            <w:tcW w:w="1039" w:type="pct"/>
            <w:tcBorders>
              <w:top w:val="nil"/>
              <w:left w:val="nil"/>
              <w:bottom w:val="single" w:color="auto" w:sz="4" w:space="0"/>
              <w:right w:val="single" w:color="auto" w:sz="4" w:space="0"/>
            </w:tcBorders>
            <w:shd w:val="clear" w:color="auto" w:fill="auto"/>
            <w:vAlign w:val="center"/>
          </w:tcPr>
          <w:p w14:paraId="063DA5F3">
            <w:pPr>
              <w:pStyle w:val="57"/>
              <w:jc w:val="center"/>
              <w:rPr>
                <w:rFonts w:ascii="Times New Roman" w:cs="Times New Roman"/>
              </w:rPr>
            </w:pPr>
            <w:r>
              <w:rPr>
                <w:rFonts w:ascii="Times New Roman" w:cs="Times New Roman"/>
              </w:rPr>
              <w:t>16</w:t>
            </w:r>
          </w:p>
        </w:tc>
      </w:tr>
      <w:tr w14:paraId="7195C22E">
        <w:tblPrEx>
          <w:tblCellMar>
            <w:top w:w="0" w:type="dxa"/>
            <w:left w:w="108" w:type="dxa"/>
            <w:bottom w:w="0" w:type="dxa"/>
            <w:right w:w="108" w:type="dxa"/>
          </w:tblCellMar>
        </w:tblPrEx>
        <w:trPr>
          <w:trHeight w:val="20" w:hRule="atLeast"/>
        </w:trPr>
        <w:tc>
          <w:tcPr>
            <w:tcW w:w="533" w:type="pct"/>
            <w:tcBorders>
              <w:top w:val="nil"/>
              <w:left w:val="single" w:color="auto" w:sz="4" w:space="0"/>
              <w:bottom w:val="single" w:color="auto" w:sz="4" w:space="0"/>
              <w:right w:val="single" w:color="auto" w:sz="4" w:space="0"/>
            </w:tcBorders>
            <w:shd w:val="clear" w:color="auto" w:fill="auto"/>
            <w:vAlign w:val="center"/>
          </w:tcPr>
          <w:p w14:paraId="5CFB8C11">
            <w:pPr>
              <w:pStyle w:val="57"/>
              <w:jc w:val="center"/>
              <w:rPr>
                <w:rFonts w:ascii="Times New Roman" w:cs="Times New Roman"/>
              </w:rPr>
            </w:pPr>
            <w:r>
              <w:rPr>
                <w:rFonts w:ascii="Times New Roman" w:cs="Times New Roman"/>
              </w:rPr>
              <w:t>24</w:t>
            </w:r>
          </w:p>
        </w:tc>
        <w:tc>
          <w:tcPr>
            <w:tcW w:w="853" w:type="pct"/>
            <w:tcBorders>
              <w:top w:val="nil"/>
              <w:left w:val="nil"/>
              <w:bottom w:val="single" w:color="auto" w:sz="4" w:space="0"/>
              <w:right w:val="single" w:color="auto" w:sz="4" w:space="0"/>
            </w:tcBorders>
            <w:shd w:val="clear" w:color="auto" w:fill="auto"/>
            <w:vAlign w:val="center"/>
          </w:tcPr>
          <w:p w14:paraId="204DACA9">
            <w:pPr>
              <w:pStyle w:val="57"/>
              <w:jc w:val="center"/>
              <w:rPr>
                <w:rFonts w:ascii="Times New Roman" w:cs="Times New Roman"/>
              </w:rPr>
            </w:pPr>
            <w:r>
              <w:rPr>
                <w:rFonts w:ascii="Times New Roman" w:cs="Times New Roman"/>
              </w:rPr>
              <w:t>五里河闸</w:t>
            </w:r>
          </w:p>
        </w:tc>
        <w:tc>
          <w:tcPr>
            <w:tcW w:w="1639" w:type="pct"/>
            <w:tcBorders>
              <w:top w:val="nil"/>
              <w:left w:val="nil"/>
              <w:bottom w:val="single" w:color="auto" w:sz="4" w:space="0"/>
              <w:right w:val="single" w:color="auto" w:sz="4" w:space="0"/>
            </w:tcBorders>
            <w:shd w:val="clear" w:color="auto" w:fill="auto"/>
            <w:vAlign w:val="center"/>
          </w:tcPr>
          <w:p w14:paraId="6357F804">
            <w:pPr>
              <w:pStyle w:val="57"/>
              <w:jc w:val="center"/>
              <w:rPr>
                <w:rFonts w:ascii="Times New Roman" w:cs="Times New Roman"/>
              </w:rPr>
            </w:pPr>
            <w:r>
              <w:rPr>
                <w:rFonts w:ascii="Times New Roman" w:cs="Times New Roman"/>
              </w:rPr>
              <w:t>春兰研究院西侧</w:t>
            </w:r>
          </w:p>
        </w:tc>
        <w:tc>
          <w:tcPr>
            <w:tcW w:w="936" w:type="pct"/>
            <w:tcBorders>
              <w:top w:val="nil"/>
              <w:left w:val="nil"/>
              <w:bottom w:val="single" w:color="auto" w:sz="4" w:space="0"/>
              <w:right w:val="single" w:color="auto" w:sz="4" w:space="0"/>
            </w:tcBorders>
            <w:shd w:val="clear" w:color="auto" w:fill="auto"/>
            <w:vAlign w:val="center"/>
          </w:tcPr>
          <w:p w14:paraId="7448F905">
            <w:pPr>
              <w:pStyle w:val="57"/>
              <w:jc w:val="center"/>
              <w:rPr>
                <w:rFonts w:ascii="Times New Roman" w:cs="Times New Roman"/>
              </w:rPr>
            </w:pPr>
            <w:r>
              <w:rPr>
                <w:rFonts w:ascii="Times New Roman" w:cs="Times New Roman"/>
              </w:rPr>
              <w:t>节制引排水</w:t>
            </w:r>
          </w:p>
        </w:tc>
        <w:tc>
          <w:tcPr>
            <w:tcW w:w="1039" w:type="pct"/>
            <w:tcBorders>
              <w:top w:val="nil"/>
              <w:left w:val="nil"/>
              <w:bottom w:val="single" w:color="auto" w:sz="4" w:space="0"/>
              <w:right w:val="single" w:color="auto" w:sz="4" w:space="0"/>
            </w:tcBorders>
            <w:shd w:val="clear" w:color="auto" w:fill="auto"/>
            <w:vAlign w:val="center"/>
          </w:tcPr>
          <w:p w14:paraId="1DDB15D2">
            <w:pPr>
              <w:pStyle w:val="57"/>
              <w:jc w:val="center"/>
              <w:rPr>
                <w:rFonts w:ascii="Times New Roman" w:cs="Times New Roman"/>
              </w:rPr>
            </w:pPr>
            <w:r>
              <w:rPr>
                <w:rFonts w:ascii="Times New Roman" w:cs="Times New Roman"/>
              </w:rPr>
              <w:t>3</w:t>
            </w:r>
          </w:p>
        </w:tc>
      </w:tr>
      <w:tr w14:paraId="1526F52A">
        <w:tblPrEx>
          <w:tblCellMar>
            <w:top w:w="0" w:type="dxa"/>
            <w:left w:w="108" w:type="dxa"/>
            <w:bottom w:w="0" w:type="dxa"/>
            <w:right w:w="108" w:type="dxa"/>
          </w:tblCellMar>
        </w:tblPrEx>
        <w:trPr>
          <w:trHeight w:val="20" w:hRule="atLeast"/>
        </w:trPr>
        <w:tc>
          <w:tcPr>
            <w:tcW w:w="533" w:type="pct"/>
            <w:tcBorders>
              <w:top w:val="nil"/>
              <w:left w:val="single" w:color="auto" w:sz="4" w:space="0"/>
              <w:bottom w:val="single" w:color="auto" w:sz="4" w:space="0"/>
              <w:right w:val="single" w:color="auto" w:sz="4" w:space="0"/>
            </w:tcBorders>
            <w:shd w:val="clear" w:color="auto" w:fill="auto"/>
            <w:vAlign w:val="center"/>
          </w:tcPr>
          <w:p w14:paraId="0025DAEC">
            <w:pPr>
              <w:pStyle w:val="57"/>
              <w:jc w:val="center"/>
              <w:rPr>
                <w:rFonts w:ascii="Times New Roman" w:cs="Times New Roman"/>
              </w:rPr>
            </w:pPr>
            <w:r>
              <w:rPr>
                <w:rFonts w:ascii="Times New Roman" w:cs="Times New Roman"/>
              </w:rPr>
              <w:t>25</w:t>
            </w:r>
          </w:p>
        </w:tc>
        <w:tc>
          <w:tcPr>
            <w:tcW w:w="853" w:type="pct"/>
            <w:tcBorders>
              <w:top w:val="nil"/>
              <w:left w:val="nil"/>
              <w:bottom w:val="single" w:color="auto" w:sz="4" w:space="0"/>
              <w:right w:val="single" w:color="auto" w:sz="4" w:space="0"/>
            </w:tcBorders>
            <w:shd w:val="clear" w:color="auto" w:fill="auto"/>
            <w:vAlign w:val="center"/>
          </w:tcPr>
          <w:p w14:paraId="6AA6ACCF">
            <w:pPr>
              <w:pStyle w:val="57"/>
              <w:jc w:val="center"/>
              <w:rPr>
                <w:rFonts w:ascii="Times New Roman" w:cs="Times New Roman"/>
              </w:rPr>
            </w:pPr>
            <w:r>
              <w:rPr>
                <w:rFonts w:ascii="Times New Roman" w:cs="Times New Roman"/>
              </w:rPr>
              <w:t>七里河闸</w:t>
            </w:r>
          </w:p>
        </w:tc>
        <w:tc>
          <w:tcPr>
            <w:tcW w:w="1639" w:type="pct"/>
            <w:tcBorders>
              <w:top w:val="nil"/>
              <w:left w:val="nil"/>
              <w:bottom w:val="single" w:color="auto" w:sz="4" w:space="0"/>
              <w:right w:val="single" w:color="auto" w:sz="4" w:space="0"/>
            </w:tcBorders>
            <w:shd w:val="clear" w:color="auto" w:fill="auto"/>
            <w:vAlign w:val="center"/>
          </w:tcPr>
          <w:p w14:paraId="50DAED07">
            <w:pPr>
              <w:pStyle w:val="57"/>
              <w:jc w:val="center"/>
              <w:rPr>
                <w:rFonts w:ascii="Times New Roman" w:cs="Times New Roman"/>
              </w:rPr>
            </w:pPr>
            <w:r>
              <w:rPr>
                <w:rFonts w:ascii="Times New Roman" w:cs="Times New Roman"/>
              </w:rPr>
              <w:t>七里河二二八国道北侧</w:t>
            </w:r>
          </w:p>
        </w:tc>
        <w:tc>
          <w:tcPr>
            <w:tcW w:w="936" w:type="pct"/>
            <w:tcBorders>
              <w:top w:val="nil"/>
              <w:left w:val="nil"/>
              <w:bottom w:val="single" w:color="auto" w:sz="4" w:space="0"/>
              <w:right w:val="single" w:color="auto" w:sz="4" w:space="0"/>
            </w:tcBorders>
            <w:shd w:val="clear" w:color="auto" w:fill="auto"/>
            <w:vAlign w:val="center"/>
          </w:tcPr>
          <w:p w14:paraId="39E2673F">
            <w:pPr>
              <w:pStyle w:val="57"/>
              <w:jc w:val="center"/>
              <w:rPr>
                <w:rFonts w:ascii="Times New Roman" w:cs="Times New Roman"/>
              </w:rPr>
            </w:pPr>
            <w:r>
              <w:rPr>
                <w:rFonts w:ascii="Times New Roman" w:cs="Times New Roman"/>
              </w:rPr>
              <w:t>节制引排水</w:t>
            </w:r>
          </w:p>
        </w:tc>
        <w:tc>
          <w:tcPr>
            <w:tcW w:w="1039" w:type="pct"/>
            <w:tcBorders>
              <w:top w:val="nil"/>
              <w:left w:val="nil"/>
              <w:bottom w:val="single" w:color="auto" w:sz="4" w:space="0"/>
              <w:right w:val="single" w:color="auto" w:sz="4" w:space="0"/>
            </w:tcBorders>
            <w:shd w:val="clear" w:color="auto" w:fill="auto"/>
            <w:vAlign w:val="center"/>
          </w:tcPr>
          <w:p w14:paraId="0FB39A2B">
            <w:pPr>
              <w:pStyle w:val="57"/>
              <w:jc w:val="center"/>
              <w:rPr>
                <w:rFonts w:ascii="Times New Roman" w:cs="Times New Roman"/>
              </w:rPr>
            </w:pPr>
            <w:r>
              <w:rPr>
                <w:rFonts w:ascii="Times New Roman" w:cs="Times New Roman"/>
              </w:rPr>
              <w:t>20</w:t>
            </w:r>
          </w:p>
        </w:tc>
      </w:tr>
      <w:tr w14:paraId="4501A2A4">
        <w:tblPrEx>
          <w:tblCellMar>
            <w:top w:w="0" w:type="dxa"/>
            <w:left w:w="108" w:type="dxa"/>
            <w:bottom w:w="0" w:type="dxa"/>
            <w:right w:w="108" w:type="dxa"/>
          </w:tblCellMar>
        </w:tblPrEx>
        <w:trPr>
          <w:trHeight w:val="20" w:hRule="atLeast"/>
        </w:trPr>
        <w:tc>
          <w:tcPr>
            <w:tcW w:w="533" w:type="pct"/>
            <w:tcBorders>
              <w:top w:val="nil"/>
              <w:left w:val="single" w:color="auto" w:sz="4" w:space="0"/>
              <w:bottom w:val="single" w:color="auto" w:sz="4" w:space="0"/>
              <w:right w:val="single" w:color="auto" w:sz="4" w:space="0"/>
            </w:tcBorders>
            <w:shd w:val="clear" w:color="auto" w:fill="auto"/>
            <w:vAlign w:val="center"/>
          </w:tcPr>
          <w:p w14:paraId="5D89971A">
            <w:pPr>
              <w:pStyle w:val="57"/>
              <w:jc w:val="center"/>
              <w:rPr>
                <w:rFonts w:ascii="Times New Roman" w:cs="Times New Roman"/>
              </w:rPr>
            </w:pPr>
            <w:r>
              <w:rPr>
                <w:rFonts w:ascii="Times New Roman" w:cs="Times New Roman"/>
              </w:rPr>
              <w:t>26</w:t>
            </w:r>
          </w:p>
        </w:tc>
        <w:tc>
          <w:tcPr>
            <w:tcW w:w="853" w:type="pct"/>
            <w:tcBorders>
              <w:top w:val="nil"/>
              <w:left w:val="nil"/>
              <w:bottom w:val="single" w:color="auto" w:sz="4" w:space="0"/>
              <w:right w:val="single" w:color="auto" w:sz="4" w:space="0"/>
            </w:tcBorders>
            <w:shd w:val="clear" w:color="auto" w:fill="auto"/>
            <w:vAlign w:val="center"/>
          </w:tcPr>
          <w:p w14:paraId="5473AFFC">
            <w:pPr>
              <w:pStyle w:val="57"/>
              <w:jc w:val="center"/>
              <w:rPr>
                <w:rFonts w:ascii="Times New Roman" w:cs="Times New Roman"/>
              </w:rPr>
            </w:pPr>
            <w:r>
              <w:rPr>
                <w:rFonts w:ascii="Times New Roman" w:cs="Times New Roman"/>
              </w:rPr>
              <w:t>鲍坝闸</w:t>
            </w:r>
          </w:p>
        </w:tc>
        <w:tc>
          <w:tcPr>
            <w:tcW w:w="1639" w:type="pct"/>
            <w:tcBorders>
              <w:top w:val="nil"/>
              <w:left w:val="nil"/>
              <w:bottom w:val="single" w:color="auto" w:sz="4" w:space="0"/>
              <w:right w:val="single" w:color="auto" w:sz="4" w:space="0"/>
            </w:tcBorders>
            <w:shd w:val="clear" w:color="auto" w:fill="auto"/>
            <w:vAlign w:val="center"/>
          </w:tcPr>
          <w:p w14:paraId="788E6C11">
            <w:pPr>
              <w:pStyle w:val="57"/>
              <w:jc w:val="center"/>
              <w:rPr>
                <w:rFonts w:ascii="Times New Roman" w:cs="Times New Roman"/>
              </w:rPr>
            </w:pPr>
            <w:r>
              <w:rPr>
                <w:rFonts w:ascii="Times New Roman" w:cs="Times New Roman"/>
              </w:rPr>
              <w:t>城东鲍坝村</w:t>
            </w:r>
          </w:p>
        </w:tc>
        <w:tc>
          <w:tcPr>
            <w:tcW w:w="936" w:type="pct"/>
            <w:tcBorders>
              <w:top w:val="nil"/>
              <w:left w:val="nil"/>
              <w:bottom w:val="single" w:color="auto" w:sz="4" w:space="0"/>
              <w:right w:val="single" w:color="auto" w:sz="4" w:space="0"/>
            </w:tcBorders>
            <w:shd w:val="clear" w:color="auto" w:fill="auto"/>
            <w:vAlign w:val="center"/>
          </w:tcPr>
          <w:p w14:paraId="553E94F3">
            <w:pPr>
              <w:pStyle w:val="57"/>
              <w:jc w:val="center"/>
              <w:rPr>
                <w:rFonts w:ascii="Times New Roman" w:cs="Times New Roman"/>
              </w:rPr>
            </w:pPr>
            <w:r>
              <w:rPr>
                <w:rFonts w:ascii="Times New Roman" w:cs="Times New Roman"/>
              </w:rPr>
              <w:t>引排、活水</w:t>
            </w:r>
          </w:p>
        </w:tc>
        <w:tc>
          <w:tcPr>
            <w:tcW w:w="1039" w:type="pct"/>
            <w:tcBorders>
              <w:top w:val="nil"/>
              <w:left w:val="nil"/>
              <w:bottom w:val="single" w:color="auto" w:sz="4" w:space="0"/>
              <w:right w:val="single" w:color="auto" w:sz="4" w:space="0"/>
            </w:tcBorders>
            <w:shd w:val="clear" w:color="auto" w:fill="auto"/>
            <w:vAlign w:val="center"/>
          </w:tcPr>
          <w:p w14:paraId="58FE73C8">
            <w:pPr>
              <w:pStyle w:val="57"/>
              <w:jc w:val="center"/>
              <w:rPr>
                <w:rFonts w:ascii="Times New Roman" w:cs="Times New Roman"/>
              </w:rPr>
            </w:pPr>
            <w:r>
              <w:rPr>
                <w:rFonts w:ascii="Times New Roman" w:cs="Times New Roman"/>
              </w:rPr>
              <w:t>8</w:t>
            </w:r>
          </w:p>
        </w:tc>
      </w:tr>
      <w:tr w14:paraId="795B6AF6">
        <w:tblPrEx>
          <w:tblCellMar>
            <w:top w:w="0" w:type="dxa"/>
            <w:left w:w="108" w:type="dxa"/>
            <w:bottom w:w="0" w:type="dxa"/>
            <w:right w:w="108" w:type="dxa"/>
          </w:tblCellMar>
        </w:tblPrEx>
        <w:trPr>
          <w:trHeight w:val="20" w:hRule="atLeast"/>
        </w:trPr>
        <w:tc>
          <w:tcPr>
            <w:tcW w:w="533" w:type="pct"/>
            <w:tcBorders>
              <w:top w:val="nil"/>
              <w:left w:val="single" w:color="auto" w:sz="4" w:space="0"/>
              <w:bottom w:val="single" w:color="auto" w:sz="4" w:space="0"/>
              <w:right w:val="single" w:color="auto" w:sz="4" w:space="0"/>
            </w:tcBorders>
            <w:shd w:val="clear" w:color="auto" w:fill="auto"/>
            <w:vAlign w:val="center"/>
          </w:tcPr>
          <w:p w14:paraId="25B907C9">
            <w:pPr>
              <w:pStyle w:val="57"/>
              <w:jc w:val="center"/>
              <w:rPr>
                <w:rFonts w:ascii="Times New Roman" w:cs="Times New Roman"/>
              </w:rPr>
            </w:pPr>
            <w:r>
              <w:rPr>
                <w:rFonts w:ascii="Times New Roman" w:cs="Times New Roman"/>
              </w:rPr>
              <w:t>27</w:t>
            </w:r>
          </w:p>
        </w:tc>
        <w:tc>
          <w:tcPr>
            <w:tcW w:w="853" w:type="pct"/>
            <w:tcBorders>
              <w:top w:val="nil"/>
              <w:left w:val="nil"/>
              <w:bottom w:val="single" w:color="auto" w:sz="4" w:space="0"/>
              <w:right w:val="single" w:color="auto" w:sz="4" w:space="0"/>
            </w:tcBorders>
            <w:shd w:val="clear" w:color="auto" w:fill="auto"/>
            <w:vAlign w:val="center"/>
          </w:tcPr>
          <w:p w14:paraId="595AA3B8">
            <w:pPr>
              <w:pStyle w:val="57"/>
              <w:jc w:val="center"/>
              <w:rPr>
                <w:rFonts w:ascii="Times New Roman" w:cs="Times New Roman"/>
              </w:rPr>
            </w:pPr>
            <w:r>
              <w:rPr>
                <w:rFonts w:ascii="Times New Roman" w:cs="Times New Roman"/>
              </w:rPr>
              <w:t>玻璃厂涵闸</w:t>
            </w:r>
          </w:p>
        </w:tc>
        <w:tc>
          <w:tcPr>
            <w:tcW w:w="1639" w:type="pct"/>
            <w:tcBorders>
              <w:top w:val="nil"/>
              <w:left w:val="nil"/>
              <w:bottom w:val="single" w:color="auto" w:sz="4" w:space="0"/>
              <w:right w:val="single" w:color="auto" w:sz="4" w:space="0"/>
            </w:tcBorders>
            <w:shd w:val="clear" w:color="auto" w:fill="auto"/>
            <w:vAlign w:val="center"/>
          </w:tcPr>
          <w:p w14:paraId="1BB7F311">
            <w:pPr>
              <w:pStyle w:val="57"/>
              <w:jc w:val="center"/>
              <w:rPr>
                <w:rFonts w:ascii="Times New Roman" w:cs="Times New Roman"/>
              </w:rPr>
            </w:pPr>
            <w:r>
              <w:rPr>
                <w:rFonts w:ascii="Times New Roman" w:cs="Times New Roman"/>
              </w:rPr>
              <w:t>茂业百货南侧，东城河边</w:t>
            </w:r>
          </w:p>
        </w:tc>
        <w:tc>
          <w:tcPr>
            <w:tcW w:w="936" w:type="pct"/>
            <w:tcBorders>
              <w:top w:val="nil"/>
              <w:left w:val="nil"/>
              <w:bottom w:val="single" w:color="auto" w:sz="4" w:space="0"/>
              <w:right w:val="single" w:color="auto" w:sz="4" w:space="0"/>
            </w:tcBorders>
            <w:shd w:val="clear" w:color="auto" w:fill="auto"/>
            <w:vAlign w:val="center"/>
          </w:tcPr>
          <w:p w14:paraId="43C7E2A3">
            <w:pPr>
              <w:pStyle w:val="57"/>
              <w:jc w:val="center"/>
              <w:rPr>
                <w:rFonts w:ascii="Times New Roman" w:cs="Times New Roman"/>
              </w:rPr>
            </w:pPr>
            <w:r>
              <w:rPr>
                <w:rFonts w:ascii="Times New Roman" w:cs="Times New Roman"/>
              </w:rPr>
              <w:t>引排、活水</w:t>
            </w:r>
          </w:p>
        </w:tc>
        <w:tc>
          <w:tcPr>
            <w:tcW w:w="1039" w:type="pct"/>
            <w:tcBorders>
              <w:top w:val="nil"/>
              <w:left w:val="nil"/>
              <w:bottom w:val="single" w:color="auto" w:sz="4" w:space="0"/>
              <w:right w:val="single" w:color="auto" w:sz="4" w:space="0"/>
            </w:tcBorders>
            <w:shd w:val="clear" w:color="auto" w:fill="auto"/>
            <w:vAlign w:val="center"/>
          </w:tcPr>
          <w:p w14:paraId="0055D0B1">
            <w:pPr>
              <w:pStyle w:val="57"/>
              <w:jc w:val="center"/>
              <w:rPr>
                <w:rFonts w:ascii="Times New Roman" w:cs="Times New Roman"/>
              </w:rPr>
            </w:pPr>
            <w:r>
              <w:rPr>
                <w:rFonts w:ascii="Times New Roman" w:cs="Times New Roman"/>
              </w:rPr>
              <w:t>5</w:t>
            </w:r>
          </w:p>
        </w:tc>
      </w:tr>
      <w:tr w14:paraId="3DEC0E04">
        <w:tblPrEx>
          <w:tblCellMar>
            <w:top w:w="0" w:type="dxa"/>
            <w:left w:w="108" w:type="dxa"/>
            <w:bottom w:w="0" w:type="dxa"/>
            <w:right w:w="108" w:type="dxa"/>
          </w:tblCellMar>
        </w:tblPrEx>
        <w:trPr>
          <w:trHeight w:val="20" w:hRule="atLeast"/>
        </w:trPr>
        <w:tc>
          <w:tcPr>
            <w:tcW w:w="533" w:type="pct"/>
            <w:tcBorders>
              <w:top w:val="nil"/>
              <w:left w:val="single" w:color="auto" w:sz="4" w:space="0"/>
              <w:bottom w:val="single" w:color="auto" w:sz="4" w:space="0"/>
              <w:right w:val="single" w:color="auto" w:sz="4" w:space="0"/>
            </w:tcBorders>
            <w:shd w:val="clear" w:color="auto" w:fill="auto"/>
            <w:vAlign w:val="center"/>
          </w:tcPr>
          <w:p w14:paraId="1A3EA542">
            <w:pPr>
              <w:pStyle w:val="57"/>
              <w:jc w:val="center"/>
              <w:rPr>
                <w:rFonts w:ascii="Times New Roman" w:cs="Times New Roman"/>
              </w:rPr>
            </w:pPr>
            <w:r>
              <w:rPr>
                <w:rFonts w:ascii="Times New Roman" w:cs="Times New Roman"/>
              </w:rPr>
              <w:t>28</w:t>
            </w:r>
          </w:p>
        </w:tc>
        <w:tc>
          <w:tcPr>
            <w:tcW w:w="853" w:type="pct"/>
            <w:tcBorders>
              <w:top w:val="nil"/>
              <w:left w:val="nil"/>
              <w:bottom w:val="single" w:color="auto" w:sz="4" w:space="0"/>
              <w:right w:val="single" w:color="auto" w:sz="4" w:space="0"/>
            </w:tcBorders>
            <w:shd w:val="clear" w:color="auto" w:fill="auto"/>
            <w:vAlign w:val="center"/>
          </w:tcPr>
          <w:p w14:paraId="6FBC2E87">
            <w:pPr>
              <w:pStyle w:val="57"/>
              <w:jc w:val="center"/>
              <w:rPr>
                <w:rFonts w:ascii="Times New Roman" w:cs="Times New Roman"/>
              </w:rPr>
            </w:pPr>
            <w:r>
              <w:rPr>
                <w:rFonts w:ascii="Times New Roman" w:cs="Times New Roman"/>
              </w:rPr>
              <w:t>草河涵闸</w:t>
            </w:r>
          </w:p>
        </w:tc>
        <w:tc>
          <w:tcPr>
            <w:tcW w:w="1639" w:type="pct"/>
            <w:tcBorders>
              <w:top w:val="nil"/>
              <w:left w:val="nil"/>
              <w:bottom w:val="single" w:color="auto" w:sz="4" w:space="0"/>
              <w:right w:val="single" w:color="auto" w:sz="4" w:space="0"/>
            </w:tcBorders>
            <w:shd w:val="clear" w:color="auto" w:fill="auto"/>
            <w:vAlign w:val="center"/>
          </w:tcPr>
          <w:p w14:paraId="483BBAA2">
            <w:pPr>
              <w:pStyle w:val="57"/>
              <w:jc w:val="center"/>
              <w:rPr>
                <w:rFonts w:ascii="Times New Roman" w:cs="Times New Roman"/>
              </w:rPr>
            </w:pPr>
            <w:r>
              <w:rPr>
                <w:rFonts w:ascii="Times New Roman" w:cs="Times New Roman"/>
              </w:rPr>
              <w:t>城区东进路</w:t>
            </w:r>
          </w:p>
        </w:tc>
        <w:tc>
          <w:tcPr>
            <w:tcW w:w="936" w:type="pct"/>
            <w:tcBorders>
              <w:top w:val="nil"/>
              <w:left w:val="nil"/>
              <w:bottom w:val="single" w:color="auto" w:sz="4" w:space="0"/>
              <w:right w:val="single" w:color="auto" w:sz="4" w:space="0"/>
            </w:tcBorders>
            <w:shd w:val="clear" w:color="auto" w:fill="auto"/>
            <w:vAlign w:val="center"/>
          </w:tcPr>
          <w:p w14:paraId="2E313330">
            <w:pPr>
              <w:pStyle w:val="57"/>
              <w:jc w:val="center"/>
              <w:rPr>
                <w:rFonts w:ascii="Times New Roman" w:cs="Times New Roman"/>
              </w:rPr>
            </w:pPr>
            <w:r>
              <w:rPr>
                <w:rFonts w:ascii="Times New Roman" w:cs="Times New Roman"/>
              </w:rPr>
              <w:t>引排、活水</w:t>
            </w:r>
          </w:p>
        </w:tc>
        <w:tc>
          <w:tcPr>
            <w:tcW w:w="1039" w:type="pct"/>
            <w:tcBorders>
              <w:top w:val="nil"/>
              <w:left w:val="nil"/>
              <w:bottom w:val="single" w:color="auto" w:sz="4" w:space="0"/>
              <w:right w:val="single" w:color="auto" w:sz="4" w:space="0"/>
            </w:tcBorders>
            <w:shd w:val="clear" w:color="auto" w:fill="auto"/>
            <w:vAlign w:val="center"/>
          </w:tcPr>
          <w:p w14:paraId="4B1C8D03">
            <w:pPr>
              <w:pStyle w:val="57"/>
              <w:jc w:val="center"/>
              <w:rPr>
                <w:rFonts w:ascii="Times New Roman" w:cs="Times New Roman"/>
              </w:rPr>
            </w:pPr>
            <w:r>
              <w:rPr>
                <w:rFonts w:ascii="Times New Roman" w:cs="Times New Roman"/>
              </w:rPr>
              <w:t>5</w:t>
            </w:r>
          </w:p>
        </w:tc>
      </w:tr>
      <w:tr w14:paraId="35DE1E74">
        <w:tblPrEx>
          <w:tblCellMar>
            <w:top w:w="0" w:type="dxa"/>
            <w:left w:w="108" w:type="dxa"/>
            <w:bottom w:w="0" w:type="dxa"/>
            <w:right w:w="108" w:type="dxa"/>
          </w:tblCellMar>
        </w:tblPrEx>
        <w:trPr>
          <w:trHeight w:val="20" w:hRule="atLeast"/>
        </w:trPr>
        <w:tc>
          <w:tcPr>
            <w:tcW w:w="533" w:type="pct"/>
            <w:tcBorders>
              <w:top w:val="nil"/>
              <w:left w:val="single" w:color="auto" w:sz="4" w:space="0"/>
              <w:bottom w:val="single" w:color="auto" w:sz="4" w:space="0"/>
              <w:right w:val="single" w:color="auto" w:sz="4" w:space="0"/>
            </w:tcBorders>
            <w:shd w:val="clear" w:color="auto" w:fill="auto"/>
            <w:vAlign w:val="center"/>
          </w:tcPr>
          <w:p w14:paraId="0D6AC40F">
            <w:pPr>
              <w:pStyle w:val="57"/>
              <w:jc w:val="center"/>
              <w:rPr>
                <w:rFonts w:ascii="Times New Roman" w:cs="Times New Roman"/>
              </w:rPr>
            </w:pPr>
            <w:r>
              <w:rPr>
                <w:rFonts w:ascii="Times New Roman" w:cs="Times New Roman"/>
              </w:rPr>
              <w:t>29</w:t>
            </w:r>
          </w:p>
        </w:tc>
        <w:tc>
          <w:tcPr>
            <w:tcW w:w="853" w:type="pct"/>
            <w:tcBorders>
              <w:top w:val="nil"/>
              <w:left w:val="nil"/>
              <w:bottom w:val="single" w:color="auto" w:sz="4" w:space="0"/>
              <w:right w:val="single" w:color="auto" w:sz="4" w:space="0"/>
            </w:tcBorders>
            <w:shd w:val="clear" w:color="auto" w:fill="auto"/>
            <w:vAlign w:val="center"/>
          </w:tcPr>
          <w:p w14:paraId="5AEF06B4">
            <w:pPr>
              <w:pStyle w:val="57"/>
              <w:jc w:val="center"/>
              <w:rPr>
                <w:rFonts w:ascii="Times New Roman" w:cs="Times New Roman"/>
              </w:rPr>
            </w:pPr>
            <w:r>
              <w:rPr>
                <w:rFonts w:ascii="Times New Roman" w:cs="Times New Roman"/>
              </w:rPr>
              <w:t>大浦头涵闸</w:t>
            </w:r>
          </w:p>
        </w:tc>
        <w:tc>
          <w:tcPr>
            <w:tcW w:w="1639" w:type="pct"/>
            <w:tcBorders>
              <w:top w:val="nil"/>
              <w:left w:val="nil"/>
              <w:bottom w:val="single" w:color="auto" w:sz="4" w:space="0"/>
              <w:right w:val="single" w:color="auto" w:sz="4" w:space="0"/>
            </w:tcBorders>
            <w:shd w:val="clear" w:color="auto" w:fill="auto"/>
            <w:vAlign w:val="center"/>
          </w:tcPr>
          <w:p w14:paraId="0B7BC7F5">
            <w:pPr>
              <w:pStyle w:val="57"/>
              <w:jc w:val="center"/>
              <w:rPr>
                <w:rFonts w:ascii="Times New Roman" w:cs="Times New Roman"/>
              </w:rPr>
            </w:pPr>
            <w:r>
              <w:rPr>
                <w:rFonts w:ascii="Times New Roman" w:cs="Times New Roman"/>
              </w:rPr>
              <w:t>大浦小学东南侧</w:t>
            </w:r>
          </w:p>
        </w:tc>
        <w:tc>
          <w:tcPr>
            <w:tcW w:w="936" w:type="pct"/>
            <w:tcBorders>
              <w:top w:val="nil"/>
              <w:left w:val="nil"/>
              <w:bottom w:val="single" w:color="auto" w:sz="4" w:space="0"/>
              <w:right w:val="single" w:color="auto" w:sz="4" w:space="0"/>
            </w:tcBorders>
            <w:shd w:val="clear" w:color="auto" w:fill="auto"/>
            <w:vAlign w:val="center"/>
          </w:tcPr>
          <w:p w14:paraId="5DB8FD96">
            <w:pPr>
              <w:pStyle w:val="57"/>
              <w:jc w:val="center"/>
              <w:rPr>
                <w:rFonts w:ascii="Times New Roman" w:cs="Times New Roman"/>
              </w:rPr>
            </w:pPr>
            <w:r>
              <w:rPr>
                <w:rFonts w:ascii="Times New Roman" w:cs="Times New Roman"/>
              </w:rPr>
              <w:t>引排、活水</w:t>
            </w:r>
          </w:p>
        </w:tc>
        <w:tc>
          <w:tcPr>
            <w:tcW w:w="1039" w:type="pct"/>
            <w:tcBorders>
              <w:top w:val="nil"/>
              <w:left w:val="nil"/>
              <w:bottom w:val="single" w:color="auto" w:sz="4" w:space="0"/>
              <w:right w:val="single" w:color="auto" w:sz="4" w:space="0"/>
            </w:tcBorders>
            <w:shd w:val="clear" w:color="auto" w:fill="auto"/>
            <w:vAlign w:val="center"/>
          </w:tcPr>
          <w:p w14:paraId="70114A80">
            <w:pPr>
              <w:pStyle w:val="57"/>
              <w:jc w:val="center"/>
              <w:rPr>
                <w:rFonts w:ascii="Times New Roman" w:cs="Times New Roman"/>
              </w:rPr>
            </w:pPr>
            <w:r>
              <w:rPr>
                <w:rFonts w:ascii="Times New Roman" w:cs="Times New Roman"/>
              </w:rPr>
              <w:t>5</w:t>
            </w:r>
          </w:p>
        </w:tc>
      </w:tr>
      <w:tr w14:paraId="4CF8F168">
        <w:tblPrEx>
          <w:tblCellMar>
            <w:top w:w="0" w:type="dxa"/>
            <w:left w:w="108" w:type="dxa"/>
            <w:bottom w:w="0" w:type="dxa"/>
            <w:right w:w="108" w:type="dxa"/>
          </w:tblCellMar>
        </w:tblPrEx>
        <w:trPr>
          <w:trHeight w:val="20" w:hRule="atLeast"/>
        </w:trPr>
        <w:tc>
          <w:tcPr>
            <w:tcW w:w="533" w:type="pct"/>
            <w:tcBorders>
              <w:top w:val="nil"/>
              <w:left w:val="single" w:color="auto" w:sz="4" w:space="0"/>
              <w:bottom w:val="single" w:color="auto" w:sz="4" w:space="0"/>
              <w:right w:val="single" w:color="auto" w:sz="4" w:space="0"/>
            </w:tcBorders>
            <w:shd w:val="clear" w:color="auto" w:fill="auto"/>
            <w:vAlign w:val="center"/>
          </w:tcPr>
          <w:p w14:paraId="566FB4EC">
            <w:pPr>
              <w:pStyle w:val="57"/>
              <w:jc w:val="center"/>
              <w:rPr>
                <w:rFonts w:ascii="Times New Roman" w:cs="Times New Roman"/>
              </w:rPr>
            </w:pPr>
            <w:r>
              <w:rPr>
                <w:rFonts w:ascii="Times New Roman" w:cs="Times New Roman"/>
              </w:rPr>
              <w:t>30</w:t>
            </w:r>
          </w:p>
        </w:tc>
        <w:tc>
          <w:tcPr>
            <w:tcW w:w="853" w:type="pct"/>
            <w:tcBorders>
              <w:top w:val="nil"/>
              <w:left w:val="nil"/>
              <w:bottom w:val="single" w:color="auto" w:sz="4" w:space="0"/>
              <w:right w:val="single" w:color="auto" w:sz="4" w:space="0"/>
            </w:tcBorders>
            <w:shd w:val="clear" w:color="auto" w:fill="auto"/>
            <w:vAlign w:val="center"/>
          </w:tcPr>
          <w:p w14:paraId="6B5BA091">
            <w:pPr>
              <w:pStyle w:val="57"/>
              <w:jc w:val="center"/>
              <w:rPr>
                <w:rFonts w:ascii="Times New Roman" w:cs="Times New Roman"/>
              </w:rPr>
            </w:pPr>
            <w:r>
              <w:rPr>
                <w:rFonts w:ascii="Times New Roman" w:cs="Times New Roman"/>
              </w:rPr>
              <w:t>老西河涵闸</w:t>
            </w:r>
          </w:p>
        </w:tc>
        <w:tc>
          <w:tcPr>
            <w:tcW w:w="1639" w:type="pct"/>
            <w:tcBorders>
              <w:top w:val="nil"/>
              <w:left w:val="nil"/>
              <w:bottom w:val="single" w:color="auto" w:sz="4" w:space="0"/>
              <w:right w:val="single" w:color="auto" w:sz="4" w:space="0"/>
            </w:tcBorders>
            <w:shd w:val="clear" w:color="auto" w:fill="auto"/>
            <w:vAlign w:val="center"/>
          </w:tcPr>
          <w:p w14:paraId="05258110">
            <w:pPr>
              <w:pStyle w:val="57"/>
              <w:jc w:val="center"/>
              <w:rPr>
                <w:rFonts w:ascii="Times New Roman" w:cs="Times New Roman"/>
              </w:rPr>
            </w:pPr>
            <w:r>
              <w:rPr>
                <w:rFonts w:ascii="Times New Roman" w:cs="Times New Roman"/>
              </w:rPr>
              <w:t>盐税广场西侧，银河宾馆南侧</w:t>
            </w:r>
          </w:p>
        </w:tc>
        <w:tc>
          <w:tcPr>
            <w:tcW w:w="936" w:type="pct"/>
            <w:tcBorders>
              <w:top w:val="nil"/>
              <w:left w:val="nil"/>
              <w:bottom w:val="single" w:color="auto" w:sz="4" w:space="0"/>
              <w:right w:val="single" w:color="auto" w:sz="4" w:space="0"/>
            </w:tcBorders>
            <w:shd w:val="clear" w:color="auto" w:fill="auto"/>
            <w:vAlign w:val="center"/>
          </w:tcPr>
          <w:p w14:paraId="2A423075">
            <w:pPr>
              <w:pStyle w:val="57"/>
              <w:jc w:val="center"/>
              <w:rPr>
                <w:rFonts w:ascii="Times New Roman" w:cs="Times New Roman"/>
              </w:rPr>
            </w:pPr>
            <w:r>
              <w:rPr>
                <w:rFonts w:ascii="Times New Roman" w:cs="Times New Roman"/>
              </w:rPr>
              <w:t>引排、活水</w:t>
            </w:r>
          </w:p>
        </w:tc>
        <w:tc>
          <w:tcPr>
            <w:tcW w:w="1039" w:type="pct"/>
            <w:tcBorders>
              <w:top w:val="nil"/>
              <w:left w:val="nil"/>
              <w:bottom w:val="single" w:color="auto" w:sz="4" w:space="0"/>
              <w:right w:val="single" w:color="auto" w:sz="4" w:space="0"/>
            </w:tcBorders>
            <w:shd w:val="clear" w:color="auto" w:fill="auto"/>
            <w:vAlign w:val="center"/>
          </w:tcPr>
          <w:p w14:paraId="1FD17D50">
            <w:pPr>
              <w:pStyle w:val="57"/>
              <w:jc w:val="center"/>
              <w:rPr>
                <w:rFonts w:ascii="Times New Roman" w:cs="Times New Roman"/>
              </w:rPr>
            </w:pPr>
            <w:r>
              <w:rPr>
                <w:rFonts w:ascii="Times New Roman" w:cs="Times New Roman"/>
              </w:rPr>
              <w:t>5</w:t>
            </w:r>
          </w:p>
        </w:tc>
      </w:tr>
      <w:tr w14:paraId="5548EF8A">
        <w:tblPrEx>
          <w:tblCellMar>
            <w:top w:w="0" w:type="dxa"/>
            <w:left w:w="108" w:type="dxa"/>
            <w:bottom w:w="0" w:type="dxa"/>
            <w:right w:w="108" w:type="dxa"/>
          </w:tblCellMar>
        </w:tblPrEx>
        <w:trPr>
          <w:trHeight w:val="20" w:hRule="atLeast"/>
        </w:trPr>
        <w:tc>
          <w:tcPr>
            <w:tcW w:w="533" w:type="pct"/>
            <w:tcBorders>
              <w:top w:val="nil"/>
              <w:left w:val="single" w:color="auto" w:sz="4" w:space="0"/>
              <w:bottom w:val="single" w:color="auto" w:sz="4" w:space="0"/>
              <w:right w:val="single" w:color="auto" w:sz="4" w:space="0"/>
            </w:tcBorders>
            <w:shd w:val="clear" w:color="auto" w:fill="auto"/>
            <w:vAlign w:val="center"/>
          </w:tcPr>
          <w:p w14:paraId="706073CA">
            <w:pPr>
              <w:pStyle w:val="57"/>
              <w:jc w:val="center"/>
              <w:rPr>
                <w:rFonts w:ascii="Times New Roman" w:cs="Times New Roman"/>
              </w:rPr>
            </w:pPr>
            <w:r>
              <w:rPr>
                <w:rFonts w:ascii="Times New Roman" w:cs="Times New Roman"/>
              </w:rPr>
              <w:t>31</w:t>
            </w:r>
          </w:p>
        </w:tc>
        <w:tc>
          <w:tcPr>
            <w:tcW w:w="853" w:type="pct"/>
            <w:tcBorders>
              <w:top w:val="nil"/>
              <w:left w:val="nil"/>
              <w:bottom w:val="single" w:color="auto" w:sz="4" w:space="0"/>
              <w:right w:val="single" w:color="auto" w:sz="4" w:space="0"/>
            </w:tcBorders>
            <w:shd w:val="clear" w:color="auto" w:fill="auto"/>
            <w:vAlign w:val="center"/>
          </w:tcPr>
          <w:p w14:paraId="25FE4980">
            <w:pPr>
              <w:pStyle w:val="57"/>
              <w:jc w:val="center"/>
              <w:rPr>
                <w:rFonts w:ascii="Times New Roman" w:cs="Times New Roman"/>
              </w:rPr>
            </w:pPr>
            <w:r>
              <w:rPr>
                <w:rFonts w:ascii="Times New Roman" w:cs="Times New Roman"/>
              </w:rPr>
              <w:t>智堡河涵闸</w:t>
            </w:r>
          </w:p>
        </w:tc>
        <w:tc>
          <w:tcPr>
            <w:tcW w:w="1639" w:type="pct"/>
            <w:tcBorders>
              <w:top w:val="nil"/>
              <w:left w:val="nil"/>
              <w:bottom w:val="single" w:color="auto" w:sz="4" w:space="0"/>
              <w:right w:val="single" w:color="auto" w:sz="4" w:space="0"/>
            </w:tcBorders>
            <w:shd w:val="clear" w:color="auto" w:fill="auto"/>
            <w:vAlign w:val="center"/>
          </w:tcPr>
          <w:p w14:paraId="52468422">
            <w:pPr>
              <w:pStyle w:val="57"/>
              <w:jc w:val="center"/>
              <w:rPr>
                <w:rFonts w:ascii="Times New Roman" w:cs="Times New Roman"/>
              </w:rPr>
            </w:pPr>
            <w:r>
              <w:rPr>
                <w:rFonts w:ascii="Times New Roman" w:cs="Times New Roman"/>
              </w:rPr>
              <w:t>城河东北角</w:t>
            </w:r>
          </w:p>
        </w:tc>
        <w:tc>
          <w:tcPr>
            <w:tcW w:w="936" w:type="pct"/>
            <w:tcBorders>
              <w:top w:val="nil"/>
              <w:left w:val="nil"/>
              <w:bottom w:val="single" w:color="auto" w:sz="4" w:space="0"/>
              <w:right w:val="single" w:color="auto" w:sz="4" w:space="0"/>
            </w:tcBorders>
            <w:shd w:val="clear" w:color="auto" w:fill="auto"/>
            <w:vAlign w:val="center"/>
          </w:tcPr>
          <w:p w14:paraId="42272A1D">
            <w:pPr>
              <w:pStyle w:val="57"/>
              <w:jc w:val="center"/>
              <w:rPr>
                <w:rFonts w:ascii="Times New Roman" w:cs="Times New Roman"/>
              </w:rPr>
            </w:pPr>
            <w:r>
              <w:rPr>
                <w:rFonts w:ascii="Times New Roman" w:cs="Times New Roman"/>
              </w:rPr>
              <w:t>上、下河节制</w:t>
            </w:r>
          </w:p>
        </w:tc>
        <w:tc>
          <w:tcPr>
            <w:tcW w:w="1039" w:type="pct"/>
            <w:tcBorders>
              <w:top w:val="nil"/>
              <w:left w:val="nil"/>
              <w:bottom w:val="single" w:color="auto" w:sz="4" w:space="0"/>
              <w:right w:val="single" w:color="auto" w:sz="4" w:space="0"/>
            </w:tcBorders>
            <w:shd w:val="clear" w:color="auto" w:fill="auto"/>
            <w:vAlign w:val="center"/>
          </w:tcPr>
          <w:p w14:paraId="788E2BD5">
            <w:pPr>
              <w:pStyle w:val="57"/>
              <w:jc w:val="center"/>
              <w:rPr>
                <w:rFonts w:ascii="Times New Roman" w:cs="Times New Roman"/>
              </w:rPr>
            </w:pPr>
            <w:r>
              <w:rPr>
                <w:rFonts w:ascii="Times New Roman" w:cs="Times New Roman"/>
              </w:rPr>
              <w:t>5</w:t>
            </w:r>
          </w:p>
        </w:tc>
      </w:tr>
      <w:tr w14:paraId="3B5CE3FE">
        <w:tblPrEx>
          <w:tblCellMar>
            <w:top w:w="0" w:type="dxa"/>
            <w:left w:w="108" w:type="dxa"/>
            <w:bottom w:w="0" w:type="dxa"/>
            <w:right w:w="108" w:type="dxa"/>
          </w:tblCellMar>
        </w:tblPrEx>
        <w:trPr>
          <w:trHeight w:val="20" w:hRule="atLeast"/>
        </w:trPr>
        <w:tc>
          <w:tcPr>
            <w:tcW w:w="533" w:type="pct"/>
            <w:tcBorders>
              <w:top w:val="nil"/>
              <w:left w:val="single" w:color="auto" w:sz="4" w:space="0"/>
              <w:bottom w:val="single" w:color="auto" w:sz="4" w:space="0"/>
              <w:right w:val="single" w:color="auto" w:sz="4" w:space="0"/>
            </w:tcBorders>
            <w:shd w:val="clear" w:color="auto" w:fill="auto"/>
            <w:vAlign w:val="center"/>
          </w:tcPr>
          <w:p w14:paraId="2712E561">
            <w:pPr>
              <w:pStyle w:val="57"/>
              <w:jc w:val="center"/>
              <w:rPr>
                <w:rFonts w:ascii="Times New Roman" w:cs="Times New Roman"/>
              </w:rPr>
            </w:pPr>
            <w:r>
              <w:rPr>
                <w:rFonts w:ascii="Times New Roman" w:cs="Times New Roman"/>
              </w:rPr>
              <w:t>32</w:t>
            </w:r>
          </w:p>
        </w:tc>
        <w:tc>
          <w:tcPr>
            <w:tcW w:w="853" w:type="pct"/>
            <w:tcBorders>
              <w:top w:val="nil"/>
              <w:left w:val="nil"/>
              <w:bottom w:val="single" w:color="auto" w:sz="4" w:space="0"/>
              <w:right w:val="single" w:color="auto" w:sz="4" w:space="0"/>
            </w:tcBorders>
            <w:shd w:val="clear" w:color="auto" w:fill="auto"/>
            <w:vAlign w:val="center"/>
          </w:tcPr>
          <w:p w14:paraId="07974489">
            <w:pPr>
              <w:pStyle w:val="57"/>
              <w:jc w:val="center"/>
              <w:rPr>
                <w:rFonts w:ascii="Times New Roman" w:cs="Times New Roman"/>
              </w:rPr>
            </w:pPr>
            <w:r>
              <w:rPr>
                <w:rFonts w:ascii="Times New Roman" w:cs="Times New Roman"/>
              </w:rPr>
              <w:t>泰州闸</w:t>
            </w:r>
          </w:p>
        </w:tc>
        <w:tc>
          <w:tcPr>
            <w:tcW w:w="1639" w:type="pct"/>
            <w:tcBorders>
              <w:top w:val="nil"/>
              <w:left w:val="nil"/>
              <w:bottom w:val="single" w:color="auto" w:sz="4" w:space="0"/>
              <w:right w:val="single" w:color="auto" w:sz="4" w:space="0"/>
            </w:tcBorders>
            <w:shd w:val="clear" w:color="auto" w:fill="auto"/>
            <w:vAlign w:val="center"/>
          </w:tcPr>
          <w:p w14:paraId="441F97A5">
            <w:pPr>
              <w:pStyle w:val="57"/>
              <w:jc w:val="center"/>
              <w:rPr>
                <w:rFonts w:ascii="Times New Roman" w:cs="Times New Roman"/>
              </w:rPr>
            </w:pPr>
            <w:r>
              <w:rPr>
                <w:rFonts w:ascii="Times New Roman" w:cs="Times New Roman"/>
              </w:rPr>
              <w:t>城区西仓街</w:t>
            </w:r>
          </w:p>
        </w:tc>
        <w:tc>
          <w:tcPr>
            <w:tcW w:w="936" w:type="pct"/>
            <w:tcBorders>
              <w:top w:val="nil"/>
              <w:left w:val="nil"/>
              <w:bottom w:val="single" w:color="auto" w:sz="4" w:space="0"/>
              <w:right w:val="single" w:color="auto" w:sz="4" w:space="0"/>
            </w:tcBorders>
            <w:shd w:val="clear" w:color="auto" w:fill="auto"/>
            <w:vAlign w:val="center"/>
          </w:tcPr>
          <w:p w14:paraId="0E5AE334">
            <w:pPr>
              <w:pStyle w:val="57"/>
              <w:jc w:val="center"/>
              <w:rPr>
                <w:rFonts w:ascii="Times New Roman" w:cs="Times New Roman"/>
              </w:rPr>
            </w:pPr>
            <w:r>
              <w:rPr>
                <w:rFonts w:ascii="Times New Roman" w:cs="Times New Roman"/>
              </w:rPr>
              <w:t>防洪、船运</w:t>
            </w:r>
          </w:p>
        </w:tc>
        <w:tc>
          <w:tcPr>
            <w:tcW w:w="1039" w:type="pct"/>
            <w:tcBorders>
              <w:top w:val="nil"/>
              <w:left w:val="nil"/>
              <w:bottom w:val="single" w:color="000000" w:sz="4" w:space="0"/>
              <w:right w:val="single" w:color="000000" w:sz="4" w:space="0"/>
            </w:tcBorders>
            <w:shd w:val="clear" w:color="auto" w:fill="auto"/>
            <w:vAlign w:val="center"/>
          </w:tcPr>
          <w:p w14:paraId="11526F90">
            <w:pPr>
              <w:pStyle w:val="57"/>
              <w:jc w:val="center"/>
              <w:rPr>
                <w:rFonts w:ascii="Times New Roman" w:cs="Times New Roman"/>
              </w:rPr>
            </w:pPr>
            <w:r>
              <w:rPr>
                <w:rFonts w:ascii="Times New Roman" w:cs="Times New Roman"/>
              </w:rPr>
              <w:t>30</w:t>
            </w:r>
          </w:p>
        </w:tc>
      </w:tr>
      <w:tr w14:paraId="13446A46">
        <w:tblPrEx>
          <w:tblCellMar>
            <w:top w:w="0" w:type="dxa"/>
            <w:left w:w="108" w:type="dxa"/>
            <w:bottom w:w="0" w:type="dxa"/>
            <w:right w:w="108" w:type="dxa"/>
          </w:tblCellMar>
        </w:tblPrEx>
        <w:trPr>
          <w:trHeight w:val="20" w:hRule="atLeast"/>
        </w:trPr>
        <w:tc>
          <w:tcPr>
            <w:tcW w:w="533" w:type="pct"/>
            <w:tcBorders>
              <w:top w:val="nil"/>
              <w:left w:val="single" w:color="auto" w:sz="4" w:space="0"/>
              <w:bottom w:val="single" w:color="auto" w:sz="4" w:space="0"/>
              <w:right w:val="single" w:color="auto" w:sz="4" w:space="0"/>
            </w:tcBorders>
            <w:shd w:val="clear" w:color="auto" w:fill="auto"/>
            <w:vAlign w:val="center"/>
          </w:tcPr>
          <w:p w14:paraId="7C4A5B93">
            <w:pPr>
              <w:pStyle w:val="57"/>
              <w:jc w:val="center"/>
              <w:rPr>
                <w:rFonts w:ascii="Times New Roman" w:cs="Times New Roman"/>
              </w:rPr>
            </w:pPr>
            <w:r>
              <w:rPr>
                <w:rFonts w:ascii="Times New Roman" w:cs="Times New Roman"/>
              </w:rPr>
              <w:t>33</w:t>
            </w:r>
          </w:p>
        </w:tc>
        <w:tc>
          <w:tcPr>
            <w:tcW w:w="853" w:type="pct"/>
            <w:tcBorders>
              <w:top w:val="nil"/>
              <w:left w:val="nil"/>
              <w:bottom w:val="single" w:color="auto" w:sz="4" w:space="0"/>
              <w:right w:val="single" w:color="auto" w:sz="4" w:space="0"/>
            </w:tcBorders>
            <w:shd w:val="clear" w:color="auto" w:fill="auto"/>
            <w:vAlign w:val="center"/>
          </w:tcPr>
          <w:p w14:paraId="14AB6ABA">
            <w:pPr>
              <w:pStyle w:val="57"/>
              <w:jc w:val="center"/>
              <w:rPr>
                <w:rFonts w:ascii="Times New Roman" w:cs="Times New Roman"/>
              </w:rPr>
            </w:pPr>
            <w:r>
              <w:rPr>
                <w:rFonts w:ascii="Times New Roman" w:cs="Times New Roman"/>
              </w:rPr>
              <w:t>老通扬运河东闸</w:t>
            </w:r>
          </w:p>
        </w:tc>
        <w:tc>
          <w:tcPr>
            <w:tcW w:w="1639" w:type="pct"/>
            <w:tcBorders>
              <w:top w:val="nil"/>
              <w:left w:val="nil"/>
              <w:bottom w:val="single" w:color="auto" w:sz="4" w:space="0"/>
              <w:right w:val="single" w:color="auto" w:sz="4" w:space="0"/>
            </w:tcBorders>
            <w:shd w:val="clear" w:color="auto" w:fill="auto"/>
            <w:vAlign w:val="center"/>
          </w:tcPr>
          <w:p w14:paraId="3DD73244">
            <w:pPr>
              <w:pStyle w:val="57"/>
              <w:jc w:val="center"/>
              <w:rPr>
                <w:rFonts w:ascii="Times New Roman" w:cs="Times New Roman"/>
              </w:rPr>
            </w:pPr>
            <w:r>
              <w:rPr>
                <w:rFonts w:ascii="Times New Roman" w:cs="Times New Roman"/>
              </w:rPr>
              <w:t>老通扬运河与引江河交汇处引江河东侧</w:t>
            </w:r>
          </w:p>
        </w:tc>
        <w:tc>
          <w:tcPr>
            <w:tcW w:w="936" w:type="pct"/>
            <w:tcBorders>
              <w:top w:val="nil"/>
              <w:left w:val="nil"/>
              <w:bottom w:val="single" w:color="auto" w:sz="4" w:space="0"/>
              <w:right w:val="single" w:color="auto" w:sz="4" w:space="0"/>
            </w:tcBorders>
            <w:shd w:val="clear" w:color="auto" w:fill="auto"/>
            <w:vAlign w:val="center"/>
          </w:tcPr>
          <w:p w14:paraId="4EF81798">
            <w:pPr>
              <w:pStyle w:val="57"/>
              <w:jc w:val="center"/>
              <w:rPr>
                <w:rFonts w:ascii="Times New Roman" w:cs="Times New Roman"/>
              </w:rPr>
            </w:pPr>
            <w:r>
              <w:rPr>
                <w:rFonts w:ascii="Times New Roman" w:cs="Times New Roman"/>
              </w:rPr>
              <w:t>防洪</w:t>
            </w:r>
          </w:p>
        </w:tc>
        <w:tc>
          <w:tcPr>
            <w:tcW w:w="1039" w:type="pct"/>
            <w:tcBorders>
              <w:top w:val="nil"/>
              <w:left w:val="nil"/>
              <w:bottom w:val="single" w:color="auto" w:sz="4" w:space="0"/>
              <w:right w:val="single" w:color="auto" w:sz="4" w:space="0"/>
            </w:tcBorders>
            <w:shd w:val="clear" w:color="auto" w:fill="auto"/>
            <w:vAlign w:val="center"/>
          </w:tcPr>
          <w:p w14:paraId="0379F7EE">
            <w:pPr>
              <w:pStyle w:val="57"/>
              <w:jc w:val="center"/>
              <w:rPr>
                <w:rFonts w:ascii="Times New Roman" w:cs="Times New Roman"/>
              </w:rPr>
            </w:pPr>
            <w:r>
              <w:rPr>
                <w:rFonts w:ascii="Times New Roman" w:cs="Times New Roman"/>
              </w:rPr>
              <w:t>35</w:t>
            </w:r>
          </w:p>
        </w:tc>
      </w:tr>
      <w:tr w14:paraId="70DF83C9">
        <w:tblPrEx>
          <w:tblCellMar>
            <w:top w:w="0" w:type="dxa"/>
            <w:left w:w="108" w:type="dxa"/>
            <w:bottom w:w="0" w:type="dxa"/>
            <w:right w:w="108" w:type="dxa"/>
          </w:tblCellMar>
        </w:tblPrEx>
        <w:trPr>
          <w:trHeight w:val="20" w:hRule="atLeast"/>
        </w:trPr>
        <w:tc>
          <w:tcPr>
            <w:tcW w:w="533" w:type="pct"/>
            <w:tcBorders>
              <w:top w:val="nil"/>
              <w:left w:val="single" w:color="auto" w:sz="4" w:space="0"/>
              <w:bottom w:val="single" w:color="auto" w:sz="4" w:space="0"/>
              <w:right w:val="single" w:color="auto" w:sz="4" w:space="0"/>
            </w:tcBorders>
            <w:shd w:val="clear" w:color="auto" w:fill="auto"/>
            <w:vAlign w:val="center"/>
          </w:tcPr>
          <w:p w14:paraId="6B432D61">
            <w:pPr>
              <w:pStyle w:val="57"/>
              <w:jc w:val="center"/>
              <w:rPr>
                <w:rFonts w:ascii="Times New Roman" w:cs="Times New Roman"/>
              </w:rPr>
            </w:pPr>
            <w:r>
              <w:rPr>
                <w:rFonts w:ascii="Times New Roman" w:cs="Times New Roman"/>
              </w:rPr>
              <w:t>34</w:t>
            </w:r>
          </w:p>
        </w:tc>
        <w:tc>
          <w:tcPr>
            <w:tcW w:w="853" w:type="pct"/>
            <w:tcBorders>
              <w:top w:val="nil"/>
              <w:left w:val="nil"/>
              <w:bottom w:val="single" w:color="auto" w:sz="4" w:space="0"/>
              <w:right w:val="single" w:color="auto" w:sz="4" w:space="0"/>
            </w:tcBorders>
            <w:shd w:val="clear" w:color="auto" w:fill="auto"/>
            <w:vAlign w:val="center"/>
          </w:tcPr>
          <w:p w14:paraId="4593355E">
            <w:pPr>
              <w:pStyle w:val="57"/>
              <w:jc w:val="center"/>
              <w:rPr>
                <w:rFonts w:ascii="Times New Roman" w:cs="Times New Roman"/>
              </w:rPr>
            </w:pPr>
            <w:r>
              <w:rPr>
                <w:rFonts w:ascii="Times New Roman" w:cs="Times New Roman"/>
              </w:rPr>
              <w:t>老通扬运河西闸</w:t>
            </w:r>
          </w:p>
        </w:tc>
        <w:tc>
          <w:tcPr>
            <w:tcW w:w="1639" w:type="pct"/>
            <w:tcBorders>
              <w:top w:val="nil"/>
              <w:left w:val="nil"/>
              <w:bottom w:val="single" w:color="auto" w:sz="4" w:space="0"/>
              <w:right w:val="single" w:color="auto" w:sz="4" w:space="0"/>
            </w:tcBorders>
            <w:shd w:val="clear" w:color="auto" w:fill="auto"/>
            <w:vAlign w:val="center"/>
          </w:tcPr>
          <w:p w14:paraId="35E420D5">
            <w:pPr>
              <w:pStyle w:val="57"/>
              <w:jc w:val="center"/>
              <w:rPr>
                <w:rFonts w:ascii="Times New Roman" w:cs="Times New Roman"/>
              </w:rPr>
            </w:pPr>
            <w:r>
              <w:rPr>
                <w:rFonts w:ascii="Times New Roman" w:cs="Times New Roman"/>
              </w:rPr>
              <w:t>老通扬运河与引江河交汇处引江河西侧</w:t>
            </w:r>
          </w:p>
        </w:tc>
        <w:tc>
          <w:tcPr>
            <w:tcW w:w="936" w:type="pct"/>
            <w:tcBorders>
              <w:top w:val="nil"/>
              <w:left w:val="nil"/>
              <w:bottom w:val="single" w:color="auto" w:sz="4" w:space="0"/>
              <w:right w:val="single" w:color="auto" w:sz="4" w:space="0"/>
            </w:tcBorders>
            <w:shd w:val="clear" w:color="auto" w:fill="auto"/>
            <w:vAlign w:val="center"/>
          </w:tcPr>
          <w:p w14:paraId="65444B04">
            <w:pPr>
              <w:pStyle w:val="57"/>
              <w:jc w:val="center"/>
              <w:rPr>
                <w:rFonts w:ascii="Times New Roman" w:cs="Times New Roman"/>
              </w:rPr>
            </w:pPr>
            <w:r>
              <w:rPr>
                <w:rFonts w:ascii="Times New Roman" w:cs="Times New Roman"/>
              </w:rPr>
              <w:t>防洪</w:t>
            </w:r>
          </w:p>
        </w:tc>
        <w:tc>
          <w:tcPr>
            <w:tcW w:w="1039" w:type="pct"/>
            <w:tcBorders>
              <w:top w:val="nil"/>
              <w:left w:val="nil"/>
              <w:bottom w:val="single" w:color="auto" w:sz="4" w:space="0"/>
              <w:right w:val="single" w:color="auto" w:sz="4" w:space="0"/>
            </w:tcBorders>
            <w:shd w:val="clear" w:color="auto" w:fill="auto"/>
            <w:vAlign w:val="center"/>
          </w:tcPr>
          <w:p w14:paraId="51F5A975">
            <w:pPr>
              <w:pStyle w:val="57"/>
              <w:jc w:val="center"/>
              <w:rPr>
                <w:rFonts w:ascii="Times New Roman" w:cs="Times New Roman"/>
              </w:rPr>
            </w:pPr>
            <w:r>
              <w:rPr>
                <w:rFonts w:ascii="Times New Roman" w:cs="Times New Roman"/>
              </w:rPr>
              <w:t>8</w:t>
            </w:r>
          </w:p>
        </w:tc>
      </w:tr>
      <w:tr w14:paraId="2E14209D">
        <w:tblPrEx>
          <w:tblCellMar>
            <w:top w:w="0" w:type="dxa"/>
            <w:left w:w="108" w:type="dxa"/>
            <w:bottom w:w="0" w:type="dxa"/>
            <w:right w:w="108" w:type="dxa"/>
          </w:tblCellMar>
        </w:tblPrEx>
        <w:trPr>
          <w:trHeight w:val="20" w:hRule="atLeast"/>
        </w:trPr>
        <w:tc>
          <w:tcPr>
            <w:tcW w:w="533" w:type="pct"/>
            <w:tcBorders>
              <w:top w:val="nil"/>
              <w:left w:val="single" w:color="auto" w:sz="4" w:space="0"/>
              <w:bottom w:val="single" w:color="auto" w:sz="4" w:space="0"/>
              <w:right w:val="single" w:color="auto" w:sz="4" w:space="0"/>
            </w:tcBorders>
            <w:shd w:val="clear" w:color="auto" w:fill="auto"/>
            <w:vAlign w:val="center"/>
          </w:tcPr>
          <w:p w14:paraId="327322F5">
            <w:pPr>
              <w:pStyle w:val="57"/>
              <w:jc w:val="center"/>
              <w:rPr>
                <w:rFonts w:ascii="Times New Roman" w:cs="Times New Roman"/>
              </w:rPr>
            </w:pPr>
            <w:r>
              <w:rPr>
                <w:rFonts w:ascii="Times New Roman" w:cs="Times New Roman"/>
              </w:rPr>
              <w:t>35</w:t>
            </w:r>
          </w:p>
        </w:tc>
        <w:tc>
          <w:tcPr>
            <w:tcW w:w="853" w:type="pct"/>
            <w:tcBorders>
              <w:top w:val="nil"/>
              <w:left w:val="nil"/>
              <w:bottom w:val="single" w:color="auto" w:sz="4" w:space="0"/>
              <w:right w:val="single" w:color="auto" w:sz="4" w:space="0"/>
            </w:tcBorders>
            <w:shd w:val="clear" w:color="auto" w:fill="auto"/>
            <w:vAlign w:val="center"/>
          </w:tcPr>
          <w:p w14:paraId="1ED652DF">
            <w:pPr>
              <w:pStyle w:val="57"/>
              <w:jc w:val="center"/>
              <w:rPr>
                <w:rFonts w:ascii="Times New Roman" w:cs="Times New Roman"/>
              </w:rPr>
            </w:pPr>
            <w:r>
              <w:rPr>
                <w:rFonts w:ascii="Times New Roman" w:cs="Times New Roman"/>
              </w:rPr>
              <w:t>界沟闸</w:t>
            </w:r>
          </w:p>
        </w:tc>
        <w:tc>
          <w:tcPr>
            <w:tcW w:w="1639" w:type="pct"/>
            <w:tcBorders>
              <w:top w:val="nil"/>
              <w:left w:val="nil"/>
              <w:bottom w:val="single" w:color="auto" w:sz="4" w:space="0"/>
              <w:right w:val="single" w:color="auto" w:sz="4" w:space="0"/>
            </w:tcBorders>
            <w:shd w:val="clear" w:color="auto" w:fill="auto"/>
            <w:vAlign w:val="center"/>
          </w:tcPr>
          <w:p w14:paraId="3579EC71">
            <w:pPr>
              <w:pStyle w:val="57"/>
              <w:jc w:val="center"/>
              <w:rPr>
                <w:rFonts w:ascii="Times New Roman" w:cs="Times New Roman"/>
              </w:rPr>
            </w:pPr>
            <w:r>
              <w:rPr>
                <w:rFonts w:ascii="Times New Roman" w:cs="Times New Roman"/>
              </w:rPr>
              <w:t>九龙界沟村</w:t>
            </w:r>
          </w:p>
        </w:tc>
        <w:tc>
          <w:tcPr>
            <w:tcW w:w="936" w:type="pct"/>
            <w:tcBorders>
              <w:top w:val="nil"/>
              <w:left w:val="nil"/>
              <w:bottom w:val="single" w:color="auto" w:sz="4" w:space="0"/>
              <w:right w:val="single" w:color="auto" w:sz="4" w:space="0"/>
            </w:tcBorders>
            <w:shd w:val="clear" w:color="auto" w:fill="auto"/>
            <w:vAlign w:val="center"/>
          </w:tcPr>
          <w:p w14:paraId="5FC45395">
            <w:pPr>
              <w:pStyle w:val="57"/>
              <w:jc w:val="center"/>
              <w:rPr>
                <w:rFonts w:ascii="Times New Roman" w:cs="Times New Roman"/>
              </w:rPr>
            </w:pPr>
            <w:r>
              <w:rPr>
                <w:rFonts w:ascii="Times New Roman" w:cs="Times New Roman"/>
              </w:rPr>
              <w:t>引、排</w:t>
            </w:r>
          </w:p>
        </w:tc>
        <w:tc>
          <w:tcPr>
            <w:tcW w:w="1039" w:type="pct"/>
            <w:tcBorders>
              <w:top w:val="nil"/>
              <w:left w:val="nil"/>
              <w:bottom w:val="single" w:color="auto" w:sz="4" w:space="0"/>
              <w:right w:val="single" w:color="auto" w:sz="4" w:space="0"/>
            </w:tcBorders>
            <w:shd w:val="clear" w:color="auto" w:fill="auto"/>
            <w:vAlign w:val="center"/>
          </w:tcPr>
          <w:p w14:paraId="473460E1">
            <w:pPr>
              <w:pStyle w:val="57"/>
              <w:jc w:val="center"/>
              <w:rPr>
                <w:rFonts w:ascii="Times New Roman" w:cs="Times New Roman"/>
              </w:rPr>
            </w:pPr>
            <w:r>
              <w:rPr>
                <w:rFonts w:ascii="Times New Roman" w:cs="Times New Roman"/>
              </w:rPr>
              <w:t>5</w:t>
            </w:r>
          </w:p>
        </w:tc>
      </w:tr>
      <w:tr w14:paraId="73CDDC0F">
        <w:tblPrEx>
          <w:tblCellMar>
            <w:top w:w="0" w:type="dxa"/>
            <w:left w:w="108" w:type="dxa"/>
            <w:bottom w:w="0" w:type="dxa"/>
            <w:right w:w="108" w:type="dxa"/>
          </w:tblCellMar>
        </w:tblPrEx>
        <w:trPr>
          <w:trHeight w:val="20" w:hRule="atLeast"/>
        </w:trPr>
        <w:tc>
          <w:tcPr>
            <w:tcW w:w="533" w:type="pct"/>
            <w:tcBorders>
              <w:top w:val="nil"/>
              <w:left w:val="single" w:color="auto" w:sz="4" w:space="0"/>
              <w:bottom w:val="single" w:color="auto" w:sz="4" w:space="0"/>
              <w:right w:val="single" w:color="auto" w:sz="4" w:space="0"/>
            </w:tcBorders>
            <w:shd w:val="clear" w:color="auto" w:fill="auto"/>
            <w:vAlign w:val="center"/>
          </w:tcPr>
          <w:p w14:paraId="511EC132">
            <w:pPr>
              <w:pStyle w:val="57"/>
              <w:jc w:val="center"/>
              <w:rPr>
                <w:rFonts w:ascii="Times New Roman" w:cs="Times New Roman"/>
              </w:rPr>
            </w:pPr>
            <w:r>
              <w:rPr>
                <w:rFonts w:ascii="Times New Roman" w:cs="Times New Roman"/>
              </w:rPr>
              <w:t>36</w:t>
            </w:r>
          </w:p>
        </w:tc>
        <w:tc>
          <w:tcPr>
            <w:tcW w:w="853" w:type="pct"/>
            <w:tcBorders>
              <w:top w:val="nil"/>
              <w:left w:val="nil"/>
              <w:bottom w:val="single" w:color="auto" w:sz="4" w:space="0"/>
              <w:right w:val="single" w:color="auto" w:sz="4" w:space="0"/>
            </w:tcBorders>
            <w:shd w:val="clear" w:color="auto" w:fill="auto"/>
            <w:vAlign w:val="center"/>
          </w:tcPr>
          <w:p w14:paraId="36B0B7D1">
            <w:pPr>
              <w:pStyle w:val="57"/>
              <w:jc w:val="center"/>
              <w:rPr>
                <w:rFonts w:ascii="Times New Roman" w:cs="Times New Roman"/>
              </w:rPr>
            </w:pPr>
            <w:r>
              <w:rPr>
                <w:rFonts w:ascii="Times New Roman" w:cs="Times New Roman"/>
              </w:rPr>
              <w:t>后塘河涵闸</w:t>
            </w:r>
          </w:p>
        </w:tc>
        <w:tc>
          <w:tcPr>
            <w:tcW w:w="1639" w:type="pct"/>
            <w:tcBorders>
              <w:top w:val="nil"/>
              <w:left w:val="nil"/>
              <w:bottom w:val="single" w:color="auto" w:sz="4" w:space="0"/>
              <w:right w:val="single" w:color="auto" w:sz="4" w:space="0"/>
            </w:tcBorders>
            <w:shd w:val="clear" w:color="auto" w:fill="auto"/>
            <w:vAlign w:val="center"/>
          </w:tcPr>
          <w:p w14:paraId="0661057C">
            <w:pPr>
              <w:pStyle w:val="57"/>
              <w:jc w:val="center"/>
              <w:rPr>
                <w:rFonts w:ascii="Times New Roman" w:cs="Times New Roman"/>
              </w:rPr>
            </w:pPr>
            <w:r>
              <w:rPr>
                <w:rFonts w:ascii="Times New Roman" w:cs="Times New Roman"/>
              </w:rPr>
              <w:t>九龙姚家社区</w:t>
            </w:r>
          </w:p>
        </w:tc>
        <w:tc>
          <w:tcPr>
            <w:tcW w:w="936" w:type="pct"/>
            <w:tcBorders>
              <w:top w:val="nil"/>
              <w:left w:val="nil"/>
              <w:bottom w:val="single" w:color="auto" w:sz="4" w:space="0"/>
              <w:right w:val="single" w:color="auto" w:sz="4" w:space="0"/>
            </w:tcBorders>
            <w:shd w:val="clear" w:color="auto" w:fill="auto"/>
            <w:vAlign w:val="center"/>
          </w:tcPr>
          <w:p w14:paraId="334DF987">
            <w:pPr>
              <w:pStyle w:val="57"/>
              <w:jc w:val="center"/>
              <w:rPr>
                <w:rFonts w:ascii="Times New Roman" w:cs="Times New Roman"/>
              </w:rPr>
            </w:pPr>
            <w:r>
              <w:rPr>
                <w:rFonts w:ascii="Times New Roman" w:cs="Times New Roman"/>
              </w:rPr>
              <w:t>防洪、引排</w:t>
            </w:r>
          </w:p>
        </w:tc>
        <w:tc>
          <w:tcPr>
            <w:tcW w:w="1039" w:type="pct"/>
            <w:tcBorders>
              <w:top w:val="nil"/>
              <w:left w:val="nil"/>
              <w:bottom w:val="single" w:color="auto" w:sz="4" w:space="0"/>
              <w:right w:val="single" w:color="auto" w:sz="4" w:space="0"/>
            </w:tcBorders>
            <w:shd w:val="clear" w:color="auto" w:fill="auto"/>
            <w:vAlign w:val="center"/>
          </w:tcPr>
          <w:p w14:paraId="408E6A96">
            <w:pPr>
              <w:pStyle w:val="57"/>
              <w:jc w:val="center"/>
              <w:rPr>
                <w:rFonts w:ascii="Times New Roman" w:cs="Times New Roman"/>
              </w:rPr>
            </w:pPr>
            <w:r>
              <w:rPr>
                <w:rFonts w:ascii="Times New Roman" w:cs="Times New Roman"/>
              </w:rPr>
              <w:t>6</w:t>
            </w:r>
          </w:p>
        </w:tc>
      </w:tr>
      <w:tr w14:paraId="13A4B54F">
        <w:tblPrEx>
          <w:tblCellMar>
            <w:top w:w="0" w:type="dxa"/>
            <w:left w:w="108" w:type="dxa"/>
            <w:bottom w:w="0" w:type="dxa"/>
            <w:right w:w="108" w:type="dxa"/>
          </w:tblCellMar>
        </w:tblPrEx>
        <w:trPr>
          <w:trHeight w:val="20" w:hRule="atLeast"/>
        </w:trPr>
        <w:tc>
          <w:tcPr>
            <w:tcW w:w="533" w:type="pct"/>
            <w:tcBorders>
              <w:top w:val="nil"/>
              <w:left w:val="single" w:color="auto" w:sz="4" w:space="0"/>
              <w:bottom w:val="single" w:color="auto" w:sz="4" w:space="0"/>
              <w:right w:val="single" w:color="auto" w:sz="4" w:space="0"/>
            </w:tcBorders>
            <w:shd w:val="clear" w:color="auto" w:fill="auto"/>
            <w:vAlign w:val="center"/>
          </w:tcPr>
          <w:p w14:paraId="0569103D">
            <w:pPr>
              <w:pStyle w:val="57"/>
              <w:jc w:val="center"/>
              <w:rPr>
                <w:rFonts w:ascii="Times New Roman" w:cs="Times New Roman"/>
              </w:rPr>
            </w:pPr>
            <w:r>
              <w:rPr>
                <w:rFonts w:ascii="Times New Roman" w:cs="Times New Roman"/>
              </w:rPr>
              <w:t>37</w:t>
            </w:r>
          </w:p>
        </w:tc>
        <w:tc>
          <w:tcPr>
            <w:tcW w:w="853" w:type="pct"/>
            <w:tcBorders>
              <w:top w:val="nil"/>
              <w:left w:val="nil"/>
              <w:bottom w:val="single" w:color="auto" w:sz="4" w:space="0"/>
              <w:right w:val="single" w:color="auto" w:sz="4" w:space="0"/>
            </w:tcBorders>
            <w:shd w:val="clear" w:color="auto" w:fill="auto"/>
            <w:vAlign w:val="center"/>
          </w:tcPr>
          <w:p w14:paraId="58E32AF5">
            <w:pPr>
              <w:pStyle w:val="57"/>
              <w:jc w:val="center"/>
              <w:rPr>
                <w:rFonts w:ascii="Times New Roman" w:cs="Times New Roman"/>
              </w:rPr>
            </w:pPr>
            <w:r>
              <w:rPr>
                <w:rFonts w:ascii="Times New Roman" w:cs="Times New Roman"/>
              </w:rPr>
              <w:t>大寨河涵闸</w:t>
            </w:r>
          </w:p>
        </w:tc>
        <w:tc>
          <w:tcPr>
            <w:tcW w:w="1639" w:type="pct"/>
            <w:tcBorders>
              <w:top w:val="nil"/>
              <w:left w:val="nil"/>
              <w:bottom w:val="single" w:color="auto" w:sz="4" w:space="0"/>
              <w:right w:val="single" w:color="auto" w:sz="4" w:space="0"/>
            </w:tcBorders>
            <w:shd w:val="clear" w:color="auto" w:fill="auto"/>
            <w:vAlign w:val="center"/>
          </w:tcPr>
          <w:p w14:paraId="7BB8CABE">
            <w:pPr>
              <w:pStyle w:val="57"/>
              <w:jc w:val="center"/>
              <w:rPr>
                <w:rFonts w:ascii="Times New Roman" w:cs="Times New Roman"/>
              </w:rPr>
            </w:pPr>
            <w:r>
              <w:rPr>
                <w:rFonts w:ascii="Times New Roman" w:cs="Times New Roman"/>
              </w:rPr>
              <w:t>九龙张坝社区</w:t>
            </w:r>
          </w:p>
        </w:tc>
        <w:tc>
          <w:tcPr>
            <w:tcW w:w="936" w:type="pct"/>
            <w:tcBorders>
              <w:top w:val="nil"/>
              <w:left w:val="nil"/>
              <w:bottom w:val="single" w:color="auto" w:sz="4" w:space="0"/>
              <w:right w:val="single" w:color="auto" w:sz="4" w:space="0"/>
            </w:tcBorders>
            <w:shd w:val="clear" w:color="auto" w:fill="auto"/>
            <w:vAlign w:val="center"/>
          </w:tcPr>
          <w:p w14:paraId="11F3AD53">
            <w:pPr>
              <w:pStyle w:val="57"/>
              <w:jc w:val="center"/>
              <w:rPr>
                <w:rFonts w:ascii="Times New Roman" w:cs="Times New Roman"/>
              </w:rPr>
            </w:pPr>
            <w:r>
              <w:rPr>
                <w:rFonts w:ascii="Times New Roman" w:cs="Times New Roman"/>
              </w:rPr>
              <w:t>防洪、引排</w:t>
            </w:r>
          </w:p>
        </w:tc>
        <w:tc>
          <w:tcPr>
            <w:tcW w:w="1039" w:type="pct"/>
            <w:tcBorders>
              <w:top w:val="nil"/>
              <w:left w:val="nil"/>
              <w:bottom w:val="single" w:color="auto" w:sz="4" w:space="0"/>
              <w:right w:val="single" w:color="auto" w:sz="4" w:space="0"/>
            </w:tcBorders>
            <w:shd w:val="clear" w:color="auto" w:fill="auto"/>
            <w:vAlign w:val="center"/>
          </w:tcPr>
          <w:p w14:paraId="75EB0BA2">
            <w:pPr>
              <w:pStyle w:val="57"/>
              <w:jc w:val="center"/>
              <w:rPr>
                <w:rFonts w:ascii="Times New Roman" w:cs="Times New Roman"/>
              </w:rPr>
            </w:pPr>
            <w:r>
              <w:rPr>
                <w:rFonts w:ascii="Times New Roman" w:cs="Times New Roman"/>
              </w:rPr>
              <w:t>16</w:t>
            </w:r>
          </w:p>
        </w:tc>
      </w:tr>
      <w:tr w14:paraId="4273CAD7">
        <w:tblPrEx>
          <w:tblCellMar>
            <w:top w:w="0" w:type="dxa"/>
            <w:left w:w="108" w:type="dxa"/>
            <w:bottom w:w="0" w:type="dxa"/>
            <w:right w:w="108" w:type="dxa"/>
          </w:tblCellMar>
        </w:tblPrEx>
        <w:trPr>
          <w:trHeight w:val="20" w:hRule="atLeast"/>
        </w:trPr>
        <w:tc>
          <w:tcPr>
            <w:tcW w:w="533" w:type="pct"/>
            <w:tcBorders>
              <w:top w:val="nil"/>
              <w:left w:val="single" w:color="auto" w:sz="4" w:space="0"/>
              <w:bottom w:val="single" w:color="auto" w:sz="4" w:space="0"/>
              <w:right w:val="single" w:color="auto" w:sz="4" w:space="0"/>
            </w:tcBorders>
            <w:shd w:val="clear" w:color="auto" w:fill="auto"/>
            <w:vAlign w:val="center"/>
          </w:tcPr>
          <w:p w14:paraId="793D2988">
            <w:pPr>
              <w:pStyle w:val="57"/>
              <w:jc w:val="center"/>
              <w:rPr>
                <w:rFonts w:ascii="Times New Roman" w:cs="Times New Roman"/>
              </w:rPr>
            </w:pPr>
            <w:r>
              <w:rPr>
                <w:rFonts w:ascii="Times New Roman" w:cs="Times New Roman"/>
              </w:rPr>
              <w:t>38</w:t>
            </w:r>
          </w:p>
        </w:tc>
        <w:tc>
          <w:tcPr>
            <w:tcW w:w="853" w:type="pct"/>
            <w:tcBorders>
              <w:top w:val="nil"/>
              <w:left w:val="nil"/>
              <w:bottom w:val="single" w:color="auto" w:sz="4" w:space="0"/>
              <w:right w:val="single" w:color="auto" w:sz="4" w:space="0"/>
            </w:tcBorders>
            <w:shd w:val="clear" w:color="auto" w:fill="auto"/>
            <w:vAlign w:val="center"/>
          </w:tcPr>
          <w:p w14:paraId="349BBEC1">
            <w:pPr>
              <w:pStyle w:val="57"/>
              <w:jc w:val="center"/>
              <w:rPr>
                <w:rFonts w:ascii="Times New Roman" w:cs="Times New Roman"/>
              </w:rPr>
            </w:pPr>
            <w:r>
              <w:rPr>
                <w:rFonts w:ascii="Times New Roman" w:cs="Times New Roman"/>
              </w:rPr>
              <w:t>茶庵桥河闸</w:t>
            </w:r>
          </w:p>
        </w:tc>
        <w:tc>
          <w:tcPr>
            <w:tcW w:w="1639" w:type="pct"/>
            <w:tcBorders>
              <w:top w:val="nil"/>
              <w:left w:val="nil"/>
              <w:bottom w:val="single" w:color="auto" w:sz="4" w:space="0"/>
              <w:right w:val="single" w:color="auto" w:sz="4" w:space="0"/>
            </w:tcBorders>
            <w:shd w:val="clear" w:color="auto" w:fill="auto"/>
            <w:vAlign w:val="center"/>
          </w:tcPr>
          <w:p w14:paraId="079C90EB">
            <w:pPr>
              <w:pStyle w:val="57"/>
              <w:jc w:val="center"/>
              <w:rPr>
                <w:rFonts w:ascii="Times New Roman" w:cs="Times New Roman"/>
              </w:rPr>
            </w:pPr>
            <w:r>
              <w:rPr>
                <w:rFonts w:ascii="Times New Roman" w:cs="Times New Roman"/>
              </w:rPr>
              <w:t>茶庵桥河、前进河交界</w:t>
            </w:r>
          </w:p>
        </w:tc>
        <w:tc>
          <w:tcPr>
            <w:tcW w:w="936" w:type="pct"/>
            <w:tcBorders>
              <w:top w:val="nil"/>
              <w:left w:val="nil"/>
              <w:bottom w:val="single" w:color="auto" w:sz="4" w:space="0"/>
              <w:right w:val="single" w:color="auto" w:sz="4" w:space="0"/>
            </w:tcBorders>
            <w:shd w:val="clear" w:color="auto" w:fill="auto"/>
            <w:vAlign w:val="center"/>
          </w:tcPr>
          <w:p w14:paraId="35FFD97F">
            <w:pPr>
              <w:pStyle w:val="57"/>
              <w:jc w:val="center"/>
              <w:rPr>
                <w:rFonts w:ascii="Times New Roman" w:cs="Times New Roman"/>
              </w:rPr>
            </w:pPr>
            <w:r>
              <w:rPr>
                <w:rFonts w:ascii="Times New Roman" w:cs="Times New Roman"/>
              </w:rPr>
              <w:t>防洪、引排</w:t>
            </w:r>
          </w:p>
        </w:tc>
        <w:tc>
          <w:tcPr>
            <w:tcW w:w="1039" w:type="pct"/>
            <w:tcBorders>
              <w:top w:val="nil"/>
              <w:left w:val="nil"/>
              <w:bottom w:val="single" w:color="auto" w:sz="4" w:space="0"/>
              <w:right w:val="single" w:color="auto" w:sz="4" w:space="0"/>
            </w:tcBorders>
            <w:shd w:val="clear" w:color="auto" w:fill="auto"/>
            <w:vAlign w:val="center"/>
          </w:tcPr>
          <w:p w14:paraId="6C4B45CF">
            <w:pPr>
              <w:pStyle w:val="57"/>
              <w:jc w:val="center"/>
              <w:rPr>
                <w:rFonts w:ascii="Times New Roman" w:cs="Times New Roman"/>
              </w:rPr>
            </w:pPr>
            <w:r>
              <w:rPr>
                <w:rFonts w:ascii="Times New Roman" w:cs="Times New Roman"/>
              </w:rPr>
              <w:t>10</w:t>
            </w:r>
          </w:p>
        </w:tc>
      </w:tr>
      <w:tr w14:paraId="1C2F3460">
        <w:tblPrEx>
          <w:tblCellMar>
            <w:top w:w="0" w:type="dxa"/>
            <w:left w:w="108" w:type="dxa"/>
            <w:bottom w:w="0" w:type="dxa"/>
            <w:right w:w="108" w:type="dxa"/>
          </w:tblCellMar>
        </w:tblPrEx>
        <w:trPr>
          <w:trHeight w:val="20" w:hRule="atLeast"/>
        </w:trPr>
        <w:tc>
          <w:tcPr>
            <w:tcW w:w="533" w:type="pct"/>
            <w:tcBorders>
              <w:top w:val="nil"/>
              <w:left w:val="single" w:color="auto" w:sz="4" w:space="0"/>
              <w:bottom w:val="single" w:color="auto" w:sz="4" w:space="0"/>
              <w:right w:val="single" w:color="auto" w:sz="4" w:space="0"/>
            </w:tcBorders>
            <w:shd w:val="clear" w:color="auto" w:fill="auto"/>
            <w:vAlign w:val="center"/>
          </w:tcPr>
          <w:p w14:paraId="065E6C25">
            <w:pPr>
              <w:pStyle w:val="57"/>
              <w:jc w:val="center"/>
              <w:rPr>
                <w:rFonts w:ascii="Times New Roman" w:cs="Times New Roman"/>
              </w:rPr>
            </w:pPr>
            <w:r>
              <w:rPr>
                <w:rFonts w:ascii="Times New Roman" w:cs="Times New Roman"/>
              </w:rPr>
              <w:t>39</w:t>
            </w:r>
          </w:p>
        </w:tc>
        <w:tc>
          <w:tcPr>
            <w:tcW w:w="853" w:type="pct"/>
            <w:tcBorders>
              <w:top w:val="nil"/>
              <w:left w:val="nil"/>
              <w:bottom w:val="single" w:color="auto" w:sz="4" w:space="0"/>
              <w:right w:val="single" w:color="auto" w:sz="4" w:space="0"/>
            </w:tcBorders>
            <w:shd w:val="clear" w:color="auto" w:fill="auto"/>
            <w:vAlign w:val="center"/>
          </w:tcPr>
          <w:p w14:paraId="05E8F452">
            <w:pPr>
              <w:pStyle w:val="57"/>
              <w:jc w:val="center"/>
              <w:rPr>
                <w:rFonts w:ascii="Times New Roman" w:cs="Times New Roman"/>
              </w:rPr>
            </w:pPr>
            <w:r>
              <w:rPr>
                <w:rFonts w:ascii="Times New Roman" w:cs="Times New Roman"/>
              </w:rPr>
              <w:t>孔桥河闸</w:t>
            </w:r>
          </w:p>
        </w:tc>
        <w:tc>
          <w:tcPr>
            <w:tcW w:w="1639" w:type="pct"/>
            <w:tcBorders>
              <w:top w:val="nil"/>
              <w:left w:val="nil"/>
              <w:bottom w:val="nil"/>
              <w:right w:val="single" w:color="auto" w:sz="4" w:space="0"/>
            </w:tcBorders>
            <w:shd w:val="clear" w:color="auto" w:fill="auto"/>
            <w:vAlign w:val="center"/>
          </w:tcPr>
          <w:p w14:paraId="04A98C87">
            <w:pPr>
              <w:pStyle w:val="57"/>
              <w:jc w:val="center"/>
              <w:rPr>
                <w:rFonts w:ascii="Times New Roman" w:cs="Times New Roman"/>
              </w:rPr>
            </w:pPr>
            <w:r>
              <w:rPr>
                <w:rFonts w:ascii="Times New Roman" w:cs="Times New Roman"/>
              </w:rPr>
              <w:t>苏陈双岸社区</w:t>
            </w:r>
          </w:p>
        </w:tc>
        <w:tc>
          <w:tcPr>
            <w:tcW w:w="936" w:type="pct"/>
            <w:tcBorders>
              <w:top w:val="nil"/>
              <w:left w:val="nil"/>
              <w:bottom w:val="nil"/>
              <w:right w:val="single" w:color="auto" w:sz="4" w:space="0"/>
            </w:tcBorders>
            <w:shd w:val="clear" w:color="auto" w:fill="auto"/>
            <w:vAlign w:val="center"/>
          </w:tcPr>
          <w:p w14:paraId="7E206796">
            <w:pPr>
              <w:pStyle w:val="57"/>
              <w:jc w:val="center"/>
              <w:rPr>
                <w:rFonts w:ascii="Times New Roman" w:cs="Times New Roman"/>
              </w:rPr>
            </w:pPr>
            <w:r>
              <w:rPr>
                <w:rFonts w:ascii="Times New Roman" w:cs="Times New Roman"/>
              </w:rPr>
              <w:t>防洪、引排</w:t>
            </w:r>
          </w:p>
        </w:tc>
        <w:tc>
          <w:tcPr>
            <w:tcW w:w="1039" w:type="pct"/>
            <w:tcBorders>
              <w:top w:val="nil"/>
              <w:left w:val="nil"/>
              <w:bottom w:val="nil"/>
              <w:right w:val="single" w:color="auto" w:sz="4" w:space="0"/>
            </w:tcBorders>
            <w:shd w:val="clear" w:color="auto" w:fill="auto"/>
            <w:vAlign w:val="center"/>
          </w:tcPr>
          <w:p w14:paraId="5A9D44A9">
            <w:pPr>
              <w:pStyle w:val="57"/>
              <w:jc w:val="center"/>
              <w:rPr>
                <w:rFonts w:ascii="Times New Roman" w:cs="Times New Roman"/>
              </w:rPr>
            </w:pPr>
          </w:p>
        </w:tc>
      </w:tr>
      <w:tr w14:paraId="2C488DF6">
        <w:tblPrEx>
          <w:tblCellMar>
            <w:top w:w="0" w:type="dxa"/>
            <w:left w:w="108" w:type="dxa"/>
            <w:bottom w:w="0" w:type="dxa"/>
            <w:right w:w="108" w:type="dxa"/>
          </w:tblCellMar>
        </w:tblPrEx>
        <w:trPr>
          <w:trHeight w:val="20" w:hRule="atLeast"/>
        </w:trPr>
        <w:tc>
          <w:tcPr>
            <w:tcW w:w="533" w:type="pct"/>
            <w:tcBorders>
              <w:top w:val="nil"/>
              <w:left w:val="single" w:color="auto" w:sz="4" w:space="0"/>
              <w:bottom w:val="single" w:color="auto" w:sz="4" w:space="0"/>
              <w:right w:val="single" w:color="auto" w:sz="4" w:space="0"/>
            </w:tcBorders>
            <w:shd w:val="clear" w:color="auto" w:fill="auto"/>
            <w:vAlign w:val="center"/>
          </w:tcPr>
          <w:p w14:paraId="50164E27">
            <w:pPr>
              <w:pStyle w:val="57"/>
              <w:jc w:val="center"/>
              <w:rPr>
                <w:rFonts w:ascii="Times New Roman" w:cs="Times New Roman"/>
              </w:rPr>
            </w:pPr>
            <w:r>
              <w:rPr>
                <w:rFonts w:ascii="Times New Roman" w:cs="Times New Roman"/>
              </w:rPr>
              <w:t>40</w:t>
            </w:r>
          </w:p>
        </w:tc>
        <w:tc>
          <w:tcPr>
            <w:tcW w:w="853" w:type="pct"/>
            <w:tcBorders>
              <w:top w:val="nil"/>
              <w:left w:val="nil"/>
              <w:bottom w:val="single" w:color="auto" w:sz="4" w:space="0"/>
              <w:right w:val="single" w:color="auto" w:sz="4" w:space="0"/>
            </w:tcBorders>
            <w:shd w:val="clear" w:color="auto" w:fill="auto"/>
            <w:vAlign w:val="center"/>
          </w:tcPr>
          <w:p w14:paraId="7823DA4B">
            <w:pPr>
              <w:pStyle w:val="57"/>
              <w:jc w:val="center"/>
              <w:rPr>
                <w:rFonts w:ascii="Times New Roman" w:cs="Times New Roman"/>
              </w:rPr>
            </w:pPr>
            <w:r>
              <w:rPr>
                <w:rFonts w:ascii="Times New Roman" w:cs="Times New Roman"/>
              </w:rPr>
              <w:t>大冯闸</w:t>
            </w:r>
          </w:p>
        </w:tc>
        <w:tc>
          <w:tcPr>
            <w:tcW w:w="1639" w:type="pct"/>
            <w:tcBorders>
              <w:top w:val="single" w:color="auto" w:sz="4" w:space="0"/>
              <w:left w:val="nil"/>
              <w:bottom w:val="single" w:color="auto" w:sz="4" w:space="0"/>
              <w:right w:val="single" w:color="auto" w:sz="4" w:space="0"/>
            </w:tcBorders>
            <w:shd w:val="clear" w:color="auto" w:fill="auto"/>
            <w:vAlign w:val="center"/>
          </w:tcPr>
          <w:p w14:paraId="5DC180C2">
            <w:pPr>
              <w:pStyle w:val="57"/>
              <w:jc w:val="center"/>
              <w:rPr>
                <w:rFonts w:ascii="Times New Roman" w:cs="Times New Roman"/>
              </w:rPr>
            </w:pPr>
            <w:r>
              <w:rPr>
                <w:rFonts w:ascii="Times New Roman" w:cs="Times New Roman"/>
              </w:rPr>
              <w:t>苏陈苏陈社区</w:t>
            </w:r>
          </w:p>
        </w:tc>
        <w:tc>
          <w:tcPr>
            <w:tcW w:w="936" w:type="pct"/>
            <w:tcBorders>
              <w:top w:val="single" w:color="auto" w:sz="4" w:space="0"/>
              <w:left w:val="nil"/>
              <w:bottom w:val="single" w:color="auto" w:sz="4" w:space="0"/>
              <w:right w:val="single" w:color="auto" w:sz="4" w:space="0"/>
            </w:tcBorders>
            <w:shd w:val="clear" w:color="auto" w:fill="auto"/>
            <w:vAlign w:val="center"/>
          </w:tcPr>
          <w:p w14:paraId="74838798">
            <w:pPr>
              <w:pStyle w:val="57"/>
              <w:jc w:val="center"/>
              <w:rPr>
                <w:rFonts w:ascii="Times New Roman" w:cs="Times New Roman"/>
              </w:rPr>
            </w:pPr>
            <w:r>
              <w:rPr>
                <w:rFonts w:ascii="Times New Roman" w:cs="Times New Roman"/>
              </w:rPr>
              <w:t>防洪、引排</w:t>
            </w:r>
          </w:p>
        </w:tc>
        <w:tc>
          <w:tcPr>
            <w:tcW w:w="1039" w:type="pct"/>
            <w:tcBorders>
              <w:top w:val="single" w:color="auto" w:sz="4" w:space="0"/>
              <w:left w:val="nil"/>
              <w:bottom w:val="single" w:color="auto" w:sz="4" w:space="0"/>
              <w:right w:val="single" w:color="auto" w:sz="4" w:space="0"/>
            </w:tcBorders>
            <w:shd w:val="clear" w:color="auto" w:fill="auto"/>
            <w:vAlign w:val="center"/>
          </w:tcPr>
          <w:p w14:paraId="53E47146">
            <w:pPr>
              <w:pStyle w:val="57"/>
              <w:jc w:val="center"/>
              <w:rPr>
                <w:rFonts w:ascii="Times New Roman" w:cs="Times New Roman"/>
              </w:rPr>
            </w:pPr>
            <w:r>
              <w:rPr>
                <w:rFonts w:ascii="Times New Roman" w:cs="Times New Roman"/>
              </w:rPr>
              <w:t>15</w:t>
            </w:r>
          </w:p>
        </w:tc>
      </w:tr>
      <w:tr w14:paraId="7DB524CD">
        <w:tblPrEx>
          <w:tblCellMar>
            <w:top w:w="0" w:type="dxa"/>
            <w:left w:w="108" w:type="dxa"/>
            <w:bottom w:w="0" w:type="dxa"/>
            <w:right w:w="108" w:type="dxa"/>
          </w:tblCellMar>
        </w:tblPrEx>
        <w:trPr>
          <w:trHeight w:val="20" w:hRule="atLeast"/>
        </w:trPr>
        <w:tc>
          <w:tcPr>
            <w:tcW w:w="533" w:type="pct"/>
            <w:tcBorders>
              <w:top w:val="nil"/>
              <w:left w:val="single" w:color="auto" w:sz="4" w:space="0"/>
              <w:bottom w:val="single" w:color="auto" w:sz="4" w:space="0"/>
              <w:right w:val="single" w:color="auto" w:sz="4" w:space="0"/>
            </w:tcBorders>
            <w:shd w:val="clear" w:color="auto" w:fill="auto"/>
            <w:vAlign w:val="center"/>
          </w:tcPr>
          <w:p w14:paraId="604A8B2E">
            <w:pPr>
              <w:pStyle w:val="57"/>
              <w:jc w:val="center"/>
              <w:rPr>
                <w:rFonts w:ascii="Times New Roman" w:cs="Times New Roman"/>
              </w:rPr>
            </w:pPr>
          </w:p>
        </w:tc>
        <w:tc>
          <w:tcPr>
            <w:tcW w:w="4467" w:type="pct"/>
            <w:gridSpan w:val="4"/>
            <w:tcBorders>
              <w:top w:val="single" w:color="auto" w:sz="4" w:space="0"/>
              <w:left w:val="nil"/>
              <w:bottom w:val="single" w:color="auto" w:sz="4" w:space="0"/>
              <w:right w:val="single" w:color="auto" w:sz="4" w:space="0"/>
            </w:tcBorders>
            <w:shd w:val="clear" w:color="auto" w:fill="auto"/>
            <w:vAlign w:val="center"/>
          </w:tcPr>
          <w:p w14:paraId="0E2CF487">
            <w:pPr>
              <w:pStyle w:val="57"/>
              <w:jc w:val="center"/>
              <w:rPr>
                <w:rFonts w:ascii="Times New Roman" w:cs="Times New Roman"/>
                <w:b/>
                <w:bCs/>
              </w:rPr>
            </w:pPr>
            <w:r>
              <w:rPr>
                <w:rFonts w:ascii="Times New Roman" w:cs="Times New Roman"/>
                <w:b/>
                <w:bCs/>
              </w:rPr>
              <w:t>医药高新区（高港区）</w:t>
            </w:r>
          </w:p>
        </w:tc>
      </w:tr>
      <w:tr w14:paraId="4AFFD48C">
        <w:tblPrEx>
          <w:tblCellMar>
            <w:top w:w="0" w:type="dxa"/>
            <w:left w:w="108" w:type="dxa"/>
            <w:bottom w:w="0" w:type="dxa"/>
            <w:right w:w="108" w:type="dxa"/>
          </w:tblCellMar>
        </w:tblPrEx>
        <w:trPr>
          <w:trHeight w:val="20" w:hRule="atLeast"/>
        </w:trPr>
        <w:tc>
          <w:tcPr>
            <w:tcW w:w="533" w:type="pct"/>
            <w:tcBorders>
              <w:top w:val="nil"/>
              <w:left w:val="single" w:color="auto" w:sz="4" w:space="0"/>
              <w:bottom w:val="single" w:color="auto" w:sz="4" w:space="0"/>
              <w:right w:val="single" w:color="auto" w:sz="4" w:space="0"/>
            </w:tcBorders>
            <w:shd w:val="clear" w:color="auto" w:fill="auto"/>
            <w:vAlign w:val="center"/>
          </w:tcPr>
          <w:p w14:paraId="314C0236">
            <w:pPr>
              <w:pStyle w:val="57"/>
              <w:jc w:val="center"/>
              <w:rPr>
                <w:rFonts w:ascii="Times New Roman" w:cs="Times New Roman"/>
              </w:rPr>
            </w:pPr>
            <w:r>
              <w:rPr>
                <w:rFonts w:ascii="Times New Roman" w:cs="Times New Roman"/>
              </w:rPr>
              <w:t>41</w:t>
            </w:r>
          </w:p>
        </w:tc>
        <w:tc>
          <w:tcPr>
            <w:tcW w:w="853" w:type="pct"/>
            <w:tcBorders>
              <w:top w:val="nil"/>
              <w:left w:val="nil"/>
              <w:bottom w:val="single" w:color="auto" w:sz="4" w:space="0"/>
              <w:right w:val="single" w:color="auto" w:sz="4" w:space="0"/>
            </w:tcBorders>
            <w:shd w:val="clear" w:color="auto" w:fill="auto"/>
            <w:vAlign w:val="center"/>
          </w:tcPr>
          <w:p w14:paraId="691B2535">
            <w:pPr>
              <w:pStyle w:val="57"/>
              <w:jc w:val="center"/>
              <w:rPr>
                <w:rFonts w:ascii="Times New Roman" w:cs="Times New Roman"/>
              </w:rPr>
            </w:pPr>
            <w:r>
              <w:rPr>
                <w:rFonts w:ascii="Times New Roman" w:cs="Times New Roman"/>
              </w:rPr>
              <w:t>周山河套闸</w:t>
            </w:r>
          </w:p>
        </w:tc>
        <w:tc>
          <w:tcPr>
            <w:tcW w:w="1639" w:type="pct"/>
            <w:tcBorders>
              <w:top w:val="nil"/>
              <w:left w:val="nil"/>
              <w:bottom w:val="single" w:color="auto" w:sz="4" w:space="0"/>
              <w:right w:val="single" w:color="auto" w:sz="4" w:space="0"/>
            </w:tcBorders>
            <w:shd w:val="clear" w:color="auto" w:fill="auto"/>
            <w:vAlign w:val="center"/>
          </w:tcPr>
          <w:p w14:paraId="6E8D0D1A">
            <w:pPr>
              <w:pStyle w:val="57"/>
              <w:jc w:val="center"/>
              <w:rPr>
                <w:rFonts w:ascii="Times New Roman" w:cs="Times New Roman"/>
              </w:rPr>
            </w:pPr>
            <w:r>
              <w:rPr>
                <w:rFonts w:ascii="Times New Roman" w:cs="Times New Roman"/>
              </w:rPr>
              <w:t>明珠街道</w:t>
            </w:r>
          </w:p>
        </w:tc>
        <w:tc>
          <w:tcPr>
            <w:tcW w:w="936" w:type="pct"/>
            <w:tcBorders>
              <w:top w:val="nil"/>
              <w:left w:val="nil"/>
              <w:bottom w:val="single" w:color="auto" w:sz="4" w:space="0"/>
              <w:right w:val="single" w:color="auto" w:sz="4" w:space="0"/>
            </w:tcBorders>
            <w:shd w:val="clear" w:color="auto" w:fill="auto"/>
            <w:vAlign w:val="center"/>
          </w:tcPr>
          <w:p w14:paraId="2E699BC3">
            <w:pPr>
              <w:pStyle w:val="57"/>
              <w:jc w:val="center"/>
              <w:rPr>
                <w:rFonts w:ascii="Times New Roman" w:cs="Times New Roman"/>
              </w:rPr>
            </w:pPr>
            <w:r>
              <w:rPr>
                <w:rFonts w:ascii="Times New Roman" w:cs="Times New Roman"/>
              </w:rPr>
              <w:t>防洪、船运</w:t>
            </w:r>
          </w:p>
        </w:tc>
        <w:tc>
          <w:tcPr>
            <w:tcW w:w="1039" w:type="pct"/>
            <w:tcBorders>
              <w:top w:val="nil"/>
              <w:left w:val="nil"/>
              <w:bottom w:val="single" w:color="auto" w:sz="4" w:space="0"/>
              <w:right w:val="single" w:color="auto" w:sz="4" w:space="0"/>
            </w:tcBorders>
            <w:shd w:val="clear" w:color="auto" w:fill="auto"/>
            <w:vAlign w:val="center"/>
          </w:tcPr>
          <w:p w14:paraId="23CFFA1B">
            <w:pPr>
              <w:pStyle w:val="57"/>
              <w:jc w:val="center"/>
              <w:rPr>
                <w:rFonts w:ascii="Times New Roman" w:cs="Times New Roman"/>
              </w:rPr>
            </w:pPr>
            <w:r>
              <w:rPr>
                <w:rFonts w:ascii="Times New Roman" w:cs="Times New Roman"/>
              </w:rPr>
              <w:t>100</w:t>
            </w:r>
          </w:p>
        </w:tc>
      </w:tr>
    </w:tbl>
    <w:p w14:paraId="64BA5830">
      <w:pPr>
        <w:ind w:firstLine="480"/>
      </w:pPr>
    </w:p>
    <w:p w14:paraId="60FDB2FD">
      <w:pPr>
        <w:ind w:firstLine="480"/>
      </w:pPr>
      <w:r>
        <w:br w:type="page"/>
      </w:r>
    </w:p>
    <w:p w14:paraId="488CBA60">
      <w:pPr>
        <w:pStyle w:val="64"/>
      </w:pPr>
      <w:r>
        <w:rPr>
          <w:rFonts w:hint="eastAsia"/>
        </w:rPr>
        <w:t>附表3</w:t>
      </w:r>
      <w:r>
        <w:t xml:space="preserve">-5 </w:t>
      </w:r>
      <w:r>
        <w:rPr>
          <w:rFonts w:hint="eastAsia"/>
        </w:rPr>
        <w:t>泰州通南保水控制工程名录表</w:t>
      </w:r>
    </w:p>
    <w:tbl>
      <w:tblPr>
        <w:tblStyle w:val="29"/>
        <w:tblW w:w="5000" w:type="pct"/>
        <w:tblInd w:w="0" w:type="dxa"/>
        <w:tblLayout w:type="autofit"/>
        <w:tblCellMar>
          <w:top w:w="0" w:type="dxa"/>
          <w:left w:w="108" w:type="dxa"/>
          <w:bottom w:w="0" w:type="dxa"/>
          <w:right w:w="108" w:type="dxa"/>
        </w:tblCellMar>
      </w:tblPr>
      <w:tblGrid>
        <w:gridCol w:w="872"/>
        <w:gridCol w:w="1773"/>
        <w:gridCol w:w="2775"/>
        <w:gridCol w:w="2074"/>
        <w:gridCol w:w="1588"/>
      </w:tblGrid>
      <w:tr w14:paraId="6CD45569">
        <w:trPr>
          <w:trHeight w:val="359" w:hRule="atLeast"/>
          <w:tblHeader/>
        </w:trPr>
        <w:tc>
          <w:tcPr>
            <w:tcW w:w="48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17DCBB">
            <w:pPr>
              <w:pStyle w:val="57"/>
              <w:rPr>
                <w:rFonts w:ascii="Times New Roman" w:cs="Times New Roman"/>
                <w:b/>
              </w:rPr>
            </w:pPr>
            <w:r>
              <w:rPr>
                <w:rFonts w:ascii="Times New Roman" w:cs="Times New Roman"/>
                <w:b/>
              </w:rPr>
              <w:t>序号</w:t>
            </w:r>
          </w:p>
        </w:tc>
        <w:tc>
          <w:tcPr>
            <w:tcW w:w="97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AE5AB6">
            <w:pPr>
              <w:pStyle w:val="57"/>
              <w:rPr>
                <w:rFonts w:ascii="Times New Roman" w:cs="Times New Roman"/>
                <w:b/>
              </w:rPr>
            </w:pPr>
            <w:r>
              <w:rPr>
                <w:rFonts w:ascii="Times New Roman" w:cs="Times New Roman"/>
                <w:b/>
              </w:rPr>
              <w:t>市（区）</w:t>
            </w:r>
          </w:p>
        </w:tc>
        <w:tc>
          <w:tcPr>
            <w:tcW w:w="152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0900C8">
            <w:pPr>
              <w:pStyle w:val="57"/>
              <w:rPr>
                <w:rFonts w:ascii="Times New Roman" w:cs="Times New Roman"/>
                <w:b/>
              </w:rPr>
            </w:pPr>
            <w:r>
              <w:rPr>
                <w:rFonts w:ascii="Times New Roman" w:cs="Times New Roman"/>
                <w:b/>
              </w:rPr>
              <w:t>闸名称</w:t>
            </w:r>
          </w:p>
        </w:tc>
        <w:tc>
          <w:tcPr>
            <w:tcW w:w="114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4E0925">
            <w:pPr>
              <w:pStyle w:val="57"/>
              <w:rPr>
                <w:rFonts w:ascii="Times New Roman" w:cs="Times New Roman"/>
                <w:b/>
              </w:rPr>
            </w:pPr>
            <w:r>
              <w:rPr>
                <w:rFonts w:ascii="Times New Roman" w:cs="Times New Roman"/>
                <w:b/>
              </w:rPr>
              <w:t>工程所在河道</w:t>
            </w:r>
          </w:p>
        </w:tc>
        <w:tc>
          <w:tcPr>
            <w:tcW w:w="87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D68E3A">
            <w:pPr>
              <w:pStyle w:val="57"/>
              <w:rPr>
                <w:rFonts w:ascii="Times New Roman" w:cs="Times New Roman"/>
                <w:b/>
              </w:rPr>
            </w:pPr>
            <w:r>
              <w:rPr>
                <w:rFonts w:ascii="Times New Roman" w:cs="Times New Roman"/>
                <w:b/>
              </w:rPr>
              <w:t>流量(m</w:t>
            </w:r>
            <w:r>
              <w:rPr>
                <w:rFonts w:ascii="Times New Roman" w:cs="Times New Roman"/>
                <w:b/>
                <w:vertAlign w:val="superscript"/>
              </w:rPr>
              <w:t>3</w:t>
            </w:r>
            <w:r>
              <w:rPr>
                <w:rFonts w:ascii="Times New Roman" w:cs="Times New Roman"/>
                <w:b/>
              </w:rPr>
              <w:t>/s)</w:t>
            </w:r>
          </w:p>
        </w:tc>
      </w:tr>
      <w:tr w14:paraId="4BCE5B57">
        <w:tblPrEx>
          <w:tblCellMar>
            <w:top w:w="0" w:type="dxa"/>
            <w:left w:w="108" w:type="dxa"/>
            <w:bottom w:w="0" w:type="dxa"/>
            <w:right w:w="108" w:type="dxa"/>
          </w:tblCellMar>
        </w:tblPrEx>
        <w:trPr>
          <w:trHeight w:val="379" w:hRule="atLeast"/>
        </w:trPr>
        <w:tc>
          <w:tcPr>
            <w:tcW w:w="480" w:type="pct"/>
            <w:vMerge w:val="continue"/>
            <w:tcBorders>
              <w:top w:val="single" w:color="000000" w:sz="4" w:space="0"/>
              <w:left w:val="single" w:color="000000" w:sz="4" w:space="0"/>
              <w:bottom w:val="single" w:color="000000" w:sz="4" w:space="0"/>
              <w:right w:val="single" w:color="000000" w:sz="4" w:space="0"/>
            </w:tcBorders>
            <w:vAlign w:val="center"/>
          </w:tcPr>
          <w:p w14:paraId="59ABA51D">
            <w:pPr>
              <w:pStyle w:val="57"/>
              <w:rPr>
                <w:rFonts w:ascii="Times New Roman" w:cs="Times New Roman"/>
              </w:rPr>
            </w:pPr>
          </w:p>
        </w:tc>
        <w:tc>
          <w:tcPr>
            <w:tcW w:w="976" w:type="pct"/>
            <w:vMerge w:val="continue"/>
            <w:tcBorders>
              <w:top w:val="single" w:color="000000" w:sz="4" w:space="0"/>
              <w:left w:val="single" w:color="000000" w:sz="4" w:space="0"/>
              <w:bottom w:val="single" w:color="000000" w:sz="4" w:space="0"/>
              <w:right w:val="single" w:color="000000" w:sz="4" w:space="0"/>
            </w:tcBorders>
            <w:vAlign w:val="center"/>
          </w:tcPr>
          <w:p w14:paraId="4BCF7EA8">
            <w:pPr>
              <w:pStyle w:val="57"/>
              <w:rPr>
                <w:rFonts w:ascii="Times New Roman" w:cs="Times New Roman"/>
              </w:rPr>
            </w:pPr>
          </w:p>
        </w:tc>
        <w:tc>
          <w:tcPr>
            <w:tcW w:w="1528" w:type="pct"/>
            <w:vMerge w:val="continue"/>
            <w:tcBorders>
              <w:top w:val="single" w:color="000000" w:sz="4" w:space="0"/>
              <w:left w:val="single" w:color="000000" w:sz="4" w:space="0"/>
              <w:bottom w:val="single" w:color="000000" w:sz="4" w:space="0"/>
              <w:right w:val="single" w:color="000000" w:sz="4" w:space="0"/>
            </w:tcBorders>
            <w:vAlign w:val="center"/>
          </w:tcPr>
          <w:p w14:paraId="70676FAD">
            <w:pPr>
              <w:pStyle w:val="57"/>
              <w:rPr>
                <w:rFonts w:ascii="Times New Roman" w:cs="Times New Roman"/>
              </w:rPr>
            </w:pPr>
          </w:p>
        </w:tc>
        <w:tc>
          <w:tcPr>
            <w:tcW w:w="1142" w:type="pct"/>
            <w:vMerge w:val="continue"/>
            <w:tcBorders>
              <w:top w:val="single" w:color="000000" w:sz="4" w:space="0"/>
              <w:left w:val="single" w:color="000000" w:sz="4" w:space="0"/>
              <w:bottom w:val="single" w:color="000000" w:sz="4" w:space="0"/>
              <w:right w:val="single" w:color="000000" w:sz="4" w:space="0"/>
            </w:tcBorders>
            <w:vAlign w:val="center"/>
          </w:tcPr>
          <w:p w14:paraId="7B3777DD">
            <w:pPr>
              <w:pStyle w:val="57"/>
              <w:rPr>
                <w:rFonts w:ascii="Times New Roman" w:cs="Times New Roman"/>
              </w:rPr>
            </w:pPr>
          </w:p>
        </w:tc>
        <w:tc>
          <w:tcPr>
            <w:tcW w:w="875" w:type="pct"/>
            <w:vMerge w:val="continue"/>
            <w:tcBorders>
              <w:top w:val="single" w:color="000000" w:sz="4" w:space="0"/>
              <w:left w:val="single" w:color="000000" w:sz="4" w:space="0"/>
              <w:bottom w:val="single" w:color="000000" w:sz="4" w:space="0"/>
              <w:right w:val="single" w:color="000000" w:sz="4" w:space="0"/>
            </w:tcBorders>
            <w:vAlign w:val="center"/>
          </w:tcPr>
          <w:p w14:paraId="1C58A0A4">
            <w:pPr>
              <w:pStyle w:val="57"/>
              <w:rPr>
                <w:rFonts w:ascii="Times New Roman" w:cs="Times New Roman"/>
              </w:rPr>
            </w:pPr>
          </w:p>
        </w:tc>
      </w:tr>
      <w:tr w14:paraId="76CDBDE2">
        <w:tblPrEx>
          <w:tblCellMar>
            <w:top w:w="0" w:type="dxa"/>
            <w:left w:w="108" w:type="dxa"/>
            <w:bottom w:w="0" w:type="dxa"/>
            <w:right w:w="108" w:type="dxa"/>
          </w:tblCellMar>
        </w:tblPrEx>
        <w:trPr>
          <w:trHeight w:val="20" w:hRule="atLeast"/>
        </w:trPr>
        <w:tc>
          <w:tcPr>
            <w:tcW w:w="480" w:type="pct"/>
            <w:tcBorders>
              <w:top w:val="nil"/>
              <w:left w:val="single" w:color="000000" w:sz="4" w:space="0"/>
              <w:bottom w:val="single" w:color="000000" w:sz="4" w:space="0"/>
              <w:right w:val="single" w:color="000000" w:sz="4" w:space="0"/>
            </w:tcBorders>
            <w:shd w:val="clear" w:color="auto" w:fill="auto"/>
            <w:vAlign w:val="center"/>
          </w:tcPr>
          <w:p w14:paraId="171ACDE1">
            <w:pPr>
              <w:pStyle w:val="57"/>
              <w:rPr>
                <w:rFonts w:ascii="Times New Roman" w:cs="Times New Roman"/>
              </w:rPr>
            </w:pPr>
            <w:r>
              <w:rPr>
                <w:rFonts w:ascii="Times New Roman" w:cs="Times New Roman"/>
              </w:rPr>
              <w:t>1</w:t>
            </w:r>
          </w:p>
        </w:tc>
        <w:tc>
          <w:tcPr>
            <w:tcW w:w="976" w:type="pct"/>
            <w:tcBorders>
              <w:top w:val="nil"/>
              <w:left w:val="nil"/>
              <w:bottom w:val="single" w:color="000000" w:sz="4" w:space="0"/>
              <w:right w:val="single" w:color="000000" w:sz="4" w:space="0"/>
            </w:tcBorders>
            <w:shd w:val="clear" w:color="auto" w:fill="auto"/>
            <w:vAlign w:val="center"/>
          </w:tcPr>
          <w:p w14:paraId="3FE82DF3">
            <w:pPr>
              <w:pStyle w:val="57"/>
              <w:rPr>
                <w:rFonts w:ascii="Times New Roman" w:cs="Times New Roman"/>
              </w:rPr>
            </w:pPr>
            <w:r>
              <w:rPr>
                <w:rFonts w:ascii="Times New Roman" w:cs="Times New Roman"/>
              </w:rPr>
              <w:t>姜堰区</w:t>
            </w:r>
          </w:p>
        </w:tc>
        <w:tc>
          <w:tcPr>
            <w:tcW w:w="1528" w:type="pct"/>
            <w:tcBorders>
              <w:top w:val="nil"/>
              <w:left w:val="nil"/>
              <w:bottom w:val="single" w:color="000000" w:sz="4" w:space="0"/>
              <w:right w:val="single" w:color="000000" w:sz="4" w:space="0"/>
            </w:tcBorders>
            <w:shd w:val="clear" w:color="auto" w:fill="auto"/>
            <w:vAlign w:val="center"/>
          </w:tcPr>
          <w:p w14:paraId="3DE030B3">
            <w:pPr>
              <w:pStyle w:val="57"/>
              <w:rPr>
                <w:rFonts w:ascii="Times New Roman" w:cs="Times New Roman"/>
              </w:rPr>
            </w:pPr>
            <w:r>
              <w:rPr>
                <w:rFonts w:ascii="Times New Roman" w:cs="Times New Roman"/>
              </w:rPr>
              <w:t>南干河南港套闸</w:t>
            </w:r>
          </w:p>
        </w:tc>
        <w:tc>
          <w:tcPr>
            <w:tcW w:w="1142" w:type="pct"/>
            <w:tcBorders>
              <w:top w:val="nil"/>
              <w:left w:val="nil"/>
              <w:bottom w:val="single" w:color="000000" w:sz="4" w:space="0"/>
              <w:right w:val="single" w:color="000000" w:sz="4" w:space="0"/>
            </w:tcBorders>
            <w:shd w:val="clear" w:color="auto" w:fill="auto"/>
            <w:vAlign w:val="center"/>
          </w:tcPr>
          <w:p w14:paraId="01E2A67D">
            <w:pPr>
              <w:pStyle w:val="57"/>
              <w:rPr>
                <w:rFonts w:ascii="Times New Roman" w:cs="Times New Roman"/>
              </w:rPr>
            </w:pPr>
            <w:r>
              <w:rPr>
                <w:rFonts w:ascii="Times New Roman" w:cs="Times New Roman"/>
              </w:rPr>
              <w:t>南干河</w:t>
            </w:r>
          </w:p>
        </w:tc>
        <w:tc>
          <w:tcPr>
            <w:tcW w:w="875" w:type="pct"/>
            <w:tcBorders>
              <w:top w:val="nil"/>
              <w:left w:val="nil"/>
              <w:bottom w:val="single" w:color="000000" w:sz="4" w:space="0"/>
              <w:right w:val="single" w:color="000000" w:sz="4" w:space="0"/>
            </w:tcBorders>
            <w:shd w:val="clear" w:color="auto" w:fill="auto"/>
            <w:vAlign w:val="center"/>
          </w:tcPr>
          <w:p w14:paraId="175C3A6D">
            <w:pPr>
              <w:pStyle w:val="57"/>
              <w:rPr>
                <w:rFonts w:ascii="Times New Roman" w:cs="Times New Roman"/>
              </w:rPr>
            </w:pPr>
            <w:r>
              <w:rPr>
                <w:rFonts w:ascii="Times New Roman" w:cs="Times New Roman"/>
              </w:rPr>
              <w:t>60</w:t>
            </w:r>
          </w:p>
        </w:tc>
      </w:tr>
      <w:tr w14:paraId="32A61A50">
        <w:tblPrEx>
          <w:tblCellMar>
            <w:top w:w="0" w:type="dxa"/>
            <w:left w:w="108" w:type="dxa"/>
            <w:bottom w:w="0" w:type="dxa"/>
            <w:right w:w="108" w:type="dxa"/>
          </w:tblCellMar>
        </w:tblPrEx>
        <w:trPr>
          <w:trHeight w:val="20" w:hRule="atLeast"/>
        </w:trPr>
        <w:tc>
          <w:tcPr>
            <w:tcW w:w="480" w:type="pct"/>
            <w:tcBorders>
              <w:top w:val="nil"/>
              <w:left w:val="single" w:color="000000" w:sz="4" w:space="0"/>
              <w:bottom w:val="single" w:color="000000" w:sz="4" w:space="0"/>
              <w:right w:val="single" w:color="000000" w:sz="4" w:space="0"/>
            </w:tcBorders>
            <w:shd w:val="clear" w:color="auto" w:fill="auto"/>
            <w:vAlign w:val="center"/>
          </w:tcPr>
          <w:p w14:paraId="11F2E3F4">
            <w:pPr>
              <w:pStyle w:val="57"/>
              <w:rPr>
                <w:rFonts w:ascii="Times New Roman" w:cs="Times New Roman"/>
              </w:rPr>
            </w:pPr>
            <w:r>
              <w:rPr>
                <w:rFonts w:ascii="Times New Roman" w:cs="Times New Roman"/>
              </w:rPr>
              <w:t>2</w:t>
            </w:r>
          </w:p>
        </w:tc>
        <w:tc>
          <w:tcPr>
            <w:tcW w:w="976" w:type="pct"/>
            <w:tcBorders>
              <w:top w:val="nil"/>
              <w:left w:val="nil"/>
              <w:bottom w:val="single" w:color="000000" w:sz="4" w:space="0"/>
              <w:right w:val="single" w:color="000000" w:sz="4" w:space="0"/>
            </w:tcBorders>
            <w:shd w:val="clear" w:color="auto" w:fill="auto"/>
            <w:vAlign w:val="center"/>
          </w:tcPr>
          <w:p w14:paraId="7FD4EFCD">
            <w:pPr>
              <w:pStyle w:val="57"/>
              <w:rPr>
                <w:rFonts w:ascii="Times New Roman" w:cs="Times New Roman"/>
              </w:rPr>
            </w:pPr>
            <w:r>
              <w:rPr>
                <w:rFonts w:ascii="Times New Roman" w:cs="Times New Roman"/>
              </w:rPr>
              <w:t>姜堰区</w:t>
            </w:r>
          </w:p>
        </w:tc>
        <w:tc>
          <w:tcPr>
            <w:tcW w:w="1528" w:type="pct"/>
            <w:tcBorders>
              <w:top w:val="nil"/>
              <w:left w:val="nil"/>
              <w:bottom w:val="single" w:color="000000" w:sz="4" w:space="0"/>
              <w:right w:val="single" w:color="000000" w:sz="4" w:space="0"/>
            </w:tcBorders>
            <w:shd w:val="clear" w:color="auto" w:fill="auto"/>
            <w:vAlign w:val="center"/>
          </w:tcPr>
          <w:p w14:paraId="48DD0B6B">
            <w:pPr>
              <w:pStyle w:val="57"/>
              <w:rPr>
                <w:rFonts w:ascii="Times New Roman" w:cs="Times New Roman"/>
              </w:rPr>
            </w:pPr>
            <w:r>
              <w:rPr>
                <w:rFonts w:ascii="Times New Roman" w:cs="Times New Roman"/>
              </w:rPr>
              <w:t>周山河周山套闸</w:t>
            </w:r>
          </w:p>
        </w:tc>
        <w:tc>
          <w:tcPr>
            <w:tcW w:w="1142" w:type="pct"/>
            <w:tcBorders>
              <w:top w:val="nil"/>
              <w:left w:val="nil"/>
              <w:bottom w:val="single" w:color="000000" w:sz="4" w:space="0"/>
              <w:right w:val="single" w:color="000000" w:sz="4" w:space="0"/>
            </w:tcBorders>
            <w:shd w:val="clear" w:color="auto" w:fill="auto"/>
            <w:vAlign w:val="center"/>
          </w:tcPr>
          <w:p w14:paraId="102FA4C2">
            <w:pPr>
              <w:pStyle w:val="57"/>
              <w:rPr>
                <w:rFonts w:ascii="Times New Roman" w:cs="Times New Roman"/>
              </w:rPr>
            </w:pPr>
            <w:r>
              <w:rPr>
                <w:rFonts w:ascii="Times New Roman" w:cs="Times New Roman"/>
              </w:rPr>
              <w:t>周山河</w:t>
            </w:r>
          </w:p>
        </w:tc>
        <w:tc>
          <w:tcPr>
            <w:tcW w:w="875" w:type="pct"/>
            <w:tcBorders>
              <w:top w:val="nil"/>
              <w:left w:val="nil"/>
              <w:bottom w:val="single" w:color="000000" w:sz="4" w:space="0"/>
              <w:right w:val="single" w:color="000000" w:sz="4" w:space="0"/>
            </w:tcBorders>
            <w:shd w:val="clear" w:color="auto" w:fill="auto"/>
            <w:vAlign w:val="center"/>
          </w:tcPr>
          <w:p w14:paraId="5D276B8D">
            <w:pPr>
              <w:pStyle w:val="57"/>
              <w:rPr>
                <w:rFonts w:ascii="Times New Roman" w:cs="Times New Roman"/>
              </w:rPr>
            </w:pPr>
            <w:r>
              <w:rPr>
                <w:rFonts w:ascii="Times New Roman" w:cs="Times New Roman"/>
              </w:rPr>
              <w:t>60</w:t>
            </w:r>
          </w:p>
        </w:tc>
      </w:tr>
      <w:tr w14:paraId="168E746E">
        <w:tblPrEx>
          <w:tblCellMar>
            <w:top w:w="0" w:type="dxa"/>
            <w:left w:w="108" w:type="dxa"/>
            <w:bottom w:w="0" w:type="dxa"/>
            <w:right w:w="108" w:type="dxa"/>
          </w:tblCellMar>
        </w:tblPrEx>
        <w:trPr>
          <w:trHeight w:val="20" w:hRule="atLeast"/>
        </w:trPr>
        <w:tc>
          <w:tcPr>
            <w:tcW w:w="480" w:type="pct"/>
            <w:tcBorders>
              <w:top w:val="nil"/>
              <w:left w:val="single" w:color="000000" w:sz="4" w:space="0"/>
              <w:bottom w:val="single" w:color="000000" w:sz="4" w:space="0"/>
              <w:right w:val="single" w:color="000000" w:sz="4" w:space="0"/>
            </w:tcBorders>
            <w:shd w:val="clear" w:color="auto" w:fill="auto"/>
            <w:vAlign w:val="center"/>
          </w:tcPr>
          <w:p w14:paraId="2864A328">
            <w:pPr>
              <w:pStyle w:val="57"/>
              <w:rPr>
                <w:rFonts w:ascii="Times New Roman" w:cs="Times New Roman"/>
              </w:rPr>
            </w:pPr>
            <w:r>
              <w:rPr>
                <w:rFonts w:ascii="Times New Roman" w:cs="Times New Roman"/>
              </w:rPr>
              <w:t>3</w:t>
            </w:r>
          </w:p>
        </w:tc>
        <w:tc>
          <w:tcPr>
            <w:tcW w:w="976" w:type="pct"/>
            <w:tcBorders>
              <w:top w:val="nil"/>
              <w:left w:val="nil"/>
              <w:bottom w:val="single" w:color="000000" w:sz="4" w:space="0"/>
              <w:right w:val="single" w:color="000000" w:sz="4" w:space="0"/>
            </w:tcBorders>
            <w:shd w:val="clear" w:color="auto" w:fill="auto"/>
            <w:vAlign w:val="center"/>
          </w:tcPr>
          <w:p w14:paraId="5BB236AF">
            <w:pPr>
              <w:pStyle w:val="57"/>
              <w:rPr>
                <w:rFonts w:ascii="Times New Roman" w:cs="Times New Roman"/>
              </w:rPr>
            </w:pPr>
            <w:r>
              <w:rPr>
                <w:rFonts w:ascii="Times New Roman" w:cs="Times New Roman"/>
              </w:rPr>
              <w:t>姜堰区</w:t>
            </w:r>
          </w:p>
        </w:tc>
        <w:tc>
          <w:tcPr>
            <w:tcW w:w="1528" w:type="pct"/>
            <w:tcBorders>
              <w:top w:val="nil"/>
              <w:left w:val="nil"/>
              <w:bottom w:val="single" w:color="000000" w:sz="4" w:space="0"/>
              <w:right w:val="single" w:color="000000" w:sz="4" w:space="0"/>
            </w:tcBorders>
            <w:shd w:val="clear" w:color="auto" w:fill="auto"/>
            <w:vAlign w:val="center"/>
          </w:tcPr>
          <w:p w14:paraId="66104EE3">
            <w:pPr>
              <w:pStyle w:val="57"/>
              <w:rPr>
                <w:rFonts w:ascii="Times New Roman" w:cs="Times New Roman"/>
              </w:rPr>
            </w:pPr>
            <w:r>
              <w:rPr>
                <w:rFonts w:ascii="Times New Roman" w:cs="Times New Roman"/>
              </w:rPr>
              <w:t>老通扬运河闸</w:t>
            </w:r>
          </w:p>
        </w:tc>
        <w:tc>
          <w:tcPr>
            <w:tcW w:w="1142" w:type="pct"/>
            <w:tcBorders>
              <w:top w:val="nil"/>
              <w:left w:val="nil"/>
              <w:bottom w:val="single" w:color="000000" w:sz="4" w:space="0"/>
              <w:right w:val="single" w:color="000000" w:sz="4" w:space="0"/>
            </w:tcBorders>
            <w:shd w:val="clear" w:color="auto" w:fill="auto"/>
            <w:vAlign w:val="center"/>
          </w:tcPr>
          <w:p w14:paraId="1876BCDB">
            <w:pPr>
              <w:pStyle w:val="57"/>
              <w:rPr>
                <w:rFonts w:ascii="Times New Roman" w:cs="Times New Roman"/>
              </w:rPr>
            </w:pPr>
            <w:r>
              <w:rPr>
                <w:rFonts w:ascii="Times New Roman" w:cs="Times New Roman"/>
              </w:rPr>
              <w:t>老通扬运河</w:t>
            </w:r>
          </w:p>
        </w:tc>
        <w:tc>
          <w:tcPr>
            <w:tcW w:w="875" w:type="pct"/>
            <w:tcBorders>
              <w:top w:val="nil"/>
              <w:left w:val="nil"/>
              <w:bottom w:val="single" w:color="000000" w:sz="4" w:space="0"/>
              <w:right w:val="single" w:color="000000" w:sz="4" w:space="0"/>
            </w:tcBorders>
            <w:shd w:val="clear" w:color="auto" w:fill="auto"/>
            <w:vAlign w:val="center"/>
          </w:tcPr>
          <w:p w14:paraId="08A54D8E">
            <w:pPr>
              <w:pStyle w:val="57"/>
              <w:rPr>
                <w:rFonts w:ascii="Times New Roman" w:cs="Times New Roman"/>
              </w:rPr>
            </w:pPr>
            <w:r>
              <w:rPr>
                <w:rFonts w:ascii="Times New Roman" w:cs="Times New Roman"/>
              </w:rPr>
              <w:t>60</w:t>
            </w:r>
          </w:p>
        </w:tc>
      </w:tr>
      <w:tr w14:paraId="6C9CC01B">
        <w:tblPrEx>
          <w:tblCellMar>
            <w:top w:w="0" w:type="dxa"/>
            <w:left w:w="108" w:type="dxa"/>
            <w:bottom w:w="0" w:type="dxa"/>
            <w:right w:w="108" w:type="dxa"/>
          </w:tblCellMar>
        </w:tblPrEx>
        <w:trPr>
          <w:trHeight w:val="20" w:hRule="atLeast"/>
        </w:trPr>
        <w:tc>
          <w:tcPr>
            <w:tcW w:w="480" w:type="pct"/>
            <w:tcBorders>
              <w:top w:val="nil"/>
              <w:left w:val="single" w:color="000000" w:sz="4" w:space="0"/>
              <w:bottom w:val="single" w:color="000000" w:sz="4" w:space="0"/>
              <w:right w:val="single" w:color="000000" w:sz="4" w:space="0"/>
            </w:tcBorders>
            <w:shd w:val="clear" w:color="auto" w:fill="auto"/>
            <w:vAlign w:val="center"/>
          </w:tcPr>
          <w:p w14:paraId="49D47731">
            <w:pPr>
              <w:pStyle w:val="57"/>
              <w:rPr>
                <w:rFonts w:ascii="Times New Roman" w:cs="Times New Roman"/>
              </w:rPr>
            </w:pPr>
            <w:r>
              <w:rPr>
                <w:rFonts w:ascii="Times New Roman" w:cs="Times New Roman"/>
              </w:rPr>
              <w:t>4</w:t>
            </w:r>
          </w:p>
        </w:tc>
        <w:tc>
          <w:tcPr>
            <w:tcW w:w="976" w:type="pct"/>
            <w:tcBorders>
              <w:top w:val="nil"/>
              <w:left w:val="nil"/>
              <w:bottom w:val="single" w:color="000000" w:sz="4" w:space="0"/>
              <w:right w:val="single" w:color="000000" w:sz="4" w:space="0"/>
            </w:tcBorders>
            <w:shd w:val="clear" w:color="auto" w:fill="auto"/>
            <w:vAlign w:val="center"/>
          </w:tcPr>
          <w:p w14:paraId="61C28170">
            <w:pPr>
              <w:pStyle w:val="57"/>
              <w:rPr>
                <w:rFonts w:ascii="Times New Roman" w:cs="Times New Roman"/>
              </w:rPr>
            </w:pPr>
            <w:r>
              <w:rPr>
                <w:rFonts w:ascii="Times New Roman" w:cs="Times New Roman"/>
              </w:rPr>
              <w:t>姜堰区</w:t>
            </w:r>
          </w:p>
        </w:tc>
        <w:tc>
          <w:tcPr>
            <w:tcW w:w="1528" w:type="pct"/>
            <w:tcBorders>
              <w:top w:val="nil"/>
              <w:left w:val="nil"/>
              <w:bottom w:val="single" w:color="auto" w:sz="4" w:space="0"/>
              <w:right w:val="single" w:color="auto" w:sz="4" w:space="0"/>
            </w:tcBorders>
            <w:shd w:val="clear" w:color="auto" w:fill="auto"/>
            <w:vAlign w:val="center"/>
          </w:tcPr>
          <w:p w14:paraId="155CC647">
            <w:pPr>
              <w:pStyle w:val="57"/>
              <w:rPr>
                <w:rFonts w:ascii="Times New Roman" w:cs="Times New Roman"/>
              </w:rPr>
            </w:pPr>
            <w:r>
              <w:rPr>
                <w:rFonts w:ascii="Times New Roman" w:cs="Times New Roman"/>
              </w:rPr>
              <w:t>老生产河太平闸</w:t>
            </w:r>
          </w:p>
        </w:tc>
        <w:tc>
          <w:tcPr>
            <w:tcW w:w="1142" w:type="pct"/>
            <w:tcBorders>
              <w:top w:val="nil"/>
              <w:left w:val="nil"/>
              <w:bottom w:val="single" w:color="auto" w:sz="4" w:space="0"/>
              <w:right w:val="single" w:color="auto" w:sz="4" w:space="0"/>
            </w:tcBorders>
            <w:shd w:val="clear" w:color="auto" w:fill="auto"/>
            <w:vAlign w:val="center"/>
          </w:tcPr>
          <w:p w14:paraId="7765E189">
            <w:pPr>
              <w:pStyle w:val="57"/>
              <w:rPr>
                <w:rFonts w:ascii="Times New Roman" w:cs="Times New Roman"/>
              </w:rPr>
            </w:pPr>
            <w:r>
              <w:rPr>
                <w:rFonts w:ascii="Times New Roman" w:cs="Times New Roman"/>
              </w:rPr>
              <w:t>老生产河</w:t>
            </w:r>
          </w:p>
        </w:tc>
        <w:tc>
          <w:tcPr>
            <w:tcW w:w="875" w:type="pct"/>
            <w:tcBorders>
              <w:top w:val="nil"/>
              <w:left w:val="nil"/>
              <w:bottom w:val="single" w:color="000000" w:sz="4" w:space="0"/>
              <w:right w:val="single" w:color="000000" w:sz="4" w:space="0"/>
            </w:tcBorders>
            <w:shd w:val="clear" w:color="auto" w:fill="auto"/>
            <w:vAlign w:val="center"/>
          </w:tcPr>
          <w:p w14:paraId="3CEF6A3A">
            <w:pPr>
              <w:pStyle w:val="57"/>
              <w:rPr>
                <w:rFonts w:ascii="Times New Roman" w:cs="Times New Roman"/>
              </w:rPr>
            </w:pPr>
            <w:r>
              <w:rPr>
                <w:rFonts w:ascii="Times New Roman" w:cs="Times New Roman"/>
              </w:rPr>
              <w:t>15</w:t>
            </w:r>
          </w:p>
        </w:tc>
      </w:tr>
      <w:tr w14:paraId="267CF883">
        <w:tblPrEx>
          <w:tblCellMar>
            <w:top w:w="0" w:type="dxa"/>
            <w:left w:w="108" w:type="dxa"/>
            <w:bottom w:w="0" w:type="dxa"/>
            <w:right w:w="108" w:type="dxa"/>
          </w:tblCellMar>
        </w:tblPrEx>
        <w:trPr>
          <w:trHeight w:val="20" w:hRule="atLeast"/>
        </w:trPr>
        <w:tc>
          <w:tcPr>
            <w:tcW w:w="480" w:type="pct"/>
            <w:tcBorders>
              <w:top w:val="nil"/>
              <w:left w:val="single" w:color="000000" w:sz="4" w:space="0"/>
              <w:bottom w:val="single" w:color="000000" w:sz="4" w:space="0"/>
              <w:right w:val="single" w:color="000000" w:sz="4" w:space="0"/>
            </w:tcBorders>
            <w:shd w:val="clear" w:color="auto" w:fill="auto"/>
            <w:vAlign w:val="center"/>
          </w:tcPr>
          <w:p w14:paraId="401479BE">
            <w:pPr>
              <w:pStyle w:val="57"/>
              <w:rPr>
                <w:rFonts w:ascii="Times New Roman" w:cs="Times New Roman"/>
              </w:rPr>
            </w:pPr>
            <w:r>
              <w:rPr>
                <w:rFonts w:ascii="Times New Roman" w:cs="Times New Roman"/>
              </w:rPr>
              <w:t>5</w:t>
            </w:r>
          </w:p>
        </w:tc>
        <w:tc>
          <w:tcPr>
            <w:tcW w:w="976" w:type="pct"/>
            <w:tcBorders>
              <w:top w:val="nil"/>
              <w:left w:val="nil"/>
              <w:bottom w:val="single" w:color="000000" w:sz="4" w:space="0"/>
              <w:right w:val="single" w:color="000000" w:sz="4" w:space="0"/>
            </w:tcBorders>
            <w:shd w:val="clear" w:color="auto" w:fill="auto"/>
            <w:vAlign w:val="center"/>
          </w:tcPr>
          <w:p w14:paraId="4D264DD1">
            <w:pPr>
              <w:pStyle w:val="57"/>
              <w:rPr>
                <w:rFonts w:ascii="Times New Roman" w:cs="Times New Roman"/>
              </w:rPr>
            </w:pPr>
            <w:r>
              <w:rPr>
                <w:rFonts w:ascii="Times New Roman" w:cs="Times New Roman"/>
              </w:rPr>
              <w:t>姜堰区</w:t>
            </w:r>
          </w:p>
        </w:tc>
        <w:tc>
          <w:tcPr>
            <w:tcW w:w="1528" w:type="pct"/>
            <w:tcBorders>
              <w:top w:val="nil"/>
              <w:left w:val="nil"/>
              <w:bottom w:val="single" w:color="000000" w:sz="4" w:space="0"/>
              <w:right w:val="single" w:color="000000" w:sz="4" w:space="0"/>
            </w:tcBorders>
            <w:shd w:val="clear" w:color="auto" w:fill="auto"/>
            <w:vAlign w:val="center"/>
          </w:tcPr>
          <w:p w14:paraId="6DEF9DBF">
            <w:pPr>
              <w:pStyle w:val="57"/>
              <w:rPr>
                <w:rFonts w:ascii="Times New Roman" w:cs="Times New Roman"/>
              </w:rPr>
            </w:pPr>
            <w:r>
              <w:rPr>
                <w:rFonts w:ascii="Times New Roman" w:cs="Times New Roman"/>
              </w:rPr>
              <w:t>生产河朱宣闸</w:t>
            </w:r>
          </w:p>
        </w:tc>
        <w:tc>
          <w:tcPr>
            <w:tcW w:w="1142" w:type="pct"/>
            <w:tcBorders>
              <w:top w:val="nil"/>
              <w:left w:val="nil"/>
              <w:bottom w:val="single" w:color="000000" w:sz="4" w:space="0"/>
              <w:right w:val="single" w:color="000000" w:sz="4" w:space="0"/>
            </w:tcBorders>
            <w:shd w:val="clear" w:color="auto" w:fill="auto"/>
            <w:vAlign w:val="center"/>
          </w:tcPr>
          <w:p w14:paraId="1E5F3DEB">
            <w:pPr>
              <w:pStyle w:val="57"/>
              <w:rPr>
                <w:rFonts w:ascii="Times New Roman" w:cs="Times New Roman"/>
              </w:rPr>
            </w:pPr>
            <w:r>
              <w:rPr>
                <w:rFonts w:ascii="Times New Roman" w:cs="Times New Roman"/>
              </w:rPr>
              <w:t>生产河</w:t>
            </w:r>
          </w:p>
        </w:tc>
        <w:tc>
          <w:tcPr>
            <w:tcW w:w="875" w:type="pct"/>
            <w:tcBorders>
              <w:top w:val="nil"/>
              <w:left w:val="nil"/>
              <w:bottom w:val="single" w:color="000000" w:sz="4" w:space="0"/>
              <w:right w:val="single" w:color="000000" w:sz="4" w:space="0"/>
            </w:tcBorders>
            <w:shd w:val="clear" w:color="auto" w:fill="auto"/>
            <w:vAlign w:val="center"/>
          </w:tcPr>
          <w:p w14:paraId="584C3145">
            <w:pPr>
              <w:pStyle w:val="57"/>
              <w:rPr>
                <w:rFonts w:ascii="Times New Roman" w:cs="Times New Roman"/>
              </w:rPr>
            </w:pPr>
            <w:r>
              <w:rPr>
                <w:rFonts w:ascii="Times New Roman" w:cs="Times New Roman"/>
              </w:rPr>
              <w:t>15</w:t>
            </w:r>
          </w:p>
        </w:tc>
      </w:tr>
      <w:tr w14:paraId="26C1363D">
        <w:tblPrEx>
          <w:tblCellMar>
            <w:top w:w="0" w:type="dxa"/>
            <w:left w:w="108" w:type="dxa"/>
            <w:bottom w:w="0" w:type="dxa"/>
            <w:right w:w="108" w:type="dxa"/>
          </w:tblCellMar>
        </w:tblPrEx>
        <w:trPr>
          <w:trHeight w:val="20" w:hRule="atLeast"/>
        </w:trPr>
        <w:tc>
          <w:tcPr>
            <w:tcW w:w="480" w:type="pct"/>
            <w:tcBorders>
              <w:top w:val="nil"/>
              <w:left w:val="single" w:color="000000" w:sz="4" w:space="0"/>
              <w:bottom w:val="single" w:color="000000" w:sz="4" w:space="0"/>
              <w:right w:val="single" w:color="000000" w:sz="4" w:space="0"/>
            </w:tcBorders>
            <w:shd w:val="clear" w:color="auto" w:fill="auto"/>
            <w:vAlign w:val="center"/>
          </w:tcPr>
          <w:p w14:paraId="36BF1FD1">
            <w:pPr>
              <w:pStyle w:val="57"/>
              <w:rPr>
                <w:rFonts w:ascii="Times New Roman" w:cs="Times New Roman"/>
              </w:rPr>
            </w:pPr>
            <w:r>
              <w:rPr>
                <w:rFonts w:ascii="Times New Roman" w:cs="Times New Roman"/>
              </w:rPr>
              <w:t>6</w:t>
            </w:r>
          </w:p>
        </w:tc>
        <w:tc>
          <w:tcPr>
            <w:tcW w:w="976" w:type="pct"/>
            <w:tcBorders>
              <w:top w:val="nil"/>
              <w:left w:val="nil"/>
              <w:bottom w:val="single" w:color="auto" w:sz="4" w:space="0"/>
              <w:right w:val="single" w:color="auto" w:sz="4" w:space="0"/>
            </w:tcBorders>
            <w:shd w:val="clear" w:color="auto" w:fill="auto"/>
            <w:vAlign w:val="center"/>
          </w:tcPr>
          <w:p w14:paraId="28E3AA6B">
            <w:pPr>
              <w:pStyle w:val="57"/>
              <w:rPr>
                <w:rFonts w:ascii="Times New Roman" w:cs="Times New Roman"/>
              </w:rPr>
            </w:pPr>
            <w:r>
              <w:rPr>
                <w:rFonts w:ascii="Times New Roman" w:cs="Times New Roman"/>
              </w:rPr>
              <w:t>姜堰区</w:t>
            </w:r>
          </w:p>
        </w:tc>
        <w:tc>
          <w:tcPr>
            <w:tcW w:w="1528" w:type="pct"/>
            <w:tcBorders>
              <w:top w:val="nil"/>
              <w:left w:val="nil"/>
              <w:bottom w:val="single" w:color="auto" w:sz="4" w:space="0"/>
              <w:right w:val="single" w:color="auto" w:sz="4" w:space="0"/>
            </w:tcBorders>
            <w:shd w:val="clear" w:color="auto" w:fill="auto"/>
            <w:vAlign w:val="center"/>
          </w:tcPr>
          <w:p w14:paraId="65CAD67B">
            <w:pPr>
              <w:pStyle w:val="57"/>
              <w:rPr>
                <w:rFonts w:ascii="Times New Roman" w:cs="Times New Roman"/>
              </w:rPr>
            </w:pPr>
            <w:r>
              <w:rPr>
                <w:rFonts w:ascii="Times New Roman" w:cs="Times New Roman"/>
              </w:rPr>
              <w:t>新河涵洞</w:t>
            </w:r>
          </w:p>
        </w:tc>
        <w:tc>
          <w:tcPr>
            <w:tcW w:w="1142" w:type="pct"/>
            <w:tcBorders>
              <w:top w:val="nil"/>
              <w:left w:val="nil"/>
              <w:bottom w:val="single" w:color="auto" w:sz="4" w:space="0"/>
              <w:right w:val="single" w:color="auto" w:sz="4" w:space="0"/>
            </w:tcBorders>
            <w:shd w:val="clear" w:color="auto" w:fill="auto"/>
            <w:vAlign w:val="center"/>
          </w:tcPr>
          <w:p w14:paraId="21B64591">
            <w:pPr>
              <w:pStyle w:val="57"/>
              <w:rPr>
                <w:rFonts w:ascii="Times New Roman" w:cs="Times New Roman"/>
              </w:rPr>
            </w:pPr>
            <w:r>
              <w:rPr>
                <w:rFonts w:ascii="Times New Roman" w:cs="Times New Roman"/>
              </w:rPr>
              <w:t>新河</w:t>
            </w:r>
          </w:p>
        </w:tc>
        <w:tc>
          <w:tcPr>
            <w:tcW w:w="875" w:type="pct"/>
            <w:tcBorders>
              <w:top w:val="nil"/>
              <w:left w:val="nil"/>
              <w:bottom w:val="single" w:color="auto" w:sz="4" w:space="0"/>
              <w:right w:val="single" w:color="auto" w:sz="4" w:space="0"/>
            </w:tcBorders>
            <w:shd w:val="clear" w:color="auto" w:fill="auto"/>
            <w:vAlign w:val="center"/>
          </w:tcPr>
          <w:p w14:paraId="521DBE7E">
            <w:pPr>
              <w:pStyle w:val="57"/>
              <w:rPr>
                <w:rFonts w:ascii="Times New Roman" w:cs="Times New Roman"/>
              </w:rPr>
            </w:pPr>
            <w:r>
              <w:rPr>
                <w:rFonts w:ascii="Times New Roman" w:cs="Times New Roman"/>
              </w:rPr>
              <w:t>　</w:t>
            </w:r>
          </w:p>
        </w:tc>
      </w:tr>
      <w:tr w14:paraId="050C3A3D">
        <w:tblPrEx>
          <w:tblCellMar>
            <w:top w:w="0" w:type="dxa"/>
            <w:left w:w="108" w:type="dxa"/>
            <w:bottom w:w="0" w:type="dxa"/>
            <w:right w:w="108" w:type="dxa"/>
          </w:tblCellMar>
        </w:tblPrEx>
        <w:trPr>
          <w:trHeight w:val="20" w:hRule="atLeast"/>
        </w:trPr>
        <w:tc>
          <w:tcPr>
            <w:tcW w:w="480" w:type="pct"/>
            <w:tcBorders>
              <w:top w:val="nil"/>
              <w:left w:val="single" w:color="000000" w:sz="4" w:space="0"/>
              <w:bottom w:val="single" w:color="000000" w:sz="4" w:space="0"/>
              <w:right w:val="single" w:color="000000" w:sz="4" w:space="0"/>
            </w:tcBorders>
            <w:shd w:val="clear" w:color="auto" w:fill="auto"/>
            <w:vAlign w:val="center"/>
          </w:tcPr>
          <w:p w14:paraId="308E5494">
            <w:pPr>
              <w:pStyle w:val="57"/>
              <w:rPr>
                <w:rFonts w:ascii="Times New Roman" w:cs="Times New Roman"/>
              </w:rPr>
            </w:pPr>
            <w:r>
              <w:rPr>
                <w:rFonts w:ascii="Times New Roman" w:cs="Times New Roman"/>
              </w:rPr>
              <w:t>7</w:t>
            </w:r>
          </w:p>
        </w:tc>
        <w:tc>
          <w:tcPr>
            <w:tcW w:w="976" w:type="pct"/>
            <w:tcBorders>
              <w:top w:val="nil"/>
              <w:left w:val="nil"/>
              <w:bottom w:val="single" w:color="auto" w:sz="4" w:space="0"/>
              <w:right w:val="single" w:color="auto" w:sz="4" w:space="0"/>
            </w:tcBorders>
            <w:shd w:val="clear" w:color="auto" w:fill="auto"/>
            <w:vAlign w:val="center"/>
          </w:tcPr>
          <w:p w14:paraId="0F6B08BC">
            <w:pPr>
              <w:pStyle w:val="57"/>
              <w:rPr>
                <w:rFonts w:ascii="Times New Roman" w:cs="Times New Roman"/>
              </w:rPr>
            </w:pPr>
            <w:r>
              <w:rPr>
                <w:rFonts w:ascii="Times New Roman" w:cs="Times New Roman"/>
              </w:rPr>
              <w:t>姜堰区</w:t>
            </w:r>
          </w:p>
        </w:tc>
        <w:tc>
          <w:tcPr>
            <w:tcW w:w="1528" w:type="pct"/>
            <w:tcBorders>
              <w:top w:val="nil"/>
              <w:left w:val="nil"/>
              <w:bottom w:val="single" w:color="auto" w:sz="4" w:space="0"/>
              <w:right w:val="single" w:color="auto" w:sz="4" w:space="0"/>
            </w:tcBorders>
            <w:shd w:val="clear" w:color="auto" w:fill="auto"/>
            <w:vAlign w:val="center"/>
          </w:tcPr>
          <w:p w14:paraId="631441B8">
            <w:pPr>
              <w:pStyle w:val="57"/>
              <w:rPr>
                <w:rFonts w:ascii="Times New Roman" w:cs="Times New Roman"/>
              </w:rPr>
            </w:pPr>
            <w:r>
              <w:rPr>
                <w:rFonts w:ascii="Times New Roman" w:cs="Times New Roman"/>
              </w:rPr>
              <w:t>沐南河涵洞</w:t>
            </w:r>
          </w:p>
        </w:tc>
        <w:tc>
          <w:tcPr>
            <w:tcW w:w="1142" w:type="pct"/>
            <w:tcBorders>
              <w:top w:val="nil"/>
              <w:left w:val="nil"/>
              <w:bottom w:val="single" w:color="auto" w:sz="4" w:space="0"/>
              <w:right w:val="single" w:color="auto" w:sz="4" w:space="0"/>
            </w:tcBorders>
            <w:shd w:val="clear" w:color="auto" w:fill="auto"/>
            <w:vAlign w:val="center"/>
          </w:tcPr>
          <w:p w14:paraId="01BB88F8">
            <w:pPr>
              <w:pStyle w:val="57"/>
              <w:rPr>
                <w:rFonts w:ascii="Times New Roman" w:cs="Times New Roman"/>
              </w:rPr>
            </w:pPr>
            <w:r>
              <w:rPr>
                <w:rFonts w:ascii="Times New Roman" w:cs="Times New Roman"/>
              </w:rPr>
              <w:t>沐南河</w:t>
            </w:r>
          </w:p>
        </w:tc>
        <w:tc>
          <w:tcPr>
            <w:tcW w:w="875" w:type="pct"/>
            <w:tcBorders>
              <w:top w:val="nil"/>
              <w:left w:val="nil"/>
              <w:bottom w:val="single" w:color="auto" w:sz="4" w:space="0"/>
              <w:right w:val="single" w:color="auto" w:sz="4" w:space="0"/>
            </w:tcBorders>
            <w:shd w:val="clear" w:color="auto" w:fill="auto"/>
            <w:vAlign w:val="center"/>
          </w:tcPr>
          <w:p w14:paraId="77843510">
            <w:pPr>
              <w:pStyle w:val="57"/>
              <w:rPr>
                <w:rFonts w:ascii="Times New Roman" w:cs="Times New Roman"/>
              </w:rPr>
            </w:pPr>
            <w:r>
              <w:rPr>
                <w:rFonts w:ascii="Times New Roman" w:cs="Times New Roman"/>
              </w:rPr>
              <w:t>　</w:t>
            </w:r>
          </w:p>
        </w:tc>
      </w:tr>
      <w:tr w14:paraId="46763995">
        <w:tblPrEx>
          <w:tblCellMar>
            <w:top w:w="0" w:type="dxa"/>
            <w:left w:w="108" w:type="dxa"/>
            <w:bottom w:w="0" w:type="dxa"/>
            <w:right w:w="108" w:type="dxa"/>
          </w:tblCellMar>
        </w:tblPrEx>
        <w:trPr>
          <w:trHeight w:val="20" w:hRule="atLeast"/>
        </w:trPr>
        <w:tc>
          <w:tcPr>
            <w:tcW w:w="480" w:type="pct"/>
            <w:tcBorders>
              <w:top w:val="nil"/>
              <w:left w:val="single" w:color="000000" w:sz="4" w:space="0"/>
              <w:bottom w:val="single" w:color="000000" w:sz="4" w:space="0"/>
              <w:right w:val="single" w:color="000000" w:sz="4" w:space="0"/>
            </w:tcBorders>
            <w:shd w:val="clear" w:color="auto" w:fill="auto"/>
            <w:vAlign w:val="center"/>
          </w:tcPr>
          <w:p w14:paraId="0EF96085">
            <w:pPr>
              <w:pStyle w:val="57"/>
              <w:rPr>
                <w:rFonts w:ascii="Times New Roman" w:cs="Times New Roman"/>
              </w:rPr>
            </w:pPr>
            <w:r>
              <w:rPr>
                <w:rFonts w:ascii="Times New Roman" w:cs="Times New Roman"/>
              </w:rPr>
              <w:t>8</w:t>
            </w:r>
          </w:p>
        </w:tc>
        <w:tc>
          <w:tcPr>
            <w:tcW w:w="976" w:type="pct"/>
            <w:tcBorders>
              <w:top w:val="nil"/>
              <w:left w:val="nil"/>
              <w:bottom w:val="single" w:color="auto" w:sz="4" w:space="0"/>
              <w:right w:val="single" w:color="auto" w:sz="4" w:space="0"/>
            </w:tcBorders>
            <w:shd w:val="clear" w:color="auto" w:fill="auto"/>
            <w:vAlign w:val="center"/>
          </w:tcPr>
          <w:p w14:paraId="71658A78">
            <w:pPr>
              <w:pStyle w:val="57"/>
              <w:rPr>
                <w:rFonts w:ascii="Times New Roman" w:cs="Times New Roman"/>
              </w:rPr>
            </w:pPr>
            <w:r>
              <w:rPr>
                <w:rFonts w:ascii="Times New Roman" w:cs="Times New Roman"/>
              </w:rPr>
              <w:t>姜堰区</w:t>
            </w:r>
          </w:p>
        </w:tc>
        <w:tc>
          <w:tcPr>
            <w:tcW w:w="1528" w:type="pct"/>
            <w:tcBorders>
              <w:top w:val="nil"/>
              <w:left w:val="nil"/>
              <w:bottom w:val="single" w:color="auto" w:sz="4" w:space="0"/>
              <w:right w:val="single" w:color="auto" w:sz="4" w:space="0"/>
            </w:tcBorders>
            <w:shd w:val="clear" w:color="auto" w:fill="auto"/>
            <w:vAlign w:val="center"/>
          </w:tcPr>
          <w:p w14:paraId="57FDF4D1">
            <w:pPr>
              <w:pStyle w:val="57"/>
              <w:rPr>
                <w:rFonts w:ascii="Times New Roman" w:cs="Times New Roman"/>
              </w:rPr>
            </w:pPr>
            <w:r>
              <w:rPr>
                <w:rFonts w:ascii="Times New Roman" w:cs="Times New Roman"/>
              </w:rPr>
              <w:t>二港河涵洞</w:t>
            </w:r>
          </w:p>
        </w:tc>
        <w:tc>
          <w:tcPr>
            <w:tcW w:w="1142" w:type="pct"/>
            <w:tcBorders>
              <w:top w:val="nil"/>
              <w:left w:val="nil"/>
              <w:bottom w:val="single" w:color="auto" w:sz="4" w:space="0"/>
              <w:right w:val="single" w:color="auto" w:sz="4" w:space="0"/>
            </w:tcBorders>
            <w:shd w:val="clear" w:color="auto" w:fill="auto"/>
            <w:vAlign w:val="center"/>
          </w:tcPr>
          <w:p w14:paraId="2323A54C">
            <w:pPr>
              <w:pStyle w:val="57"/>
              <w:rPr>
                <w:rFonts w:ascii="Times New Roman" w:cs="Times New Roman"/>
              </w:rPr>
            </w:pPr>
            <w:r>
              <w:rPr>
                <w:rFonts w:ascii="Times New Roman" w:cs="Times New Roman"/>
              </w:rPr>
              <w:t>二港河</w:t>
            </w:r>
          </w:p>
        </w:tc>
        <w:tc>
          <w:tcPr>
            <w:tcW w:w="875" w:type="pct"/>
            <w:tcBorders>
              <w:top w:val="nil"/>
              <w:left w:val="nil"/>
              <w:bottom w:val="single" w:color="auto" w:sz="4" w:space="0"/>
              <w:right w:val="single" w:color="auto" w:sz="4" w:space="0"/>
            </w:tcBorders>
            <w:shd w:val="clear" w:color="auto" w:fill="auto"/>
            <w:vAlign w:val="center"/>
          </w:tcPr>
          <w:p w14:paraId="53F4860A">
            <w:pPr>
              <w:pStyle w:val="57"/>
              <w:rPr>
                <w:rFonts w:ascii="Times New Roman" w:cs="Times New Roman"/>
              </w:rPr>
            </w:pPr>
            <w:r>
              <w:rPr>
                <w:rFonts w:ascii="Times New Roman" w:cs="Times New Roman"/>
              </w:rPr>
              <w:t>　</w:t>
            </w:r>
          </w:p>
        </w:tc>
      </w:tr>
      <w:tr w14:paraId="0833AF80">
        <w:tblPrEx>
          <w:tblCellMar>
            <w:top w:w="0" w:type="dxa"/>
            <w:left w:w="108" w:type="dxa"/>
            <w:bottom w:w="0" w:type="dxa"/>
            <w:right w:w="108" w:type="dxa"/>
          </w:tblCellMar>
        </w:tblPrEx>
        <w:trPr>
          <w:trHeight w:val="20" w:hRule="atLeast"/>
        </w:trPr>
        <w:tc>
          <w:tcPr>
            <w:tcW w:w="480" w:type="pct"/>
            <w:tcBorders>
              <w:top w:val="nil"/>
              <w:left w:val="single" w:color="000000" w:sz="4" w:space="0"/>
              <w:bottom w:val="single" w:color="000000" w:sz="4" w:space="0"/>
              <w:right w:val="single" w:color="000000" w:sz="4" w:space="0"/>
            </w:tcBorders>
            <w:shd w:val="clear" w:color="auto" w:fill="auto"/>
            <w:vAlign w:val="center"/>
          </w:tcPr>
          <w:p w14:paraId="73FB29AC">
            <w:pPr>
              <w:pStyle w:val="57"/>
              <w:rPr>
                <w:rFonts w:ascii="Times New Roman" w:cs="Times New Roman"/>
              </w:rPr>
            </w:pPr>
            <w:r>
              <w:rPr>
                <w:rFonts w:ascii="Times New Roman" w:cs="Times New Roman"/>
              </w:rPr>
              <w:t>9</w:t>
            </w:r>
          </w:p>
        </w:tc>
        <w:tc>
          <w:tcPr>
            <w:tcW w:w="976" w:type="pct"/>
            <w:tcBorders>
              <w:top w:val="nil"/>
              <w:left w:val="nil"/>
              <w:bottom w:val="single" w:color="auto" w:sz="4" w:space="0"/>
              <w:right w:val="single" w:color="auto" w:sz="4" w:space="0"/>
            </w:tcBorders>
            <w:shd w:val="clear" w:color="auto" w:fill="auto"/>
            <w:vAlign w:val="center"/>
          </w:tcPr>
          <w:p w14:paraId="4AE270E5">
            <w:pPr>
              <w:pStyle w:val="57"/>
              <w:rPr>
                <w:rFonts w:ascii="Times New Roman" w:cs="Times New Roman"/>
              </w:rPr>
            </w:pPr>
            <w:r>
              <w:rPr>
                <w:rFonts w:ascii="Times New Roman" w:cs="Times New Roman"/>
              </w:rPr>
              <w:t>姜堰区</w:t>
            </w:r>
          </w:p>
        </w:tc>
        <w:tc>
          <w:tcPr>
            <w:tcW w:w="1528" w:type="pct"/>
            <w:tcBorders>
              <w:top w:val="nil"/>
              <w:left w:val="nil"/>
              <w:bottom w:val="single" w:color="auto" w:sz="4" w:space="0"/>
              <w:right w:val="single" w:color="auto" w:sz="4" w:space="0"/>
            </w:tcBorders>
            <w:shd w:val="clear" w:color="auto" w:fill="auto"/>
            <w:vAlign w:val="center"/>
          </w:tcPr>
          <w:p w14:paraId="2AEC465B">
            <w:pPr>
              <w:pStyle w:val="57"/>
              <w:rPr>
                <w:rFonts w:ascii="Times New Roman" w:cs="Times New Roman"/>
              </w:rPr>
            </w:pPr>
            <w:r>
              <w:rPr>
                <w:rFonts w:ascii="Times New Roman" w:cs="Times New Roman"/>
              </w:rPr>
              <w:t>朱高河涵洞</w:t>
            </w:r>
          </w:p>
        </w:tc>
        <w:tc>
          <w:tcPr>
            <w:tcW w:w="1142" w:type="pct"/>
            <w:tcBorders>
              <w:top w:val="nil"/>
              <w:left w:val="nil"/>
              <w:bottom w:val="single" w:color="auto" w:sz="4" w:space="0"/>
              <w:right w:val="single" w:color="auto" w:sz="4" w:space="0"/>
            </w:tcBorders>
            <w:shd w:val="clear" w:color="auto" w:fill="auto"/>
            <w:vAlign w:val="center"/>
          </w:tcPr>
          <w:p w14:paraId="1560092A">
            <w:pPr>
              <w:pStyle w:val="57"/>
              <w:rPr>
                <w:rFonts w:ascii="Times New Roman" w:cs="Times New Roman"/>
              </w:rPr>
            </w:pPr>
            <w:r>
              <w:rPr>
                <w:rFonts w:ascii="Times New Roman" w:cs="Times New Roman"/>
              </w:rPr>
              <w:t>朱高河</w:t>
            </w:r>
          </w:p>
        </w:tc>
        <w:tc>
          <w:tcPr>
            <w:tcW w:w="875" w:type="pct"/>
            <w:tcBorders>
              <w:top w:val="nil"/>
              <w:left w:val="nil"/>
              <w:bottom w:val="single" w:color="auto" w:sz="4" w:space="0"/>
              <w:right w:val="single" w:color="auto" w:sz="4" w:space="0"/>
            </w:tcBorders>
            <w:shd w:val="clear" w:color="auto" w:fill="auto"/>
            <w:vAlign w:val="center"/>
          </w:tcPr>
          <w:p w14:paraId="1F7161A0">
            <w:pPr>
              <w:pStyle w:val="57"/>
              <w:rPr>
                <w:rFonts w:ascii="Times New Roman" w:cs="Times New Roman"/>
              </w:rPr>
            </w:pPr>
            <w:r>
              <w:rPr>
                <w:rFonts w:ascii="Times New Roman" w:cs="Times New Roman"/>
              </w:rPr>
              <w:t>　</w:t>
            </w:r>
          </w:p>
        </w:tc>
      </w:tr>
      <w:tr w14:paraId="3AAEA977">
        <w:tblPrEx>
          <w:tblCellMar>
            <w:top w:w="0" w:type="dxa"/>
            <w:left w:w="108" w:type="dxa"/>
            <w:bottom w:w="0" w:type="dxa"/>
            <w:right w:w="108" w:type="dxa"/>
          </w:tblCellMar>
        </w:tblPrEx>
        <w:trPr>
          <w:trHeight w:val="20" w:hRule="atLeast"/>
        </w:trPr>
        <w:tc>
          <w:tcPr>
            <w:tcW w:w="480" w:type="pct"/>
            <w:tcBorders>
              <w:top w:val="nil"/>
              <w:left w:val="single" w:color="000000" w:sz="4" w:space="0"/>
              <w:bottom w:val="single" w:color="000000" w:sz="4" w:space="0"/>
              <w:right w:val="single" w:color="000000" w:sz="4" w:space="0"/>
            </w:tcBorders>
            <w:shd w:val="clear" w:color="auto" w:fill="auto"/>
            <w:vAlign w:val="center"/>
          </w:tcPr>
          <w:p w14:paraId="5516D10D">
            <w:pPr>
              <w:pStyle w:val="57"/>
              <w:rPr>
                <w:rFonts w:ascii="Times New Roman" w:cs="Times New Roman"/>
              </w:rPr>
            </w:pPr>
            <w:r>
              <w:rPr>
                <w:rFonts w:ascii="Times New Roman" w:cs="Times New Roman"/>
              </w:rPr>
              <w:t>10</w:t>
            </w:r>
          </w:p>
        </w:tc>
        <w:tc>
          <w:tcPr>
            <w:tcW w:w="976" w:type="pct"/>
            <w:tcBorders>
              <w:top w:val="nil"/>
              <w:left w:val="nil"/>
              <w:bottom w:val="nil"/>
              <w:right w:val="single" w:color="000000" w:sz="4" w:space="0"/>
            </w:tcBorders>
            <w:shd w:val="clear" w:color="auto" w:fill="auto"/>
            <w:vAlign w:val="center"/>
          </w:tcPr>
          <w:p w14:paraId="4992C352">
            <w:pPr>
              <w:pStyle w:val="57"/>
              <w:rPr>
                <w:rFonts w:ascii="Times New Roman" w:cs="Times New Roman"/>
              </w:rPr>
            </w:pPr>
            <w:r>
              <w:rPr>
                <w:rFonts w:ascii="Times New Roman" w:cs="Times New Roman"/>
              </w:rPr>
              <w:t>医药高新区</w:t>
            </w:r>
          </w:p>
          <w:p w14:paraId="603243C3">
            <w:pPr>
              <w:pStyle w:val="57"/>
              <w:rPr>
                <w:rFonts w:ascii="Times New Roman" w:cs="Times New Roman"/>
              </w:rPr>
            </w:pPr>
            <w:r>
              <w:rPr>
                <w:rFonts w:ascii="Times New Roman" w:cs="Times New Roman"/>
              </w:rPr>
              <w:t>（高港区）</w:t>
            </w:r>
          </w:p>
        </w:tc>
        <w:tc>
          <w:tcPr>
            <w:tcW w:w="1528" w:type="pct"/>
            <w:tcBorders>
              <w:top w:val="nil"/>
              <w:left w:val="nil"/>
              <w:bottom w:val="nil"/>
              <w:right w:val="single" w:color="000000" w:sz="4" w:space="0"/>
            </w:tcBorders>
            <w:shd w:val="clear" w:color="auto" w:fill="auto"/>
            <w:vAlign w:val="center"/>
          </w:tcPr>
          <w:p w14:paraId="598EB116">
            <w:pPr>
              <w:pStyle w:val="57"/>
              <w:rPr>
                <w:rFonts w:ascii="Times New Roman" w:cs="Times New Roman"/>
              </w:rPr>
            </w:pPr>
            <w:r>
              <w:rPr>
                <w:rFonts w:ascii="Times New Roman" w:cs="Times New Roman"/>
              </w:rPr>
              <w:t>宣堡港闸</w:t>
            </w:r>
          </w:p>
        </w:tc>
        <w:tc>
          <w:tcPr>
            <w:tcW w:w="1142" w:type="pct"/>
            <w:tcBorders>
              <w:top w:val="nil"/>
              <w:left w:val="nil"/>
              <w:bottom w:val="nil"/>
              <w:right w:val="single" w:color="000000" w:sz="4" w:space="0"/>
            </w:tcBorders>
            <w:shd w:val="clear" w:color="auto" w:fill="auto"/>
            <w:vAlign w:val="center"/>
          </w:tcPr>
          <w:p w14:paraId="34823C7A">
            <w:pPr>
              <w:pStyle w:val="57"/>
              <w:rPr>
                <w:rFonts w:ascii="Times New Roman" w:cs="Times New Roman"/>
              </w:rPr>
            </w:pPr>
            <w:r>
              <w:rPr>
                <w:rFonts w:ascii="Times New Roman" w:cs="Times New Roman"/>
              </w:rPr>
              <w:t>宣堡河</w:t>
            </w:r>
          </w:p>
        </w:tc>
        <w:tc>
          <w:tcPr>
            <w:tcW w:w="875" w:type="pct"/>
            <w:tcBorders>
              <w:top w:val="nil"/>
              <w:left w:val="nil"/>
              <w:bottom w:val="nil"/>
              <w:right w:val="single" w:color="000000" w:sz="4" w:space="0"/>
            </w:tcBorders>
            <w:shd w:val="clear" w:color="auto" w:fill="auto"/>
            <w:vAlign w:val="center"/>
          </w:tcPr>
          <w:p w14:paraId="70039259">
            <w:pPr>
              <w:pStyle w:val="57"/>
              <w:rPr>
                <w:rFonts w:ascii="Times New Roman" w:cs="Times New Roman"/>
              </w:rPr>
            </w:pPr>
            <w:r>
              <w:rPr>
                <w:rFonts w:ascii="Times New Roman" w:cs="Times New Roman"/>
              </w:rPr>
              <w:t>60</w:t>
            </w:r>
          </w:p>
        </w:tc>
      </w:tr>
      <w:tr w14:paraId="3A6755BC">
        <w:tblPrEx>
          <w:tblCellMar>
            <w:top w:w="0" w:type="dxa"/>
            <w:left w:w="108" w:type="dxa"/>
            <w:bottom w:w="0" w:type="dxa"/>
            <w:right w:w="108" w:type="dxa"/>
          </w:tblCellMar>
        </w:tblPrEx>
        <w:trPr>
          <w:trHeight w:val="20" w:hRule="atLeast"/>
        </w:trPr>
        <w:tc>
          <w:tcPr>
            <w:tcW w:w="480" w:type="pct"/>
            <w:tcBorders>
              <w:top w:val="nil"/>
              <w:left w:val="single" w:color="000000" w:sz="4" w:space="0"/>
              <w:bottom w:val="single" w:color="000000" w:sz="4" w:space="0"/>
              <w:right w:val="single" w:color="000000" w:sz="4" w:space="0"/>
            </w:tcBorders>
            <w:shd w:val="clear" w:color="auto" w:fill="auto"/>
            <w:vAlign w:val="center"/>
          </w:tcPr>
          <w:p w14:paraId="3A6FE14F">
            <w:pPr>
              <w:pStyle w:val="57"/>
              <w:rPr>
                <w:rFonts w:ascii="Times New Roman" w:cs="Times New Roman"/>
              </w:rPr>
            </w:pPr>
            <w:r>
              <w:rPr>
                <w:rFonts w:ascii="Times New Roman" w:cs="Times New Roman"/>
              </w:rPr>
              <w:t>11</w:t>
            </w:r>
          </w:p>
        </w:tc>
        <w:tc>
          <w:tcPr>
            <w:tcW w:w="976" w:type="pct"/>
            <w:tcBorders>
              <w:top w:val="single" w:color="auto" w:sz="4" w:space="0"/>
              <w:left w:val="nil"/>
              <w:bottom w:val="single" w:color="auto" w:sz="4" w:space="0"/>
              <w:right w:val="single" w:color="auto" w:sz="4" w:space="0"/>
            </w:tcBorders>
            <w:shd w:val="clear" w:color="auto" w:fill="auto"/>
            <w:vAlign w:val="center"/>
          </w:tcPr>
          <w:p w14:paraId="2583579F">
            <w:pPr>
              <w:pStyle w:val="57"/>
              <w:rPr>
                <w:rFonts w:ascii="Times New Roman" w:cs="Times New Roman"/>
              </w:rPr>
            </w:pPr>
            <w:r>
              <w:rPr>
                <w:rFonts w:ascii="Times New Roman" w:cs="Times New Roman"/>
              </w:rPr>
              <w:t>医药高新区</w:t>
            </w:r>
          </w:p>
          <w:p w14:paraId="7232015E">
            <w:pPr>
              <w:pStyle w:val="57"/>
              <w:rPr>
                <w:rFonts w:ascii="Times New Roman" w:cs="Times New Roman"/>
              </w:rPr>
            </w:pPr>
            <w:r>
              <w:rPr>
                <w:rFonts w:ascii="Times New Roman" w:cs="Times New Roman"/>
              </w:rPr>
              <w:t>（高港区）</w:t>
            </w:r>
          </w:p>
        </w:tc>
        <w:tc>
          <w:tcPr>
            <w:tcW w:w="1528" w:type="pct"/>
            <w:tcBorders>
              <w:top w:val="single" w:color="auto" w:sz="4" w:space="0"/>
              <w:left w:val="nil"/>
              <w:bottom w:val="single" w:color="auto" w:sz="4" w:space="0"/>
              <w:right w:val="single" w:color="auto" w:sz="4" w:space="0"/>
            </w:tcBorders>
            <w:shd w:val="clear" w:color="auto" w:fill="auto"/>
            <w:vAlign w:val="center"/>
          </w:tcPr>
          <w:p w14:paraId="0E23029F">
            <w:pPr>
              <w:pStyle w:val="57"/>
              <w:rPr>
                <w:rFonts w:ascii="Times New Roman" w:cs="Times New Roman"/>
              </w:rPr>
            </w:pPr>
            <w:r>
              <w:rPr>
                <w:rFonts w:ascii="Times New Roman" w:cs="Times New Roman"/>
              </w:rPr>
              <w:t>许庄河闸</w:t>
            </w:r>
          </w:p>
        </w:tc>
        <w:tc>
          <w:tcPr>
            <w:tcW w:w="1142" w:type="pct"/>
            <w:tcBorders>
              <w:top w:val="single" w:color="auto" w:sz="4" w:space="0"/>
              <w:left w:val="nil"/>
              <w:bottom w:val="single" w:color="auto" w:sz="4" w:space="0"/>
              <w:right w:val="single" w:color="auto" w:sz="4" w:space="0"/>
            </w:tcBorders>
            <w:shd w:val="clear" w:color="auto" w:fill="auto"/>
            <w:vAlign w:val="center"/>
          </w:tcPr>
          <w:p w14:paraId="08839164">
            <w:pPr>
              <w:pStyle w:val="57"/>
              <w:rPr>
                <w:rFonts w:ascii="Times New Roman" w:cs="Times New Roman"/>
              </w:rPr>
            </w:pPr>
            <w:r>
              <w:rPr>
                <w:rFonts w:ascii="Times New Roman" w:cs="Times New Roman"/>
              </w:rPr>
              <w:t>许庄河</w:t>
            </w:r>
          </w:p>
        </w:tc>
        <w:tc>
          <w:tcPr>
            <w:tcW w:w="875" w:type="pct"/>
            <w:tcBorders>
              <w:top w:val="single" w:color="auto" w:sz="4" w:space="0"/>
              <w:left w:val="nil"/>
              <w:bottom w:val="single" w:color="auto" w:sz="4" w:space="0"/>
              <w:right w:val="single" w:color="auto" w:sz="4" w:space="0"/>
            </w:tcBorders>
            <w:shd w:val="clear" w:color="auto" w:fill="auto"/>
            <w:vAlign w:val="center"/>
          </w:tcPr>
          <w:p w14:paraId="05A0D7EA">
            <w:pPr>
              <w:pStyle w:val="57"/>
              <w:rPr>
                <w:rFonts w:ascii="Times New Roman" w:cs="Times New Roman"/>
              </w:rPr>
            </w:pPr>
            <w:r>
              <w:rPr>
                <w:rFonts w:ascii="Times New Roman" w:cs="Times New Roman"/>
              </w:rPr>
              <w:t>60</w:t>
            </w:r>
          </w:p>
        </w:tc>
      </w:tr>
      <w:tr w14:paraId="2FF03182">
        <w:tblPrEx>
          <w:tblCellMar>
            <w:top w:w="0" w:type="dxa"/>
            <w:left w:w="108" w:type="dxa"/>
            <w:bottom w:w="0" w:type="dxa"/>
            <w:right w:w="108" w:type="dxa"/>
          </w:tblCellMar>
        </w:tblPrEx>
        <w:trPr>
          <w:trHeight w:val="20" w:hRule="atLeast"/>
        </w:trPr>
        <w:tc>
          <w:tcPr>
            <w:tcW w:w="480" w:type="pct"/>
            <w:tcBorders>
              <w:top w:val="nil"/>
              <w:left w:val="single" w:color="000000" w:sz="4" w:space="0"/>
              <w:bottom w:val="single" w:color="000000" w:sz="4" w:space="0"/>
              <w:right w:val="single" w:color="000000" w:sz="4" w:space="0"/>
            </w:tcBorders>
            <w:shd w:val="clear" w:color="auto" w:fill="auto"/>
            <w:vAlign w:val="center"/>
          </w:tcPr>
          <w:p w14:paraId="05AB7A87">
            <w:pPr>
              <w:pStyle w:val="57"/>
              <w:rPr>
                <w:rFonts w:ascii="Times New Roman" w:cs="Times New Roman"/>
              </w:rPr>
            </w:pPr>
            <w:r>
              <w:rPr>
                <w:rFonts w:ascii="Times New Roman" w:cs="Times New Roman"/>
              </w:rPr>
              <w:t>12</w:t>
            </w:r>
          </w:p>
        </w:tc>
        <w:tc>
          <w:tcPr>
            <w:tcW w:w="976" w:type="pct"/>
            <w:tcBorders>
              <w:top w:val="nil"/>
              <w:left w:val="nil"/>
              <w:bottom w:val="single" w:color="000000" w:sz="4" w:space="0"/>
              <w:right w:val="single" w:color="000000" w:sz="4" w:space="0"/>
            </w:tcBorders>
            <w:shd w:val="clear" w:color="auto" w:fill="auto"/>
            <w:vAlign w:val="center"/>
          </w:tcPr>
          <w:p w14:paraId="5A0E1AF8">
            <w:pPr>
              <w:pStyle w:val="57"/>
              <w:rPr>
                <w:rFonts w:ascii="Times New Roman" w:cs="Times New Roman"/>
              </w:rPr>
            </w:pPr>
            <w:r>
              <w:rPr>
                <w:rFonts w:ascii="Times New Roman" w:cs="Times New Roman"/>
              </w:rPr>
              <w:t>泰兴市</w:t>
            </w:r>
          </w:p>
        </w:tc>
        <w:tc>
          <w:tcPr>
            <w:tcW w:w="1528" w:type="pct"/>
            <w:tcBorders>
              <w:top w:val="nil"/>
              <w:left w:val="nil"/>
              <w:bottom w:val="single" w:color="000000" w:sz="4" w:space="0"/>
              <w:right w:val="single" w:color="000000" w:sz="4" w:space="0"/>
            </w:tcBorders>
            <w:shd w:val="clear" w:color="auto" w:fill="auto"/>
            <w:vAlign w:val="center"/>
          </w:tcPr>
          <w:p w14:paraId="043EDA39">
            <w:pPr>
              <w:pStyle w:val="57"/>
              <w:rPr>
                <w:rFonts w:ascii="Times New Roman" w:cs="Times New Roman"/>
              </w:rPr>
            </w:pPr>
            <w:r>
              <w:rPr>
                <w:rFonts w:ascii="Times New Roman" w:cs="Times New Roman"/>
              </w:rPr>
              <w:t>东姜黄河成庄村闸</w:t>
            </w:r>
          </w:p>
        </w:tc>
        <w:tc>
          <w:tcPr>
            <w:tcW w:w="1142" w:type="pct"/>
            <w:tcBorders>
              <w:top w:val="nil"/>
              <w:left w:val="nil"/>
              <w:bottom w:val="single" w:color="000000" w:sz="4" w:space="0"/>
              <w:right w:val="single" w:color="000000" w:sz="4" w:space="0"/>
            </w:tcBorders>
            <w:shd w:val="clear" w:color="auto" w:fill="auto"/>
            <w:vAlign w:val="center"/>
          </w:tcPr>
          <w:p w14:paraId="42C5B51F">
            <w:pPr>
              <w:pStyle w:val="57"/>
              <w:rPr>
                <w:rFonts w:ascii="Times New Roman" w:cs="Times New Roman"/>
              </w:rPr>
            </w:pPr>
            <w:r>
              <w:rPr>
                <w:rFonts w:ascii="Times New Roman" w:cs="Times New Roman"/>
              </w:rPr>
              <w:t>东姜黄河</w:t>
            </w:r>
          </w:p>
        </w:tc>
        <w:tc>
          <w:tcPr>
            <w:tcW w:w="875" w:type="pct"/>
            <w:tcBorders>
              <w:top w:val="nil"/>
              <w:left w:val="nil"/>
              <w:bottom w:val="single" w:color="000000" w:sz="4" w:space="0"/>
              <w:right w:val="single" w:color="000000" w:sz="4" w:space="0"/>
            </w:tcBorders>
            <w:shd w:val="clear" w:color="auto" w:fill="auto"/>
            <w:vAlign w:val="center"/>
          </w:tcPr>
          <w:p w14:paraId="32FF95F0">
            <w:pPr>
              <w:pStyle w:val="57"/>
              <w:rPr>
                <w:rFonts w:ascii="Times New Roman" w:cs="Times New Roman"/>
              </w:rPr>
            </w:pPr>
            <w:r>
              <w:rPr>
                <w:rFonts w:ascii="Times New Roman" w:cs="Times New Roman"/>
              </w:rPr>
              <w:t>60</w:t>
            </w:r>
          </w:p>
        </w:tc>
      </w:tr>
      <w:tr w14:paraId="7859E6A9">
        <w:tblPrEx>
          <w:tblCellMar>
            <w:top w:w="0" w:type="dxa"/>
            <w:left w:w="108" w:type="dxa"/>
            <w:bottom w:w="0" w:type="dxa"/>
            <w:right w:w="108" w:type="dxa"/>
          </w:tblCellMar>
        </w:tblPrEx>
        <w:trPr>
          <w:trHeight w:val="20" w:hRule="atLeast"/>
        </w:trPr>
        <w:tc>
          <w:tcPr>
            <w:tcW w:w="480" w:type="pct"/>
            <w:tcBorders>
              <w:top w:val="nil"/>
              <w:left w:val="single" w:color="000000" w:sz="4" w:space="0"/>
              <w:bottom w:val="single" w:color="000000" w:sz="4" w:space="0"/>
              <w:right w:val="single" w:color="000000" w:sz="4" w:space="0"/>
            </w:tcBorders>
            <w:shd w:val="clear" w:color="auto" w:fill="auto"/>
            <w:vAlign w:val="center"/>
          </w:tcPr>
          <w:p w14:paraId="66F05524">
            <w:pPr>
              <w:pStyle w:val="57"/>
              <w:rPr>
                <w:rFonts w:ascii="Times New Roman" w:cs="Times New Roman"/>
              </w:rPr>
            </w:pPr>
            <w:r>
              <w:rPr>
                <w:rFonts w:ascii="Times New Roman" w:cs="Times New Roman"/>
              </w:rPr>
              <w:t>13</w:t>
            </w:r>
          </w:p>
        </w:tc>
        <w:tc>
          <w:tcPr>
            <w:tcW w:w="976" w:type="pct"/>
            <w:tcBorders>
              <w:top w:val="nil"/>
              <w:left w:val="nil"/>
              <w:bottom w:val="single" w:color="000000" w:sz="4" w:space="0"/>
              <w:right w:val="single" w:color="000000" w:sz="4" w:space="0"/>
            </w:tcBorders>
            <w:shd w:val="clear" w:color="auto" w:fill="auto"/>
            <w:vAlign w:val="center"/>
          </w:tcPr>
          <w:p w14:paraId="59B9F577">
            <w:pPr>
              <w:pStyle w:val="57"/>
              <w:rPr>
                <w:rFonts w:ascii="Times New Roman" w:cs="Times New Roman"/>
              </w:rPr>
            </w:pPr>
            <w:r>
              <w:rPr>
                <w:rFonts w:ascii="Times New Roman" w:cs="Times New Roman"/>
              </w:rPr>
              <w:t>泰兴市</w:t>
            </w:r>
          </w:p>
        </w:tc>
        <w:tc>
          <w:tcPr>
            <w:tcW w:w="1528" w:type="pct"/>
            <w:tcBorders>
              <w:top w:val="nil"/>
              <w:left w:val="nil"/>
              <w:bottom w:val="single" w:color="000000" w:sz="4" w:space="0"/>
              <w:right w:val="single" w:color="000000" w:sz="4" w:space="0"/>
            </w:tcBorders>
            <w:shd w:val="clear" w:color="auto" w:fill="auto"/>
            <w:vAlign w:val="center"/>
          </w:tcPr>
          <w:p w14:paraId="214A0264">
            <w:pPr>
              <w:pStyle w:val="57"/>
              <w:rPr>
                <w:rFonts w:ascii="Times New Roman" w:cs="Times New Roman"/>
              </w:rPr>
            </w:pPr>
            <w:r>
              <w:rPr>
                <w:rFonts w:ascii="Times New Roman" w:cs="Times New Roman"/>
              </w:rPr>
              <w:t>私盐港闸</w:t>
            </w:r>
          </w:p>
        </w:tc>
        <w:tc>
          <w:tcPr>
            <w:tcW w:w="1142" w:type="pct"/>
            <w:tcBorders>
              <w:top w:val="nil"/>
              <w:left w:val="nil"/>
              <w:bottom w:val="single" w:color="000000" w:sz="4" w:space="0"/>
              <w:right w:val="single" w:color="000000" w:sz="4" w:space="0"/>
            </w:tcBorders>
            <w:shd w:val="clear" w:color="auto" w:fill="auto"/>
            <w:vAlign w:val="center"/>
          </w:tcPr>
          <w:p w14:paraId="576A7934">
            <w:pPr>
              <w:pStyle w:val="57"/>
              <w:rPr>
                <w:rFonts w:ascii="Times New Roman" w:cs="Times New Roman"/>
              </w:rPr>
            </w:pPr>
            <w:r>
              <w:rPr>
                <w:rFonts w:ascii="Times New Roman" w:cs="Times New Roman"/>
              </w:rPr>
              <w:t>两泰官河</w:t>
            </w:r>
          </w:p>
        </w:tc>
        <w:tc>
          <w:tcPr>
            <w:tcW w:w="875" w:type="pct"/>
            <w:tcBorders>
              <w:top w:val="nil"/>
              <w:left w:val="nil"/>
              <w:bottom w:val="single" w:color="000000" w:sz="4" w:space="0"/>
              <w:right w:val="single" w:color="000000" w:sz="4" w:space="0"/>
            </w:tcBorders>
            <w:shd w:val="clear" w:color="auto" w:fill="auto"/>
            <w:vAlign w:val="center"/>
          </w:tcPr>
          <w:p w14:paraId="25D16E86">
            <w:pPr>
              <w:pStyle w:val="57"/>
              <w:rPr>
                <w:rFonts w:ascii="Times New Roman" w:cs="Times New Roman"/>
              </w:rPr>
            </w:pPr>
            <w:r>
              <w:rPr>
                <w:rFonts w:ascii="Times New Roman" w:cs="Times New Roman"/>
              </w:rPr>
              <w:t>20</w:t>
            </w:r>
          </w:p>
        </w:tc>
      </w:tr>
      <w:tr w14:paraId="0381DC93">
        <w:tblPrEx>
          <w:tblCellMar>
            <w:top w:w="0" w:type="dxa"/>
            <w:left w:w="108" w:type="dxa"/>
            <w:bottom w:w="0" w:type="dxa"/>
            <w:right w:w="108" w:type="dxa"/>
          </w:tblCellMar>
        </w:tblPrEx>
        <w:trPr>
          <w:trHeight w:val="20" w:hRule="atLeast"/>
        </w:trPr>
        <w:tc>
          <w:tcPr>
            <w:tcW w:w="480" w:type="pct"/>
            <w:tcBorders>
              <w:top w:val="nil"/>
              <w:left w:val="single" w:color="000000" w:sz="4" w:space="0"/>
              <w:bottom w:val="single" w:color="000000" w:sz="4" w:space="0"/>
              <w:right w:val="single" w:color="000000" w:sz="4" w:space="0"/>
            </w:tcBorders>
            <w:shd w:val="clear" w:color="auto" w:fill="auto"/>
            <w:vAlign w:val="center"/>
          </w:tcPr>
          <w:p w14:paraId="6D439A80">
            <w:pPr>
              <w:pStyle w:val="57"/>
              <w:rPr>
                <w:rFonts w:ascii="Times New Roman" w:cs="Times New Roman"/>
              </w:rPr>
            </w:pPr>
            <w:r>
              <w:rPr>
                <w:rFonts w:ascii="Times New Roman" w:cs="Times New Roman"/>
              </w:rPr>
              <w:t>14</w:t>
            </w:r>
          </w:p>
        </w:tc>
        <w:tc>
          <w:tcPr>
            <w:tcW w:w="976" w:type="pct"/>
            <w:tcBorders>
              <w:top w:val="nil"/>
              <w:left w:val="nil"/>
              <w:bottom w:val="single" w:color="000000" w:sz="4" w:space="0"/>
              <w:right w:val="single" w:color="000000" w:sz="4" w:space="0"/>
            </w:tcBorders>
            <w:shd w:val="clear" w:color="auto" w:fill="auto"/>
            <w:vAlign w:val="center"/>
          </w:tcPr>
          <w:p w14:paraId="754DF73D">
            <w:pPr>
              <w:pStyle w:val="57"/>
              <w:rPr>
                <w:rFonts w:ascii="Times New Roman" w:cs="Times New Roman"/>
              </w:rPr>
            </w:pPr>
            <w:r>
              <w:rPr>
                <w:rFonts w:ascii="Times New Roman" w:cs="Times New Roman"/>
              </w:rPr>
              <w:t>泰兴市</w:t>
            </w:r>
          </w:p>
        </w:tc>
        <w:tc>
          <w:tcPr>
            <w:tcW w:w="1528" w:type="pct"/>
            <w:tcBorders>
              <w:top w:val="nil"/>
              <w:left w:val="nil"/>
              <w:bottom w:val="single" w:color="000000" w:sz="4" w:space="0"/>
              <w:right w:val="single" w:color="000000" w:sz="4" w:space="0"/>
            </w:tcBorders>
            <w:shd w:val="clear" w:color="auto" w:fill="auto"/>
            <w:vAlign w:val="center"/>
          </w:tcPr>
          <w:p w14:paraId="1982E3FA">
            <w:pPr>
              <w:pStyle w:val="57"/>
              <w:rPr>
                <w:rFonts w:ascii="Times New Roman" w:cs="Times New Roman"/>
              </w:rPr>
            </w:pPr>
            <w:r>
              <w:rPr>
                <w:rFonts w:ascii="Times New Roman" w:cs="Times New Roman"/>
              </w:rPr>
              <w:t>古同港河古同港闸</w:t>
            </w:r>
          </w:p>
        </w:tc>
        <w:tc>
          <w:tcPr>
            <w:tcW w:w="1142" w:type="pct"/>
            <w:tcBorders>
              <w:top w:val="nil"/>
              <w:left w:val="nil"/>
              <w:bottom w:val="single" w:color="000000" w:sz="4" w:space="0"/>
              <w:right w:val="single" w:color="000000" w:sz="4" w:space="0"/>
            </w:tcBorders>
            <w:shd w:val="clear" w:color="auto" w:fill="auto"/>
            <w:vAlign w:val="center"/>
          </w:tcPr>
          <w:p w14:paraId="6585E3AD">
            <w:pPr>
              <w:pStyle w:val="57"/>
              <w:rPr>
                <w:rFonts w:ascii="Times New Roman" w:cs="Times New Roman"/>
              </w:rPr>
            </w:pPr>
            <w:r>
              <w:rPr>
                <w:rFonts w:ascii="Times New Roman" w:cs="Times New Roman"/>
              </w:rPr>
              <w:t>古同港河</w:t>
            </w:r>
          </w:p>
        </w:tc>
        <w:tc>
          <w:tcPr>
            <w:tcW w:w="875" w:type="pct"/>
            <w:tcBorders>
              <w:top w:val="nil"/>
              <w:left w:val="nil"/>
              <w:bottom w:val="single" w:color="000000" w:sz="4" w:space="0"/>
              <w:right w:val="single" w:color="000000" w:sz="4" w:space="0"/>
            </w:tcBorders>
            <w:shd w:val="clear" w:color="auto" w:fill="auto"/>
            <w:vAlign w:val="center"/>
          </w:tcPr>
          <w:p w14:paraId="3B7B4381">
            <w:pPr>
              <w:pStyle w:val="57"/>
              <w:rPr>
                <w:rFonts w:ascii="Times New Roman" w:cs="Times New Roman"/>
              </w:rPr>
            </w:pPr>
            <w:r>
              <w:rPr>
                <w:rFonts w:ascii="Times New Roman" w:cs="Times New Roman"/>
              </w:rPr>
              <w:t>10</w:t>
            </w:r>
          </w:p>
        </w:tc>
      </w:tr>
      <w:tr w14:paraId="52390805">
        <w:tblPrEx>
          <w:tblCellMar>
            <w:top w:w="0" w:type="dxa"/>
            <w:left w:w="108" w:type="dxa"/>
            <w:bottom w:w="0" w:type="dxa"/>
            <w:right w:w="108" w:type="dxa"/>
          </w:tblCellMar>
        </w:tblPrEx>
        <w:trPr>
          <w:trHeight w:val="20" w:hRule="atLeast"/>
        </w:trPr>
        <w:tc>
          <w:tcPr>
            <w:tcW w:w="480" w:type="pct"/>
            <w:tcBorders>
              <w:top w:val="nil"/>
              <w:left w:val="single" w:color="000000" w:sz="4" w:space="0"/>
              <w:bottom w:val="single" w:color="000000" w:sz="4" w:space="0"/>
              <w:right w:val="single" w:color="000000" w:sz="4" w:space="0"/>
            </w:tcBorders>
            <w:shd w:val="clear" w:color="auto" w:fill="auto"/>
            <w:vAlign w:val="center"/>
          </w:tcPr>
          <w:p w14:paraId="072BC5E2">
            <w:pPr>
              <w:pStyle w:val="57"/>
              <w:rPr>
                <w:rFonts w:ascii="Times New Roman" w:cs="Times New Roman"/>
              </w:rPr>
            </w:pPr>
            <w:r>
              <w:rPr>
                <w:rFonts w:ascii="Times New Roman" w:cs="Times New Roman"/>
              </w:rPr>
              <w:t>15</w:t>
            </w:r>
          </w:p>
        </w:tc>
        <w:tc>
          <w:tcPr>
            <w:tcW w:w="976" w:type="pct"/>
            <w:tcBorders>
              <w:top w:val="nil"/>
              <w:left w:val="nil"/>
              <w:bottom w:val="single" w:color="000000" w:sz="4" w:space="0"/>
              <w:right w:val="single" w:color="000000" w:sz="4" w:space="0"/>
            </w:tcBorders>
            <w:shd w:val="clear" w:color="auto" w:fill="auto"/>
            <w:vAlign w:val="center"/>
          </w:tcPr>
          <w:p w14:paraId="561B2DF9">
            <w:pPr>
              <w:pStyle w:val="57"/>
              <w:rPr>
                <w:rFonts w:ascii="Times New Roman" w:cs="Times New Roman"/>
              </w:rPr>
            </w:pPr>
            <w:r>
              <w:rPr>
                <w:rFonts w:ascii="Times New Roman" w:cs="Times New Roman"/>
              </w:rPr>
              <w:t>泰兴市</w:t>
            </w:r>
          </w:p>
        </w:tc>
        <w:tc>
          <w:tcPr>
            <w:tcW w:w="1528" w:type="pct"/>
            <w:tcBorders>
              <w:top w:val="nil"/>
              <w:left w:val="nil"/>
              <w:bottom w:val="single" w:color="000000" w:sz="4" w:space="0"/>
              <w:right w:val="single" w:color="000000" w:sz="4" w:space="0"/>
            </w:tcBorders>
            <w:shd w:val="clear" w:color="auto" w:fill="auto"/>
            <w:vAlign w:val="center"/>
          </w:tcPr>
          <w:p w14:paraId="1FA07F18">
            <w:pPr>
              <w:pStyle w:val="57"/>
              <w:rPr>
                <w:rFonts w:ascii="Times New Roman" w:cs="Times New Roman"/>
              </w:rPr>
            </w:pPr>
            <w:r>
              <w:rPr>
                <w:rFonts w:ascii="Times New Roman" w:cs="Times New Roman"/>
              </w:rPr>
              <w:t>尹垛中沟尹垛闸</w:t>
            </w:r>
          </w:p>
        </w:tc>
        <w:tc>
          <w:tcPr>
            <w:tcW w:w="1142" w:type="pct"/>
            <w:tcBorders>
              <w:top w:val="nil"/>
              <w:left w:val="nil"/>
              <w:bottom w:val="single" w:color="000000" w:sz="4" w:space="0"/>
              <w:right w:val="single" w:color="000000" w:sz="4" w:space="0"/>
            </w:tcBorders>
            <w:shd w:val="clear" w:color="auto" w:fill="auto"/>
            <w:vAlign w:val="center"/>
          </w:tcPr>
          <w:p w14:paraId="144F2DB5">
            <w:pPr>
              <w:pStyle w:val="57"/>
              <w:rPr>
                <w:rFonts w:ascii="Times New Roman" w:cs="Times New Roman"/>
              </w:rPr>
            </w:pPr>
            <w:r>
              <w:rPr>
                <w:rFonts w:ascii="Times New Roman" w:cs="Times New Roman"/>
              </w:rPr>
              <w:t>中沟河</w:t>
            </w:r>
          </w:p>
        </w:tc>
        <w:tc>
          <w:tcPr>
            <w:tcW w:w="875" w:type="pct"/>
            <w:tcBorders>
              <w:top w:val="nil"/>
              <w:left w:val="nil"/>
              <w:bottom w:val="single" w:color="000000" w:sz="4" w:space="0"/>
              <w:right w:val="single" w:color="000000" w:sz="4" w:space="0"/>
            </w:tcBorders>
            <w:shd w:val="clear" w:color="auto" w:fill="auto"/>
            <w:vAlign w:val="center"/>
          </w:tcPr>
          <w:p w14:paraId="40E8F4A5">
            <w:pPr>
              <w:pStyle w:val="57"/>
              <w:rPr>
                <w:rFonts w:ascii="Times New Roman" w:cs="Times New Roman"/>
              </w:rPr>
            </w:pPr>
            <w:r>
              <w:rPr>
                <w:rFonts w:ascii="Times New Roman" w:cs="Times New Roman"/>
              </w:rPr>
              <w:t>15</w:t>
            </w:r>
          </w:p>
        </w:tc>
      </w:tr>
      <w:tr w14:paraId="2205B2FE">
        <w:tblPrEx>
          <w:tblCellMar>
            <w:top w:w="0" w:type="dxa"/>
            <w:left w:w="108" w:type="dxa"/>
            <w:bottom w:w="0" w:type="dxa"/>
            <w:right w:w="108" w:type="dxa"/>
          </w:tblCellMar>
        </w:tblPrEx>
        <w:trPr>
          <w:trHeight w:val="20" w:hRule="atLeast"/>
        </w:trPr>
        <w:tc>
          <w:tcPr>
            <w:tcW w:w="480" w:type="pct"/>
            <w:tcBorders>
              <w:top w:val="nil"/>
              <w:left w:val="single" w:color="000000" w:sz="4" w:space="0"/>
              <w:bottom w:val="single" w:color="000000" w:sz="4" w:space="0"/>
              <w:right w:val="single" w:color="000000" w:sz="4" w:space="0"/>
            </w:tcBorders>
            <w:shd w:val="clear" w:color="auto" w:fill="auto"/>
            <w:vAlign w:val="center"/>
          </w:tcPr>
          <w:p w14:paraId="0C91EFE3">
            <w:pPr>
              <w:pStyle w:val="57"/>
              <w:rPr>
                <w:rFonts w:ascii="Times New Roman" w:cs="Times New Roman"/>
              </w:rPr>
            </w:pPr>
            <w:r>
              <w:rPr>
                <w:rFonts w:ascii="Times New Roman" w:cs="Times New Roman"/>
              </w:rPr>
              <w:t>16</w:t>
            </w:r>
          </w:p>
        </w:tc>
        <w:tc>
          <w:tcPr>
            <w:tcW w:w="976" w:type="pct"/>
            <w:tcBorders>
              <w:top w:val="nil"/>
              <w:left w:val="nil"/>
              <w:bottom w:val="single" w:color="000000" w:sz="4" w:space="0"/>
              <w:right w:val="single" w:color="000000" w:sz="4" w:space="0"/>
            </w:tcBorders>
            <w:shd w:val="clear" w:color="auto" w:fill="auto"/>
            <w:vAlign w:val="center"/>
          </w:tcPr>
          <w:p w14:paraId="7B339324">
            <w:pPr>
              <w:pStyle w:val="57"/>
              <w:rPr>
                <w:rFonts w:ascii="Times New Roman" w:cs="Times New Roman"/>
              </w:rPr>
            </w:pPr>
            <w:r>
              <w:rPr>
                <w:rFonts w:ascii="Times New Roman" w:cs="Times New Roman"/>
              </w:rPr>
              <w:t>泰兴市</w:t>
            </w:r>
          </w:p>
        </w:tc>
        <w:tc>
          <w:tcPr>
            <w:tcW w:w="1528" w:type="pct"/>
            <w:tcBorders>
              <w:top w:val="nil"/>
              <w:left w:val="nil"/>
              <w:bottom w:val="single" w:color="000000" w:sz="4" w:space="0"/>
              <w:right w:val="single" w:color="000000" w:sz="4" w:space="0"/>
            </w:tcBorders>
            <w:shd w:val="clear" w:color="auto" w:fill="auto"/>
            <w:vAlign w:val="center"/>
          </w:tcPr>
          <w:p w14:paraId="33B3BD41">
            <w:pPr>
              <w:pStyle w:val="57"/>
              <w:rPr>
                <w:rFonts w:ascii="Times New Roman" w:cs="Times New Roman"/>
              </w:rPr>
            </w:pPr>
            <w:r>
              <w:rPr>
                <w:rFonts w:ascii="Times New Roman" w:cs="Times New Roman"/>
              </w:rPr>
              <w:t>古钱老河振兴闸</w:t>
            </w:r>
          </w:p>
        </w:tc>
        <w:tc>
          <w:tcPr>
            <w:tcW w:w="1142" w:type="pct"/>
            <w:tcBorders>
              <w:top w:val="nil"/>
              <w:left w:val="nil"/>
              <w:bottom w:val="single" w:color="000000" w:sz="4" w:space="0"/>
              <w:right w:val="single" w:color="000000" w:sz="4" w:space="0"/>
            </w:tcBorders>
            <w:shd w:val="clear" w:color="auto" w:fill="auto"/>
            <w:vAlign w:val="center"/>
          </w:tcPr>
          <w:p w14:paraId="78BCBAAC">
            <w:pPr>
              <w:pStyle w:val="57"/>
              <w:rPr>
                <w:rFonts w:ascii="Times New Roman" w:cs="Times New Roman"/>
              </w:rPr>
            </w:pPr>
            <w:r>
              <w:rPr>
                <w:rFonts w:ascii="Times New Roman" w:cs="Times New Roman"/>
              </w:rPr>
              <w:t>古马干河</w:t>
            </w:r>
          </w:p>
        </w:tc>
        <w:tc>
          <w:tcPr>
            <w:tcW w:w="875" w:type="pct"/>
            <w:tcBorders>
              <w:top w:val="nil"/>
              <w:left w:val="nil"/>
              <w:bottom w:val="single" w:color="000000" w:sz="4" w:space="0"/>
              <w:right w:val="single" w:color="000000" w:sz="4" w:space="0"/>
            </w:tcBorders>
            <w:shd w:val="clear" w:color="auto" w:fill="auto"/>
            <w:vAlign w:val="center"/>
          </w:tcPr>
          <w:p w14:paraId="531F1C99">
            <w:pPr>
              <w:pStyle w:val="57"/>
              <w:rPr>
                <w:rFonts w:ascii="Times New Roman" w:cs="Times New Roman"/>
              </w:rPr>
            </w:pPr>
            <w:r>
              <w:rPr>
                <w:rFonts w:ascii="Times New Roman" w:cs="Times New Roman"/>
              </w:rPr>
              <w:t>15</w:t>
            </w:r>
          </w:p>
        </w:tc>
      </w:tr>
      <w:tr w14:paraId="068537B6">
        <w:tblPrEx>
          <w:tblCellMar>
            <w:top w:w="0" w:type="dxa"/>
            <w:left w:w="108" w:type="dxa"/>
            <w:bottom w:w="0" w:type="dxa"/>
            <w:right w:w="108" w:type="dxa"/>
          </w:tblCellMar>
        </w:tblPrEx>
        <w:trPr>
          <w:trHeight w:val="20" w:hRule="atLeast"/>
        </w:trPr>
        <w:tc>
          <w:tcPr>
            <w:tcW w:w="480" w:type="pct"/>
            <w:tcBorders>
              <w:top w:val="nil"/>
              <w:left w:val="single" w:color="000000" w:sz="4" w:space="0"/>
              <w:bottom w:val="single" w:color="000000" w:sz="4" w:space="0"/>
              <w:right w:val="single" w:color="000000" w:sz="4" w:space="0"/>
            </w:tcBorders>
            <w:shd w:val="clear" w:color="auto" w:fill="auto"/>
            <w:vAlign w:val="center"/>
          </w:tcPr>
          <w:p w14:paraId="27349E44">
            <w:pPr>
              <w:pStyle w:val="57"/>
              <w:rPr>
                <w:rFonts w:ascii="Times New Roman" w:cs="Times New Roman"/>
              </w:rPr>
            </w:pPr>
            <w:r>
              <w:rPr>
                <w:rFonts w:ascii="Times New Roman" w:cs="Times New Roman"/>
              </w:rPr>
              <w:t>17</w:t>
            </w:r>
          </w:p>
        </w:tc>
        <w:tc>
          <w:tcPr>
            <w:tcW w:w="976" w:type="pct"/>
            <w:tcBorders>
              <w:top w:val="nil"/>
              <w:left w:val="nil"/>
              <w:bottom w:val="single" w:color="auto" w:sz="4" w:space="0"/>
              <w:right w:val="single" w:color="auto" w:sz="4" w:space="0"/>
            </w:tcBorders>
            <w:shd w:val="clear" w:color="auto" w:fill="auto"/>
            <w:vAlign w:val="center"/>
          </w:tcPr>
          <w:p w14:paraId="52A6D908">
            <w:pPr>
              <w:pStyle w:val="57"/>
              <w:rPr>
                <w:rFonts w:ascii="Times New Roman" w:cs="Times New Roman"/>
              </w:rPr>
            </w:pPr>
            <w:r>
              <w:rPr>
                <w:rFonts w:ascii="Times New Roman" w:cs="Times New Roman"/>
              </w:rPr>
              <w:t>泰兴市</w:t>
            </w:r>
          </w:p>
        </w:tc>
        <w:tc>
          <w:tcPr>
            <w:tcW w:w="1528" w:type="pct"/>
            <w:tcBorders>
              <w:top w:val="nil"/>
              <w:left w:val="nil"/>
              <w:bottom w:val="single" w:color="auto" w:sz="4" w:space="0"/>
              <w:right w:val="single" w:color="auto" w:sz="4" w:space="0"/>
            </w:tcBorders>
            <w:shd w:val="clear" w:color="auto" w:fill="auto"/>
            <w:vAlign w:val="center"/>
          </w:tcPr>
          <w:p w14:paraId="536569EA">
            <w:pPr>
              <w:pStyle w:val="57"/>
            </w:pPr>
            <w:r>
              <w:rPr>
                <w:rFonts w:hint="eastAsia"/>
              </w:rPr>
              <w:t>肖桥中沟涵洞</w:t>
            </w:r>
          </w:p>
        </w:tc>
        <w:tc>
          <w:tcPr>
            <w:tcW w:w="1142" w:type="pct"/>
            <w:tcBorders>
              <w:top w:val="nil"/>
              <w:left w:val="nil"/>
              <w:bottom w:val="single" w:color="auto" w:sz="4" w:space="0"/>
              <w:right w:val="single" w:color="auto" w:sz="4" w:space="0"/>
            </w:tcBorders>
            <w:shd w:val="clear" w:color="auto" w:fill="auto"/>
            <w:vAlign w:val="center"/>
          </w:tcPr>
          <w:p w14:paraId="0E01796C">
            <w:pPr>
              <w:pStyle w:val="57"/>
              <w:rPr>
                <w:rFonts w:ascii="Times New Roman" w:cs="Times New Roman"/>
              </w:rPr>
            </w:pPr>
            <w:r>
              <w:rPr>
                <w:rFonts w:ascii="Times New Roman" w:cs="Times New Roman"/>
              </w:rPr>
              <w:t>肖桥中沟</w:t>
            </w:r>
          </w:p>
        </w:tc>
        <w:tc>
          <w:tcPr>
            <w:tcW w:w="875" w:type="pct"/>
            <w:tcBorders>
              <w:top w:val="nil"/>
              <w:left w:val="nil"/>
              <w:bottom w:val="single" w:color="auto" w:sz="4" w:space="0"/>
              <w:right w:val="single" w:color="auto" w:sz="4" w:space="0"/>
            </w:tcBorders>
            <w:shd w:val="clear" w:color="auto" w:fill="auto"/>
            <w:vAlign w:val="center"/>
          </w:tcPr>
          <w:p w14:paraId="6C97830D">
            <w:pPr>
              <w:pStyle w:val="57"/>
              <w:rPr>
                <w:rFonts w:ascii="Times New Roman" w:cs="Times New Roman"/>
              </w:rPr>
            </w:pPr>
            <w:r>
              <w:rPr>
                <w:rFonts w:ascii="Times New Roman" w:cs="Times New Roman"/>
              </w:rPr>
              <w:t>　</w:t>
            </w:r>
          </w:p>
        </w:tc>
      </w:tr>
      <w:tr w14:paraId="43FC13EC">
        <w:tblPrEx>
          <w:tblCellMar>
            <w:top w:w="0" w:type="dxa"/>
            <w:left w:w="108" w:type="dxa"/>
            <w:bottom w:w="0" w:type="dxa"/>
            <w:right w:w="108" w:type="dxa"/>
          </w:tblCellMar>
        </w:tblPrEx>
        <w:trPr>
          <w:trHeight w:val="20" w:hRule="atLeast"/>
        </w:trPr>
        <w:tc>
          <w:tcPr>
            <w:tcW w:w="480" w:type="pct"/>
            <w:tcBorders>
              <w:top w:val="nil"/>
              <w:left w:val="single" w:color="000000" w:sz="4" w:space="0"/>
              <w:bottom w:val="single" w:color="000000" w:sz="4" w:space="0"/>
              <w:right w:val="single" w:color="000000" w:sz="4" w:space="0"/>
            </w:tcBorders>
            <w:shd w:val="clear" w:color="auto" w:fill="auto"/>
            <w:vAlign w:val="center"/>
          </w:tcPr>
          <w:p w14:paraId="7FE714CB">
            <w:pPr>
              <w:pStyle w:val="57"/>
              <w:rPr>
                <w:rFonts w:ascii="Times New Roman" w:cs="Times New Roman"/>
              </w:rPr>
            </w:pPr>
            <w:r>
              <w:rPr>
                <w:rFonts w:ascii="Times New Roman" w:cs="Times New Roman"/>
              </w:rPr>
              <w:t>18</w:t>
            </w:r>
          </w:p>
        </w:tc>
        <w:tc>
          <w:tcPr>
            <w:tcW w:w="976" w:type="pct"/>
            <w:tcBorders>
              <w:top w:val="nil"/>
              <w:left w:val="nil"/>
              <w:bottom w:val="single" w:color="auto" w:sz="4" w:space="0"/>
              <w:right w:val="single" w:color="auto" w:sz="4" w:space="0"/>
            </w:tcBorders>
            <w:shd w:val="clear" w:color="auto" w:fill="auto"/>
            <w:vAlign w:val="center"/>
          </w:tcPr>
          <w:p w14:paraId="1223D214">
            <w:pPr>
              <w:pStyle w:val="57"/>
              <w:rPr>
                <w:rFonts w:ascii="Times New Roman" w:cs="Times New Roman"/>
              </w:rPr>
            </w:pPr>
            <w:r>
              <w:rPr>
                <w:rFonts w:ascii="Times New Roman" w:cs="Times New Roman"/>
              </w:rPr>
              <w:t>泰兴市</w:t>
            </w:r>
          </w:p>
        </w:tc>
        <w:tc>
          <w:tcPr>
            <w:tcW w:w="1528" w:type="pct"/>
            <w:tcBorders>
              <w:top w:val="nil"/>
              <w:left w:val="nil"/>
              <w:bottom w:val="single" w:color="auto" w:sz="4" w:space="0"/>
              <w:right w:val="single" w:color="auto" w:sz="4" w:space="0"/>
            </w:tcBorders>
            <w:shd w:val="clear" w:color="auto" w:fill="auto"/>
            <w:vAlign w:val="center"/>
          </w:tcPr>
          <w:p w14:paraId="196808D6">
            <w:pPr>
              <w:pStyle w:val="57"/>
            </w:pPr>
            <w:r>
              <w:rPr>
                <w:rFonts w:hint="eastAsia"/>
              </w:rPr>
              <w:t>光明中沟涵洞</w:t>
            </w:r>
          </w:p>
        </w:tc>
        <w:tc>
          <w:tcPr>
            <w:tcW w:w="1142" w:type="pct"/>
            <w:tcBorders>
              <w:top w:val="nil"/>
              <w:left w:val="nil"/>
              <w:bottom w:val="single" w:color="auto" w:sz="4" w:space="0"/>
              <w:right w:val="single" w:color="auto" w:sz="4" w:space="0"/>
            </w:tcBorders>
            <w:shd w:val="clear" w:color="auto" w:fill="auto"/>
            <w:vAlign w:val="center"/>
          </w:tcPr>
          <w:p w14:paraId="1707B35E">
            <w:pPr>
              <w:pStyle w:val="57"/>
              <w:rPr>
                <w:rFonts w:ascii="Times New Roman" w:cs="Times New Roman"/>
              </w:rPr>
            </w:pPr>
            <w:r>
              <w:rPr>
                <w:rFonts w:ascii="Times New Roman" w:cs="Times New Roman"/>
              </w:rPr>
              <w:t>光明中沟</w:t>
            </w:r>
          </w:p>
        </w:tc>
        <w:tc>
          <w:tcPr>
            <w:tcW w:w="875" w:type="pct"/>
            <w:tcBorders>
              <w:top w:val="nil"/>
              <w:left w:val="nil"/>
              <w:bottom w:val="single" w:color="auto" w:sz="4" w:space="0"/>
              <w:right w:val="single" w:color="auto" w:sz="4" w:space="0"/>
            </w:tcBorders>
            <w:shd w:val="clear" w:color="auto" w:fill="auto"/>
            <w:vAlign w:val="center"/>
          </w:tcPr>
          <w:p w14:paraId="47B7BE82">
            <w:pPr>
              <w:pStyle w:val="57"/>
              <w:rPr>
                <w:rFonts w:ascii="Times New Roman" w:cs="Times New Roman"/>
              </w:rPr>
            </w:pPr>
            <w:r>
              <w:rPr>
                <w:rFonts w:ascii="Times New Roman" w:cs="Times New Roman"/>
              </w:rPr>
              <w:t>　</w:t>
            </w:r>
          </w:p>
        </w:tc>
      </w:tr>
      <w:tr w14:paraId="6BA5990C">
        <w:tblPrEx>
          <w:tblCellMar>
            <w:top w:w="0" w:type="dxa"/>
            <w:left w:w="108" w:type="dxa"/>
            <w:bottom w:w="0" w:type="dxa"/>
            <w:right w:w="108" w:type="dxa"/>
          </w:tblCellMar>
        </w:tblPrEx>
        <w:trPr>
          <w:trHeight w:val="20" w:hRule="atLeast"/>
        </w:trPr>
        <w:tc>
          <w:tcPr>
            <w:tcW w:w="480" w:type="pct"/>
            <w:tcBorders>
              <w:top w:val="nil"/>
              <w:left w:val="single" w:color="000000" w:sz="4" w:space="0"/>
              <w:bottom w:val="single" w:color="000000" w:sz="4" w:space="0"/>
              <w:right w:val="single" w:color="000000" w:sz="4" w:space="0"/>
            </w:tcBorders>
            <w:shd w:val="clear" w:color="auto" w:fill="auto"/>
            <w:vAlign w:val="center"/>
          </w:tcPr>
          <w:p w14:paraId="4D01166B">
            <w:pPr>
              <w:pStyle w:val="57"/>
              <w:rPr>
                <w:rFonts w:ascii="Times New Roman" w:cs="Times New Roman"/>
              </w:rPr>
            </w:pPr>
            <w:r>
              <w:rPr>
                <w:rFonts w:ascii="Times New Roman" w:cs="Times New Roman"/>
              </w:rPr>
              <w:t>19</w:t>
            </w:r>
          </w:p>
        </w:tc>
        <w:tc>
          <w:tcPr>
            <w:tcW w:w="976" w:type="pct"/>
            <w:tcBorders>
              <w:top w:val="nil"/>
              <w:left w:val="nil"/>
              <w:bottom w:val="single" w:color="auto" w:sz="4" w:space="0"/>
              <w:right w:val="single" w:color="auto" w:sz="4" w:space="0"/>
            </w:tcBorders>
            <w:shd w:val="clear" w:color="auto" w:fill="auto"/>
            <w:vAlign w:val="center"/>
          </w:tcPr>
          <w:p w14:paraId="504D1C6D">
            <w:pPr>
              <w:pStyle w:val="57"/>
              <w:rPr>
                <w:rFonts w:ascii="Times New Roman" w:cs="Times New Roman"/>
              </w:rPr>
            </w:pPr>
            <w:r>
              <w:rPr>
                <w:rFonts w:ascii="Times New Roman" w:cs="Times New Roman"/>
              </w:rPr>
              <w:t>泰兴市</w:t>
            </w:r>
          </w:p>
        </w:tc>
        <w:tc>
          <w:tcPr>
            <w:tcW w:w="1528" w:type="pct"/>
            <w:tcBorders>
              <w:top w:val="nil"/>
              <w:left w:val="nil"/>
              <w:bottom w:val="single" w:color="auto" w:sz="4" w:space="0"/>
              <w:right w:val="single" w:color="auto" w:sz="4" w:space="0"/>
            </w:tcBorders>
            <w:shd w:val="clear" w:color="auto" w:fill="auto"/>
            <w:vAlign w:val="center"/>
          </w:tcPr>
          <w:p w14:paraId="5E29834E">
            <w:pPr>
              <w:pStyle w:val="57"/>
            </w:pPr>
            <w:r>
              <w:rPr>
                <w:rFonts w:hint="eastAsia"/>
              </w:rPr>
              <w:t>跃进中沟涵洞</w:t>
            </w:r>
          </w:p>
        </w:tc>
        <w:tc>
          <w:tcPr>
            <w:tcW w:w="1142" w:type="pct"/>
            <w:tcBorders>
              <w:top w:val="nil"/>
              <w:left w:val="nil"/>
              <w:bottom w:val="single" w:color="auto" w:sz="4" w:space="0"/>
              <w:right w:val="single" w:color="auto" w:sz="4" w:space="0"/>
            </w:tcBorders>
            <w:shd w:val="clear" w:color="auto" w:fill="auto"/>
            <w:vAlign w:val="center"/>
          </w:tcPr>
          <w:p w14:paraId="13BDB1B0">
            <w:pPr>
              <w:pStyle w:val="57"/>
              <w:rPr>
                <w:rFonts w:ascii="Times New Roman" w:cs="Times New Roman"/>
              </w:rPr>
            </w:pPr>
            <w:r>
              <w:rPr>
                <w:rFonts w:ascii="Times New Roman" w:cs="Times New Roman"/>
              </w:rPr>
              <w:t>跃进中沟</w:t>
            </w:r>
          </w:p>
        </w:tc>
        <w:tc>
          <w:tcPr>
            <w:tcW w:w="875" w:type="pct"/>
            <w:tcBorders>
              <w:top w:val="nil"/>
              <w:left w:val="nil"/>
              <w:bottom w:val="single" w:color="auto" w:sz="4" w:space="0"/>
              <w:right w:val="single" w:color="auto" w:sz="4" w:space="0"/>
            </w:tcBorders>
            <w:shd w:val="clear" w:color="auto" w:fill="auto"/>
            <w:vAlign w:val="center"/>
          </w:tcPr>
          <w:p w14:paraId="3E2F9604">
            <w:pPr>
              <w:pStyle w:val="57"/>
              <w:rPr>
                <w:rFonts w:ascii="Times New Roman" w:cs="Times New Roman"/>
              </w:rPr>
            </w:pPr>
            <w:r>
              <w:rPr>
                <w:rFonts w:ascii="Times New Roman" w:cs="Times New Roman"/>
              </w:rPr>
              <w:t>　</w:t>
            </w:r>
          </w:p>
        </w:tc>
      </w:tr>
      <w:tr w14:paraId="4A1D7B84">
        <w:tblPrEx>
          <w:tblCellMar>
            <w:top w:w="0" w:type="dxa"/>
            <w:left w:w="108" w:type="dxa"/>
            <w:bottom w:w="0" w:type="dxa"/>
            <w:right w:w="108" w:type="dxa"/>
          </w:tblCellMar>
        </w:tblPrEx>
        <w:trPr>
          <w:trHeight w:val="20" w:hRule="atLeast"/>
        </w:trPr>
        <w:tc>
          <w:tcPr>
            <w:tcW w:w="480" w:type="pct"/>
            <w:tcBorders>
              <w:top w:val="nil"/>
              <w:left w:val="single" w:color="000000" w:sz="4" w:space="0"/>
              <w:bottom w:val="single" w:color="000000" w:sz="4" w:space="0"/>
              <w:right w:val="single" w:color="000000" w:sz="4" w:space="0"/>
            </w:tcBorders>
            <w:shd w:val="clear" w:color="auto" w:fill="auto"/>
            <w:vAlign w:val="center"/>
          </w:tcPr>
          <w:p w14:paraId="41FD9A7D">
            <w:pPr>
              <w:pStyle w:val="57"/>
              <w:rPr>
                <w:rFonts w:ascii="Times New Roman" w:cs="Times New Roman"/>
              </w:rPr>
            </w:pPr>
            <w:r>
              <w:rPr>
                <w:rFonts w:ascii="Times New Roman" w:cs="Times New Roman"/>
              </w:rPr>
              <w:t>20</w:t>
            </w:r>
          </w:p>
        </w:tc>
        <w:tc>
          <w:tcPr>
            <w:tcW w:w="976" w:type="pct"/>
            <w:tcBorders>
              <w:top w:val="nil"/>
              <w:left w:val="nil"/>
              <w:bottom w:val="single" w:color="auto" w:sz="4" w:space="0"/>
              <w:right w:val="single" w:color="auto" w:sz="4" w:space="0"/>
            </w:tcBorders>
            <w:shd w:val="clear" w:color="auto" w:fill="auto"/>
            <w:vAlign w:val="center"/>
          </w:tcPr>
          <w:p w14:paraId="083006BC">
            <w:pPr>
              <w:pStyle w:val="57"/>
              <w:rPr>
                <w:rFonts w:ascii="Times New Roman" w:cs="Times New Roman"/>
              </w:rPr>
            </w:pPr>
            <w:r>
              <w:rPr>
                <w:rFonts w:ascii="Times New Roman" w:cs="Times New Roman"/>
              </w:rPr>
              <w:t>泰兴市</w:t>
            </w:r>
          </w:p>
        </w:tc>
        <w:tc>
          <w:tcPr>
            <w:tcW w:w="1528" w:type="pct"/>
            <w:tcBorders>
              <w:top w:val="nil"/>
              <w:left w:val="nil"/>
              <w:bottom w:val="single" w:color="auto" w:sz="4" w:space="0"/>
              <w:right w:val="single" w:color="auto" w:sz="4" w:space="0"/>
            </w:tcBorders>
            <w:shd w:val="clear" w:color="auto" w:fill="auto"/>
            <w:vAlign w:val="center"/>
          </w:tcPr>
          <w:p w14:paraId="623B664D">
            <w:pPr>
              <w:pStyle w:val="57"/>
            </w:pPr>
            <w:r>
              <w:rPr>
                <w:rFonts w:hint="eastAsia"/>
              </w:rPr>
              <w:t>二号生产河涵洞</w:t>
            </w:r>
          </w:p>
        </w:tc>
        <w:tc>
          <w:tcPr>
            <w:tcW w:w="1142" w:type="pct"/>
            <w:tcBorders>
              <w:top w:val="nil"/>
              <w:left w:val="nil"/>
              <w:bottom w:val="single" w:color="auto" w:sz="4" w:space="0"/>
              <w:right w:val="single" w:color="auto" w:sz="4" w:space="0"/>
            </w:tcBorders>
            <w:shd w:val="clear" w:color="auto" w:fill="auto"/>
            <w:vAlign w:val="center"/>
          </w:tcPr>
          <w:p w14:paraId="54185D4F">
            <w:pPr>
              <w:pStyle w:val="57"/>
              <w:rPr>
                <w:rFonts w:ascii="Times New Roman" w:cs="Times New Roman"/>
              </w:rPr>
            </w:pPr>
            <w:r>
              <w:rPr>
                <w:rFonts w:ascii="Times New Roman" w:cs="Times New Roman"/>
              </w:rPr>
              <w:t>二号生产河</w:t>
            </w:r>
          </w:p>
        </w:tc>
        <w:tc>
          <w:tcPr>
            <w:tcW w:w="875" w:type="pct"/>
            <w:tcBorders>
              <w:top w:val="nil"/>
              <w:left w:val="nil"/>
              <w:bottom w:val="single" w:color="auto" w:sz="4" w:space="0"/>
              <w:right w:val="single" w:color="auto" w:sz="4" w:space="0"/>
            </w:tcBorders>
            <w:shd w:val="clear" w:color="auto" w:fill="auto"/>
            <w:vAlign w:val="center"/>
          </w:tcPr>
          <w:p w14:paraId="21510085">
            <w:pPr>
              <w:pStyle w:val="57"/>
              <w:rPr>
                <w:rFonts w:ascii="Times New Roman" w:cs="Times New Roman"/>
              </w:rPr>
            </w:pPr>
            <w:r>
              <w:rPr>
                <w:rFonts w:ascii="Times New Roman" w:cs="Times New Roman"/>
              </w:rPr>
              <w:t>　</w:t>
            </w:r>
          </w:p>
        </w:tc>
      </w:tr>
      <w:tr w14:paraId="47348CC9">
        <w:tblPrEx>
          <w:tblCellMar>
            <w:top w:w="0" w:type="dxa"/>
            <w:left w:w="108" w:type="dxa"/>
            <w:bottom w:w="0" w:type="dxa"/>
            <w:right w:w="108" w:type="dxa"/>
          </w:tblCellMar>
        </w:tblPrEx>
        <w:trPr>
          <w:trHeight w:val="20" w:hRule="atLeast"/>
        </w:trPr>
        <w:tc>
          <w:tcPr>
            <w:tcW w:w="480" w:type="pct"/>
            <w:tcBorders>
              <w:top w:val="nil"/>
              <w:left w:val="single" w:color="000000" w:sz="4" w:space="0"/>
              <w:bottom w:val="single" w:color="000000" w:sz="4" w:space="0"/>
              <w:right w:val="single" w:color="000000" w:sz="4" w:space="0"/>
            </w:tcBorders>
            <w:shd w:val="clear" w:color="auto" w:fill="auto"/>
            <w:vAlign w:val="center"/>
          </w:tcPr>
          <w:p w14:paraId="6765D8AF">
            <w:pPr>
              <w:pStyle w:val="57"/>
              <w:rPr>
                <w:rFonts w:ascii="Times New Roman" w:cs="Times New Roman"/>
              </w:rPr>
            </w:pPr>
            <w:r>
              <w:rPr>
                <w:rFonts w:ascii="Times New Roman" w:cs="Times New Roman"/>
              </w:rPr>
              <w:t>21</w:t>
            </w:r>
          </w:p>
        </w:tc>
        <w:tc>
          <w:tcPr>
            <w:tcW w:w="976" w:type="pct"/>
            <w:tcBorders>
              <w:top w:val="nil"/>
              <w:left w:val="nil"/>
              <w:bottom w:val="single" w:color="auto" w:sz="4" w:space="0"/>
              <w:right w:val="single" w:color="auto" w:sz="4" w:space="0"/>
            </w:tcBorders>
            <w:shd w:val="clear" w:color="auto" w:fill="auto"/>
            <w:vAlign w:val="center"/>
          </w:tcPr>
          <w:p w14:paraId="49E8ACF1">
            <w:pPr>
              <w:pStyle w:val="57"/>
              <w:rPr>
                <w:rFonts w:ascii="Times New Roman" w:cs="Times New Roman"/>
              </w:rPr>
            </w:pPr>
            <w:r>
              <w:rPr>
                <w:rFonts w:ascii="Times New Roman" w:cs="Times New Roman"/>
              </w:rPr>
              <w:t>泰兴市</w:t>
            </w:r>
          </w:p>
        </w:tc>
        <w:tc>
          <w:tcPr>
            <w:tcW w:w="1528" w:type="pct"/>
            <w:tcBorders>
              <w:top w:val="nil"/>
              <w:left w:val="nil"/>
              <w:bottom w:val="single" w:color="auto" w:sz="4" w:space="0"/>
              <w:right w:val="single" w:color="auto" w:sz="4" w:space="0"/>
            </w:tcBorders>
            <w:shd w:val="clear" w:color="auto" w:fill="auto"/>
            <w:vAlign w:val="center"/>
          </w:tcPr>
          <w:p w14:paraId="092B1F4C">
            <w:pPr>
              <w:pStyle w:val="57"/>
            </w:pPr>
            <w:r>
              <w:rPr>
                <w:rFonts w:hint="eastAsia"/>
              </w:rPr>
              <w:t>沿河居民涵洞</w:t>
            </w:r>
          </w:p>
        </w:tc>
        <w:tc>
          <w:tcPr>
            <w:tcW w:w="1142" w:type="pct"/>
            <w:tcBorders>
              <w:top w:val="nil"/>
              <w:left w:val="nil"/>
              <w:bottom w:val="single" w:color="auto" w:sz="4" w:space="0"/>
              <w:right w:val="single" w:color="auto" w:sz="4" w:space="0"/>
            </w:tcBorders>
            <w:shd w:val="clear" w:color="auto" w:fill="auto"/>
            <w:vAlign w:val="center"/>
          </w:tcPr>
          <w:p w14:paraId="73D3E3B1">
            <w:pPr>
              <w:pStyle w:val="57"/>
              <w:rPr>
                <w:rFonts w:ascii="Times New Roman" w:cs="Times New Roman"/>
              </w:rPr>
            </w:pPr>
            <w:r>
              <w:rPr>
                <w:rFonts w:ascii="Times New Roman" w:cs="Times New Roman"/>
              </w:rPr>
              <w:t>沿河居民河</w:t>
            </w:r>
          </w:p>
        </w:tc>
        <w:tc>
          <w:tcPr>
            <w:tcW w:w="875" w:type="pct"/>
            <w:tcBorders>
              <w:top w:val="nil"/>
              <w:left w:val="nil"/>
              <w:bottom w:val="single" w:color="auto" w:sz="4" w:space="0"/>
              <w:right w:val="single" w:color="auto" w:sz="4" w:space="0"/>
            </w:tcBorders>
            <w:shd w:val="clear" w:color="auto" w:fill="auto"/>
            <w:vAlign w:val="center"/>
          </w:tcPr>
          <w:p w14:paraId="44F4496F">
            <w:pPr>
              <w:pStyle w:val="57"/>
              <w:rPr>
                <w:rFonts w:ascii="Times New Roman" w:cs="Times New Roman"/>
              </w:rPr>
            </w:pPr>
            <w:r>
              <w:rPr>
                <w:rFonts w:ascii="Times New Roman" w:cs="Times New Roman"/>
              </w:rPr>
              <w:t>　</w:t>
            </w:r>
          </w:p>
        </w:tc>
      </w:tr>
      <w:tr w14:paraId="22333376">
        <w:tblPrEx>
          <w:tblCellMar>
            <w:top w:w="0" w:type="dxa"/>
            <w:left w:w="108" w:type="dxa"/>
            <w:bottom w:w="0" w:type="dxa"/>
            <w:right w:w="108" w:type="dxa"/>
          </w:tblCellMar>
        </w:tblPrEx>
        <w:trPr>
          <w:trHeight w:val="20" w:hRule="atLeast"/>
        </w:trPr>
        <w:tc>
          <w:tcPr>
            <w:tcW w:w="480" w:type="pct"/>
            <w:tcBorders>
              <w:top w:val="nil"/>
              <w:left w:val="single" w:color="000000" w:sz="4" w:space="0"/>
              <w:bottom w:val="single" w:color="000000" w:sz="4" w:space="0"/>
              <w:right w:val="single" w:color="000000" w:sz="4" w:space="0"/>
            </w:tcBorders>
            <w:shd w:val="clear" w:color="auto" w:fill="auto"/>
            <w:vAlign w:val="center"/>
          </w:tcPr>
          <w:p w14:paraId="13588758">
            <w:pPr>
              <w:pStyle w:val="57"/>
              <w:rPr>
                <w:rFonts w:ascii="Times New Roman" w:cs="Times New Roman"/>
              </w:rPr>
            </w:pPr>
            <w:r>
              <w:rPr>
                <w:rFonts w:ascii="Times New Roman" w:cs="Times New Roman"/>
              </w:rPr>
              <w:t>22</w:t>
            </w:r>
          </w:p>
        </w:tc>
        <w:tc>
          <w:tcPr>
            <w:tcW w:w="976" w:type="pct"/>
            <w:tcBorders>
              <w:top w:val="nil"/>
              <w:left w:val="nil"/>
              <w:bottom w:val="single" w:color="auto" w:sz="4" w:space="0"/>
              <w:right w:val="single" w:color="auto" w:sz="4" w:space="0"/>
            </w:tcBorders>
            <w:shd w:val="clear" w:color="auto" w:fill="auto"/>
            <w:vAlign w:val="center"/>
          </w:tcPr>
          <w:p w14:paraId="49BF3194">
            <w:pPr>
              <w:pStyle w:val="57"/>
              <w:rPr>
                <w:rFonts w:ascii="Times New Roman" w:cs="Times New Roman"/>
              </w:rPr>
            </w:pPr>
            <w:r>
              <w:rPr>
                <w:rFonts w:ascii="Times New Roman" w:cs="Times New Roman"/>
              </w:rPr>
              <w:t>泰兴市</w:t>
            </w:r>
          </w:p>
        </w:tc>
        <w:tc>
          <w:tcPr>
            <w:tcW w:w="1528" w:type="pct"/>
            <w:tcBorders>
              <w:top w:val="nil"/>
              <w:left w:val="nil"/>
              <w:bottom w:val="single" w:color="auto" w:sz="4" w:space="0"/>
              <w:right w:val="single" w:color="auto" w:sz="4" w:space="0"/>
            </w:tcBorders>
            <w:shd w:val="clear" w:color="auto" w:fill="auto"/>
            <w:vAlign w:val="center"/>
          </w:tcPr>
          <w:p w14:paraId="27E67467">
            <w:pPr>
              <w:pStyle w:val="57"/>
            </w:pPr>
            <w:r>
              <w:rPr>
                <w:rFonts w:hint="eastAsia"/>
              </w:rPr>
              <w:t>扒头港涵洞</w:t>
            </w:r>
          </w:p>
        </w:tc>
        <w:tc>
          <w:tcPr>
            <w:tcW w:w="1142" w:type="pct"/>
            <w:tcBorders>
              <w:top w:val="nil"/>
              <w:left w:val="nil"/>
              <w:bottom w:val="single" w:color="auto" w:sz="4" w:space="0"/>
              <w:right w:val="single" w:color="auto" w:sz="4" w:space="0"/>
            </w:tcBorders>
            <w:shd w:val="clear" w:color="auto" w:fill="auto"/>
            <w:vAlign w:val="center"/>
          </w:tcPr>
          <w:p w14:paraId="521E63CE">
            <w:pPr>
              <w:pStyle w:val="57"/>
              <w:rPr>
                <w:rFonts w:ascii="Times New Roman" w:cs="Times New Roman"/>
              </w:rPr>
            </w:pPr>
            <w:r>
              <w:rPr>
                <w:rFonts w:ascii="Times New Roman" w:cs="Times New Roman"/>
              </w:rPr>
              <w:t>扒头港</w:t>
            </w:r>
          </w:p>
        </w:tc>
        <w:tc>
          <w:tcPr>
            <w:tcW w:w="875" w:type="pct"/>
            <w:tcBorders>
              <w:top w:val="nil"/>
              <w:left w:val="nil"/>
              <w:bottom w:val="single" w:color="auto" w:sz="4" w:space="0"/>
              <w:right w:val="single" w:color="auto" w:sz="4" w:space="0"/>
            </w:tcBorders>
            <w:shd w:val="clear" w:color="auto" w:fill="auto"/>
            <w:vAlign w:val="center"/>
          </w:tcPr>
          <w:p w14:paraId="0A61CEE7">
            <w:pPr>
              <w:pStyle w:val="57"/>
              <w:rPr>
                <w:rFonts w:ascii="Times New Roman" w:cs="Times New Roman"/>
              </w:rPr>
            </w:pPr>
            <w:r>
              <w:rPr>
                <w:rFonts w:ascii="Times New Roman" w:cs="Times New Roman"/>
              </w:rPr>
              <w:t>　</w:t>
            </w:r>
          </w:p>
        </w:tc>
      </w:tr>
      <w:tr w14:paraId="194D8134">
        <w:tblPrEx>
          <w:tblCellMar>
            <w:top w:w="0" w:type="dxa"/>
            <w:left w:w="108" w:type="dxa"/>
            <w:bottom w:w="0" w:type="dxa"/>
            <w:right w:w="108" w:type="dxa"/>
          </w:tblCellMar>
        </w:tblPrEx>
        <w:trPr>
          <w:trHeight w:val="20" w:hRule="atLeast"/>
        </w:trPr>
        <w:tc>
          <w:tcPr>
            <w:tcW w:w="480" w:type="pct"/>
            <w:tcBorders>
              <w:top w:val="nil"/>
              <w:left w:val="single" w:color="000000" w:sz="4" w:space="0"/>
              <w:bottom w:val="single" w:color="000000" w:sz="4" w:space="0"/>
              <w:right w:val="single" w:color="000000" w:sz="4" w:space="0"/>
            </w:tcBorders>
            <w:shd w:val="clear" w:color="auto" w:fill="auto"/>
            <w:vAlign w:val="center"/>
          </w:tcPr>
          <w:p w14:paraId="27B667A8">
            <w:pPr>
              <w:pStyle w:val="57"/>
              <w:rPr>
                <w:rFonts w:ascii="Times New Roman" w:cs="Times New Roman"/>
              </w:rPr>
            </w:pPr>
            <w:r>
              <w:rPr>
                <w:rFonts w:ascii="Times New Roman" w:cs="Times New Roman"/>
              </w:rPr>
              <w:t>23</w:t>
            </w:r>
          </w:p>
        </w:tc>
        <w:tc>
          <w:tcPr>
            <w:tcW w:w="976" w:type="pct"/>
            <w:tcBorders>
              <w:top w:val="nil"/>
              <w:left w:val="nil"/>
              <w:bottom w:val="single" w:color="auto" w:sz="4" w:space="0"/>
              <w:right w:val="single" w:color="auto" w:sz="4" w:space="0"/>
            </w:tcBorders>
            <w:shd w:val="clear" w:color="auto" w:fill="auto"/>
            <w:vAlign w:val="center"/>
          </w:tcPr>
          <w:p w14:paraId="72F4FD63">
            <w:pPr>
              <w:pStyle w:val="57"/>
              <w:rPr>
                <w:rFonts w:ascii="Times New Roman" w:cs="Times New Roman"/>
              </w:rPr>
            </w:pPr>
            <w:r>
              <w:rPr>
                <w:rFonts w:ascii="Times New Roman" w:cs="Times New Roman"/>
              </w:rPr>
              <w:t>泰兴市</w:t>
            </w:r>
          </w:p>
        </w:tc>
        <w:tc>
          <w:tcPr>
            <w:tcW w:w="1528" w:type="pct"/>
            <w:tcBorders>
              <w:top w:val="nil"/>
              <w:left w:val="nil"/>
              <w:bottom w:val="single" w:color="auto" w:sz="4" w:space="0"/>
              <w:right w:val="single" w:color="auto" w:sz="4" w:space="0"/>
            </w:tcBorders>
            <w:shd w:val="clear" w:color="auto" w:fill="auto"/>
            <w:vAlign w:val="center"/>
          </w:tcPr>
          <w:p w14:paraId="38E791DF">
            <w:pPr>
              <w:pStyle w:val="57"/>
            </w:pPr>
            <w:r>
              <w:rPr>
                <w:rFonts w:hint="eastAsia"/>
              </w:rPr>
              <w:t>镇前引水河涵洞</w:t>
            </w:r>
          </w:p>
        </w:tc>
        <w:tc>
          <w:tcPr>
            <w:tcW w:w="1142" w:type="pct"/>
            <w:tcBorders>
              <w:top w:val="nil"/>
              <w:left w:val="nil"/>
              <w:bottom w:val="single" w:color="auto" w:sz="4" w:space="0"/>
              <w:right w:val="single" w:color="auto" w:sz="4" w:space="0"/>
            </w:tcBorders>
            <w:shd w:val="clear" w:color="auto" w:fill="auto"/>
            <w:vAlign w:val="center"/>
          </w:tcPr>
          <w:p w14:paraId="65E5DA04">
            <w:pPr>
              <w:pStyle w:val="57"/>
              <w:rPr>
                <w:rFonts w:ascii="Times New Roman" w:cs="Times New Roman"/>
              </w:rPr>
            </w:pPr>
            <w:r>
              <w:rPr>
                <w:rFonts w:ascii="Times New Roman" w:cs="Times New Roman"/>
              </w:rPr>
              <w:t>镇前引水河</w:t>
            </w:r>
          </w:p>
        </w:tc>
        <w:tc>
          <w:tcPr>
            <w:tcW w:w="875" w:type="pct"/>
            <w:tcBorders>
              <w:top w:val="nil"/>
              <w:left w:val="nil"/>
              <w:bottom w:val="single" w:color="auto" w:sz="4" w:space="0"/>
              <w:right w:val="single" w:color="auto" w:sz="4" w:space="0"/>
            </w:tcBorders>
            <w:shd w:val="clear" w:color="auto" w:fill="auto"/>
            <w:vAlign w:val="center"/>
          </w:tcPr>
          <w:p w14:paraId="1B626106">
            <w:pPr>
              <w:pStyle w:val="57"/>
              <w:rPr>
                <w:rFonts w:ascii="Times New Roman" w:cs="Times New Roman"/>
              </w:rPr>
            </w:pPr>
            <w:r>
              <w:rPr>
                <w:rFonts w:ascii="Times New Roman" w:cs="Times New Roman"/>
              </w:rPr>
              <w:t>　</w:t>
            </w:r>
          </w:p>
        </w:tc>
      </w:tr>
      <w:tr w14:paraId="743534D7">
        <w:tblPrEx>
          <w:tblCellMar>
            <w:top w:w="0" w:type="dxa"/>
            <w:left w:w="108" w:type="dxa"/>
            <w:bottom w:w="0" w:type="dxa"/>
            <w:right w:w="108" w:type="dxa"/>
          </w:tblCellMar>
        </w:tblPrEx>
        <w:trPr>
          <w:trHeight w:val="20" w:hRule="atLeast"/>
        </w:trPr>
        <w:tc>
          <w:tcPr>
            <w:tcW w:w="480" w:type="pct"/>
            <w:tcBorders>
              <w:top w:val="nil"/>
              <w:left w:val="single" w:color="000000" w:sz="4" w:space="0"/>
              <w:bottom w:val="single" w:color="000000" w:sz="4" w:space="0"/>
              <w:right w:val="single" w:color="000000" w:sz="4" w:space="0"/>
            </w:tcBorders>
            <w:shd w:val="clear" w:color="auto" w:fill="auto"/>
            <w:vAlign w:val="center"/>
          </w:tcPr>
          <w:p w14:paraId="2BF56B95">
            <w:pPr>
              <w:pStyle w:val="57"/>
              <w:rPr>
                <w:rFonts w:ascii="Times New Roman" w:cs="Times New Roman"/>
              </w:rPr>
            </w:pPr>
            <w:r>
              <w:rPr>
                <w:rFonts w:ascii="Times New Roman" w:cs="Times New Roman"/>
              </w:rPr>
              <w:t>24</w:t>
            </w:r>
          </w:p>
        </w:tc>
        <w:tc>
          <w:tcPr>
            <w:tcW w:w="976" w:type="pct"/>
            <w:tcBorders>
              <w:top w:val="nil"/>
              <w:left w:val="nil"/>
              <w:bottom w:val="single" w:color="auto" w:sz="4" w:space="0"/>
              <w:right w:val="single" w:color="auto" w:sz="4" w:space="0"/>
            </w:tcBorders>
            <w:shd w:val="clear" w:color="auto" w:fill="auto"/>
            <w:vAlign w:val="center"/>
          </w:tcPr>
          <w:p w14:paraId="20186F37">
            <w:pPr>
              <w:pStyle w:val="57"/>
              <w:rPr>
                <w:rFonts w:ascii="Times New Roman" w:cs="Times New Roman"/>
              </w:rPr>
            </w:pPr>
            <w:r>
              <w:rPr>
                <w:rFonts w:ascii="Times New Roman" w:cs="Times New Roman"/>
              </w:rPr>
              <w:t>泰兴市</w:t>
            </w:r>
          </w:p>
        </w:tc>
        <w:tc>
          <w:tcPr>
            <w:tcW w:w="1528" w:type="pct"/>
            <w:tcBorders>
              <w:top w:val="nil"/>
              <w:left w:val="nil"/>
              <w:bottom w:val="single" w:color="auto" w:sz="4" w:space="0"/>
              <w:right w:val="single" w:color="auto" w:sz="4" w:space="0"/>
            </w:tcBorders>
            <w:shd w:val="clear" w:color="auto" w:fill="auto"/>
            <w:vAlign w:val="center"/>
          </w:tcPr>
          <w:p w14:paraId="0C9E9585">
            <w:pPr>
              <w:pStyle w:val="57"/>
            </w:pPr>
            <w:r>
              <w:rPr>
                <w:rFonts w:hint="eastAsia"/>
              </w:rPr>
              <w:t>古周老河节制闸</w:t>
            </w:r>
          </w:p>
        </w:tc>
        <w:tc>
          <w:tcPr>
            <w:tcW w:w="1142" w:type="pct"/>
            <w:tcBorders>
              <w:top w:val="nil"/>
              <w:left w:val="nil"/>
              <w:bottom w:val="single" w:color="auto" w:sz="4" w:space="0"/>
              <w:right w:val="single" w:color="auto" w:sz="4" w:space="0"/>
            </w:tcBorders>
            <w:shd w:val="clear" w:color="auto" w:fill="auto"/>
            <w:vAlign w:val="center"/>
          </w:tcPr>
          <w:p w14:paraId="3553AA25">
            <w:pPr>
              <w:pStyle w:val="57"/>
              <w:rPr>
                <w:rFonts w:ascii="Times New Roman" w:cs="Times New Roman"/>
              </w:rPr>
            </w:pPr>
            <w:r>
              <w:rPr>
                <w:rFonts w:ascii="Times New Roman" w:cs="Times New Roman"/>
              </w:rPr>
              <w:t>古周老河</w:t>
            </w:r>
          </w:p>
        </w:tc>
        <w:tc>
          <w:tcPr>
            <w:tcW w:w="875" w:type="pct"/>
            <w:tcBorders>
              <w:top w:val="nil"/>
              <w:left w:val="nil"/>
              <w:bottom w:val="single" w:color="auto" w:sz="4" w:space="0"/>
              <w:right w:val="single" w:color="auto" w:sz="4" w:space="0"/>
            </w:tcBorders>
            <w:shd w:val="clear" w:color="auto" w:fill="auto"/>
            <w:vAlign w:val="center"/>
          </w:tcPr>
          <w:p w14:paraId="2F5FFEAE">
            <w:pPr>
              <w:pStyle w:val="57"/>
              <w:rPr>
                <w:rFonts w:ascii="Times New Roman" w:cs="Times New Roman"/>
              </w:rPr>
            </w:pPr>
            <w:r>
              <w:rPr>
                <w:rFonts w:ascii="Times New Roman" w:cs="Times New Roman"/>
              </w:rPr>
              <w:t>　</w:t>
            </w:r>
          </w:p>
        </w:tc>
      </w:tr>
      <w:tr w14:paraId="2AC0D929">
        <w:tblPrEx>
          <w:tblCellMar>
            <w:top w:w="0" w:type="dxa"/>
            <w:left w:w="108" w:type="dxa"/>
            <w:bottom w:w="0" w:type="dxa"/>
            <w:right w:w="108" w:type="dxa"/>
          </w:tblCellMar>
        </w:tblPrEx>
        <w:trPr>
          <w:trHeight w:val="20" w:hRule="atLeast"/>
        </w:trPr>
        <w:tc>
          <w:tcPr>
            <w:tcW w:w="480" w:type="pct"/>
            <w:tcBorders>
              <w:top w:val="nil"/>
              <w:left w:val="single" w:color="000000" w:sz="4" w:space="0"/>
              <w:bottom w:val="single" w:color="000000" w:sz="4" w:space="0"/>
              <w:right w:val="single" w:color="000000" w:sz="4" w:space="0"/>
            </w:tcBorders>
            <w:shd w:val="clear" w:color="auto" w:fill="auto"/>
            <w:vAlign w:val="center"/>
          </w:tcPr>
          <w:p w14:paraId="59A48E98">
            <w:pPr>
              <w:pStyle w:val="57"/>
              <w:rPr>
                <w:rFonts w:ascii="Times New Roman" w:cs="Times New Roman"/>
              </w:rPr>
            </w:pPr>
            <w:r>
              <w:rPr>
                <w:rFonts w:ascii="Times New Roman" w:cs="Times New Roman"/>
              </w:rPr>
              <w:t>25</w:t>
            </w:r>
          </w:p>
        </w:tc>
        <w:tc>
          <w:tcPr>
            <w:tcW w:w="976" w:type="pct"/>
            <w:tcBorders>
              <w:top w:val="nil"/>
              <w:left w:val="nil"/>
              <w:bottom w:val="single" w:color="auto" w:sz="4" w:space="0"/>
              <w:right w:val="single" w:color="auto" w:sz="4" w:space="0"/>
            </w:tcBorders>
            <w:shd w:val="clear" w:color="auto" w:fill="auto"/>
            <w:vAlign w:val="center"/>
          </w:tcPr>
          <w:p w14:paraId="5D3951D3">
            <w:pPr>
              <w:pStyle w:val="57"/>
              <w:rPr>
                <w:rFonts w:ascii="Times New Roman" w:cs="Times New Roman"/>
              </w:rPr>
            </w:pPr>
            <w:r>
              <w:rPr>
                <w:rFonts w:ascii="Times New Roman" w:cs="Times New Roman"/>
              </w:rPr>
              <w:t>泰兴市</w:t>
            </w:r>
          </w:p>
        </w:tc>
        <w:tc>
          <w:tcPr>
            <w:tcW w:w="1528" w:type="pct"/>
            <w:tcBorders>
              <w:top w:val="nil"/>
              <w:left w:val="nil"/>
              <w:bottom w:val="single" w:color="auto" w:sz="4" w:space="0"/>
              <w:right w:val="single" w:color="auto" w:sz="4" w:space="0"/>
            </w:tcBorders>
            <w:shd w:val="clear" w:color="auto" w:fill="auto"/>
            <w:vAlign w:val="center"/>
          </w:tcPr>
          <w:p w14:paraId="0F962A52">
            <w:pPr>
              <w:pStyle w:val="57"/>
            </w:pPr>
            <w:r>
              <w:rPr>
                <w:rFonts w:hint="eastAsia"/>
              </w:rPr>
              <w:t>封桥中沟涵洞</w:t>
            </w:r>
          </w:p>
        </w:tc>
        <w:tc>
          <w:tcPr>
            <w:tcW w:w="1142" w:type="pct"/>
            <w:tcBorders>
              <w:top w:val="nil"/>
              <w:left w:val="nil"/>
              <w:bottom w:val="single" w:color="auto" w:sz="4" w:space="0"/>
              <w:right w:val="single" w:color="auto" w:sz="4" w:space="0"/>
            </w:tcBorders>
            <w:shd w:val="clear" w:color="auto" w:fill="auto"/>
            <w:vAlign w:val="center"/>
          </w:tcPr>
          <w:p w14:paraId="13CF26B5">
            <w:pPr>
              <w:pStyle w:val="57"/>
              <w:rPr>
                <w:rFonts w:ascii="Times New Roman" w:cs="Times New Roman"/>
              </w:rPr>
            </w:pPr>
            <w:r>
              <w:rPr>
                <w:rFonts w:ascii="Times New Roman" w:cs="Times New Roman"/>
              </w:rPr>
              <w:t>封桥中沟</w:t>
            </w:r>
          </w:p>
        </w:tc>
        <w:tc>
          <w:tcPr>
            <w:tcW w:w="875" w:type="pct"/>
            <w:tcBorders>
              <w:top w:val="nil"/>
              <w:left w:val="nil"/>
              <w:bottom w:val="single" w:color="auto" w:sz="4" w:space="0"/>
              <w:right w:val="single" w:color="auto" w:sz="4" w:space="0"/>
            </w:tcBorders>
            <w:shd w:val="clear" w:color="auto" w:fill="auto"/>
            <w:vAlign w:val="center"/>
          </w:tcPr>
          <w:p w14:paraId="5975B1CD">
            <w:pPr>
              <w:pStyle w:val="57"/>
              <w:rPr>
                <w:rFonts w:ascii="Times New Roman" w:cs="Times New Roman"/>
              </w:rPr>
            </w:pPr>
            <w:r>
              <w:rPr>
                <w:rFonts w:ascii="Times New Roman" w:cs="Times New Roman"/>
              </w:rPr>
              <w:t>　</w:t>
            </w:r>
          </w:p>
        </w:tc>
      </w:tr>
      <w:tr w14:paraId="39889211">
        <w:tblPrEx>
          <w:tblCellMar>
            <w:top w:w="0" w:type="dxa"/>
            <w:left w:w="108" w:type="dxa"/>
            <w:bottom w:w="0" w:type="dxa"/>
            <w:right w:w="108" w:type="dxa"/>
          </w:tblCellMar>
        </w:tblPrEx>
        <w:trPr>
          <w:trHeight w:val="20" w:hRule="atLeast"/>
        </w:trPr>
        <w:tc>
          <w:tcPr>
            <w:tcW w:w="480" w:type="pct"/>
            <w:tcBorders>
              <w:top w:val="nil"/>
              <w:left w:val="single" w:color="000000" w:sz="4" w:space="0"/>
              <w:bottom w:val="single" w:color="000000" w:sz="4" w:space="0"/>
              <w:right w:val="single" w:color="000000" w:sz="4" w:space="0"/>
            </w:tcBorders>
            <w:shd w:val="clear" w:color="auto" w:fill="auto"/>
            <w:vAlign w:val="center"/>
          </w:tcPr>
          <w:p w14:paraId="2FFB4872">
            <w:pPr>
              <w:pStyle w:val="57"/>
              <w:rPr>
                <w:rFonts w:ascii="Times New Roman" w:cs="Times New Roman"/>
              </w:rPr>
            </w:pPr>
            <w:r>
              <w:rPr>
                <w:rFonts w:ascii="Times New Roman" w:cs="Times New Roman"/>
              </w:rPr>
              <w:t>26</w:t>
            </w:r>
          </w:p>
        </w:tc>
        <w:tc>
          <w:tcPr>
            <w:tcW w:w="976" w:type="pct"/>
            <w:tcBorders>
              <w:top w:val="nil"/>
              <w:left w:val="nil"/>
              <w:bottom w:val="single" w:color="auto" w:sz="4" w:space="0"/>
              <w:right w:val="single" w:color="auto" w:sz="4" w:space="0"/>
            </w:tcBorders>
            <w:shd w:val="clear" w:color="auto" w:fill="auto"/>
            <w:vAlign w:val="center"/>
          </w:tcPr>
          <w:p w14:paraId="59BFF8CD">
            <w:pPr>
              <w:pStyle w:val="57"/>
              <w:rPr>
                <w:rFonts w:ascii="Times New Roman" w:cs="Times New Roman"/>
              </w:rPr>
            </w:pPr>
            <w:r>
              <w:rPr>
                <w:rFonts w:ascii="Times New Roman" w:cs="Times New Roman"/>
              </w:rPr>
              <w:t>泰兴市</w:t>
            </w:r>
          </w:p>
        </w:tc>
        <w:tc>
          <w:tcPr>
            <w:tcW w:w="1528" w:type="pct"/>
            <w:tcBorders>
              <w:top w:val="nil"/>
              <w:left w:val="nil"/>
              <w:bottom w:val="single" w:color="auto" w:sz="4" w:space="0"/>
              <w:right w:val="single" w:color="auto" w:sz="4" w:space="0"/>
            </w:tcBorders>
            <w:shd w:val="clear" w:color="auto" w:fill="auto"/>
            <w:vAlign w:val="center"/>
          </w:tcPr>
          <w:p w14:paraId="776AABC3">
            <w:pPr>
              <w:pStyle w:val="57"/>
            </w:pPr>
            <w:r>
              <w:rPr>
                <w:rFonts w:hint="eastAsia"/>
              </w:rPr>
              <w:t>古溪中沟支沟涵洞</w:t>
            </w:r>
          </w:p>
        </w:tc>
        <w:tc>
          <w:tcPr>
            <w:tcW w:w="1142" w:type="pct"/>
            <w:tcBorders>
              <w:top w:val="nil"/>
              <w:left w:val="nil"/>
              <w:bottom w:val="single" w:color="auto" w:sz="4" w:space="0"/>
              <w:right w:val="single" w:color="auto" w:sz="4" w:space="0"/>
            </w:tcBorders>
            <w:shd w:val="clear" w:color="auto" w:fill="auto"/>
            <w:vAlign w:val="center"/>
          </w:tcPr>
          <w:p w14:paraId="63BDF0CA">
            <w:pPr>
              <w:pStyle w:val="57"/>
              <w:rPr>
                <w:rFonts w:ascii="Times New Roman" w:cs="Times New Roman"/>
              </w:rPr>
            </w:pPr>
            <w:r>
              <w:rPr>
                <w:rFonts w:ascii="Times New Roman" w:cs="Times New Roman"/>
              </w:rPr>
              <w:t>古溪中沟支沟</w:t>
            </w:r>
          </w:p>
        </w:tc>
        <w:tc>
          <w:tcPr>
            <w:tcW w:w="875" w:type="pct"/>
            <w:tcBorders>
              <w:top w:val="nil"/>
              <w:left w:val="nil"/>
              <w:bottom w:val="single" w:color="auto" w:sz="4" w:space="0"/>
              <w:right w:val="single" w:color="auto" w:sz="4" w:space="0"/>
            </w:tcBorders>
            <w:shd w:val="clear" w:color="auto" w:fill="auto"/>
            <w:vAlign w:val="center"/>
          </w:tcPr>
          <w:p w14:paraId="432D3922">
            <w:pPr>
              <w:pStyle w:val="57"/>
              <w:rPr>
                <w:rFonts w:ascii="Times New Roman" w:cs="Times New Roman"/>
              </w:rPr>
            </w:pPr>
            <w:r>
              <w:rPr>
                <w:rFonts w:ascii="Times New Roman" w:cs="Times New Roman"/>
              </w:rPr>
              <w:t>　</w:t>
            </w:r>
          </w:p>
        </w:tc>
      </w:tr>
      <w:tr w14:paraId="64E5122C">
        <w:tblPrEx>
          <w:tblCellMar>
            <w:top w:w="0" w:type="dxa"/>
            <w:left w:w="108" w:type="dxa"/>
            <w:bottom w:w="0" w:type="dxa"/>
            <w:right w:w="108" w:type="dxa"/>
          </w:tblCellMar>
        </w:tblPrEx>
        <w:trPr>
          <w:trHeight w:val="20" w:hRule="atLeast"/>
        </w:trPr>
        <w:tc>
          <w:tcPr>
            <w:tcW w:w="480" w:type="pct"/>
            <w:tcBorders>
              <w:top w:val="nil"/>
              <w:left w:val="single" w:color="000000" w:sz="4" w:space="0"/>
              <w:bottom w:val="single" w:color="000000" w:sz="4" w:space="0"/>
              <w:right w:val="single" w:color="000000" w:sz="4" w:space="0"/>
            </w:tcBorders>
            <w:shd w:val="clear" w:color="auto" w:fill="auto"/>
            <w:vAlign w:val="center"/>
          </w:tcPr>
          <w:p w14:paraId="59DD6098">
            <w:pPr>
              <w:pStyle w:val="57"/>
              <w:rPr>
                <w:rFonts w:ascii="Times New Roman" w:cs="Times New Roman"/>
              </w:rPr>
            </w:pPr>
            <w:r>
              <w:rPr>
                <w:rFonts w:ascii="Times New Roman" w:cs="Times New Roman"/>
              </w:rPr>
              <w:t>27</w:t>
            </w:r>
          </w:p>
        </w:tc>
        <w:tc>
          <w:tcPr>
            <w:tcW w:w="976" w:type="pct"/>
            <w:tcBorders>
              <w:top w:val="nil"/>
              <w:left w:val="nil"/>
              <w:bottom w:val="single" w:color="auto" w:sz="4" w:space="0"/>
              <w:right w:val="single" w:color="auto" w:sz="4" w:space="0"/>
            </w:tcBorders>
            <w:shd w:val="clear" w:color="auto" w:fill="auto"/>
            <w:vAlign w:val="center"/>
          </w:tcPr>
          <w:p w14:paraId="1497A292">
            <w:pPr>
              <w:pStyle w:val="57"/>
              <w:rPr>
                <w:rFonts w:ascii="Times New Roman" w:cs="Times New Roman"/>
              </w:rPr>
            </w:pPr>
            <w:r>
              <w:rPr>
                <w:rFonts w:ascii="Times New Roman" w:cs="Times New Roman"/>
              </w:rPr>
              <w:t>泰兴市</w:t>
            </w:r>
          </w:p>
        </w:tc>
        <w:tc>
          <w:tcPr>
            <w:tcW w:w="1528" w:type="pct"/>
            <w:tcBorders>
              <w:top w:val="nil"/>
              <w:left w:val="nil"/>
              <w:bottom w:val="single" w:color="auto" w:sz="4" w:space="0"/>
              <w:right w:val="single" w:color="auto" w:sz="4" w:space="0"/>
            </w:tcBorders>
            <w:shd w:val="clear" w:color="auto" w:fill="auto"/>
            <w:vAlign w:val="center"/>
          </w:tcPr>
          <w:p w14:paraId="7B442E76">
            <w:pPr>
              <w:pStyle w:val="57"/>
            </w:pPr>
            <w:r>
              <w:rPr>
                <w:rFonts w:hint="eastAsia"/>
              </w:rPr>
              <w:t>周庄中沟支沟涵洞</w:t>
            </w:r>
          </w:p>
        </w:tc>
        <w:tc>
          <w:tcPr>
            <w:tcW w:w="1142" w:type="pct"/>
            <w:tcBorders>
              <w:top w:val="nil"/>
              <w:left w:val="nil"/>
              <w:bottom w:val="single" w:color="auto" w:sz="4" w:space="0"/>
              <w:right w:val="single" w:color="auto" w:sz="4" w:space="0"/>
            </w:tcBorders>
            <w:shd w:val="clear" w:color="auto" w:fill="auto"/>
            <w:vAlign w:val="center"/>
          </w:tcPr>
          <w:p w14:paraId="20756448">
            <w:pPr>
              <w:pStyle w:val="57"/>
              <w:rPr>
                <w:rFonts w:ascii="Times New Roman" w:cs="Times New Roman"/>
              </w:rPr>
            </w:pPr>
            <w:r>
              <w:rPr>
                <w:rFonts w:ascii="Times New Roman" w:cs="Times New Roman"/>
              </w:rPr>
              <w:t>周庄中沟支沟</w:t>
            </w:r>
          </w:p>
        </w:tc>
        <w:tc>
          <w:tcPr>
            <w:tcW w:w="875" w:type="pct"/>
            <w:tcBorders>
              <w:top w:val="nil"/>
              <w:left w:val="nil"/>
              <w:bottom w:val="single" w:color="auto" w:sz="4" w:space="0"/>
              <w:right w:val="single" w:color="auto" w:sz="4" w:space="0"/>
            </w:tcBorders>
            <w:shd w:val="clear" w:color="auto" w:fill="auto"/>
            <w:vAlign w:val="center"/>
          </w:tcPr>
          <w:p w14:paraId="06C732BE">
            <w:pPr>
              <w:pStyle w:val="57"/>
              <w:rPr>
                <w:rFonts w:ascii="Times New Roman" w:cs="Times New Roman"/>
              </w:rPr>
            </w:pPr>
            <w:r>
              <w:rPr>
                <w:rFonts w:ascii="Times New Roman" w:cs="Times New Roman"/>
              </w:rPr>
              <w:t>　</w:t>
            </w:r>
          </w:p>
        </w:tc>
      </w:tr>
      <w:tr w14:paraId="1D43F67E">
        <w:tblPrEx>
          <w:tblCellMar>
            <w:top w:w="0" w:type="dxa"/>
            <w:left w:w="108" w:type="dxa"/>
            <w:bottom w:w="0" w:type="dxa"/>
            <w:right w:w="108" w:type="dxa"/>
          </w:tblCellMar>
        </w:tblPrEx>
        <w:trPr>
          <w:trHeight w:val="20" w:hRule="atLeast"/>
        </w:trPr>
        <w:tc>
          <w:tcPr>
            <w:tcW w:w="480" w:type="pct"/>
            <w:tcBorders>
              <w:top w:val="nil"/>
              <w:left w:val="single" w:color="000000" w:sz="4" w:space="0"/>
              <w:bottom w:val="single" w:color="000000" w:sz="4" w:space="0"/>
              <w:right w:val="single" w:color="000000" w:sz="4" w:space="0"/>
            </w:tcBorders>
            <w:shd w:val="clear" w:color="auto" w:fill="auto"/>
            <w:vAlign w:val="center"/>
          </w:tcPr>
          <w:p w14:paraId="712FE25E">
            <w:pPr>
              <w:pStyle w:val="57"/>
              <w:rPr>
                <w:rFonts w:ascii="Times New Roman" w:cs="Times New Roman"/>
              </w:rPr>
            </w:pPr>
            <w:r>
              <w:rPr>
                <w:rFonts w:ascii="Times New Roman" w:cs="Times New Roman"/>
              </w:rPr>
              <w:t>28</w:t>
            </w:r>
          </w:p>
        </w:tc>
        <w:tc>
          <w:tcPr>
            <w:tcW w:w="976" w:type="pct"/>
            <w:tcBorders>
              <w:top w:val="nil"/>
              <w:left w:val="nil"/>
              <w:bottom w:val="single" w:color="auto" w:sz="4" w:space="0"/>
              <w:right w:val="single" w:color="auto" w:sz="4" w:space="0"/>
            </w:tcBorders>
            <w:shd w:val="clear" w:color="auto" w:fill="auto"/>
            <w:vAlign w:val="center"/>
          </w:tcPr>
          <w:p w14:paraId="3BDF6FD4">
            <w:pPr>
              <w:pStyle w:val="57"/>
              <w:rPr>
                <w:rFonts w:ascii="Times New Roman" w:cs="Times New Roman"/>
              </w:rPr>
            </w:pPr>
            <w:r>
              <w:rPr>
                <w:rFonts w:ascii="Times New Roman" w:cs="Times New Roman"/>
              </w:rPr>
              <w:t>泰兴市</w:t>
            </w:r>
          </w:p>
        </w:tc>
        <w:tc>
          <w:tcPr>
            <w:tcW w:w="1528" w:type="pct"/>
            <w:tcBorders>
              <w:top w:val="nil"/>
              <w:left w:val="nil"/>
              <w:bottom w:val="single" w:color="auto" w:sz="4" w:space="0"/>
              <w:right w:val="single" w:color="auto" w:sz="4" w:space="0"/>
            </w:tcBorders>
            <w:shd w:val="clear" w:color="auto" w:fill="auto"/>
            <w:vAlign w:val="center"/>
          </w:tcPr>
          <w:p w14:paraId="0FED1381">
            <w:pPr>
              <w:pStyle w:val="57"/>
            </w:pPr>
            <w:r>
              <w:rPr>
                <w:rFonts w:hint="eastAsia"/>
              </w:rPr>
              <w:t>周庄中沟（鸭湾）涵洞</w:t>
            </w:r>
          </w:p>
        </w:tc>
        <w:tc>
          <w:tcPr>
            <w:tcW w:w="1142" w:type="pct"/>
            <w:tcBorders>
              <w:top w:val="nil"/>
              <w:left w:val="nil"/>
              <w:bottom w:val="single" w:color="auto" w:sz="4" w:space="0"/>
              <w:right w:val="single" w:color="auto" w:sz="4" w:space="0"/>
            </w:tcBorders>
            <w:shd w:val="clear" w:color="auto" w:fill="auto"/>
            <w:vAlign w:val="center"/>
          </w:tcPr>
          <w:p w14:paraId="2D8A7D64">
            <w:pPr>
              <w:pStyle w:val="57"/>
              <w:rPr>
                <w:rFonts w:ascii="Times New Roman" w:cs="Times New Roman"/>
              </w:rPr>
            </w:pPr>
            <w:r>
              <w:rPr>
                <w:rFonts w:ascii="Times New Roman" w:cs="Times New Roman"/>
              </w:rPr>
              <w:t>周庄中沟</w:t>
            </w:r>
          </w:p>
        </w:tc>
        <w:tc>
          <w:tcPr>
            <w:tcW w:w="875" w:type="pct"/>
            <w:tcBorders>
              <w:top w:val="nil"/>
              <w:left w:val="nil"/>
              <w:bottom w:val="single" w:color="auto" w:sz="4" w:space="0"/>
              <w:right w:val="single" w:color="auto" w:sz="4" w:space="0"/>
            </w:tcBorders>
            <w:shd w:val="clear" w:color="auto" w:fill="auto"/>
            <w:vAlign w:val="center"/>
          </w:tcPr>
          <w:p w14:paraId="687E373A">
            <w:pPr>
              <w:pStyle w:val="57"/>
              <w:rPr>
                <w:rFonts w:ascii="Times New Roman" w:cs="Times New Roman"/>
              </w:rPr>
            </w:pPr>
            <w:r>
              <w:rPr>
                <w:rFonts w:ascii="Times New Roman" w:cs="Times New Roman"/>
              </w:rPr>
              <w:t>　</w:t>
            </w:r>
          </w:p>
        </w:tc>
      </w:tr>
    </w:tbl>
    <w:p w14:paraId="54801B98">
      <w:pPr>
        <w:pStyle w:val="57"/>
        <w:rPr>
          <w:rFonts w:cs="Times New Roman"/>
        </w:rPr>
      </w:pPr>
      <w:r>
        <w:rPr>
          <w:rFonts w:cs="Times New Roman"/>
        </w:rPr>
        <w:t>注：</w:t>
      </w:r>
      <w:r>
        <w:rPr>
          <w:rFonts w:hint="eastAsia"/>
        </w:rPr>
        <w:t>4</w:t>
      </w:r>
      <w:r>
        <w:t>1座</w:t>
      </w:r>
      <w:r>
        <w:rPr>
          <w:rFonts w:hint="eastAsia"/>
        </w:rPr>
        <w:t>老328国道流域控制性建筑物也是泰州通南保水控制工程的组成。</w:t>
      </w:r>
    </w:p>
    <w:p w14:paraId="54501FCD">
      <w:pPr>
        <w:ind w:firstLine="480"/>
        <w:rPr>
          <w:rFonts w:cs="Times New Roman"/>
        </w:rPr>
        <w:sectPr>
          <w:headerReference r:id="rId15" w:type="first"/>
          <w:footerReference r:id="rId18" w:type="first"/>
          <w:headerReference r:id="rId13" w:type="default"/>
          <w:footerReference r:id="rId16" w:type="default"/>
          <w:headerReference r:id="rId14" w:type="even"/>
          <w:footerReference r:id="rId17" w:type="even"/>
          <w:pgSz w:w="11906" w:h="16838"/>
          <w:pgMar w:top="1440" w:right="1520" w:bottom="1440" w:left="1520" w:header="851" w:footer="992" w:gutter="0"/>
          <w:pgNumType w:start="1"/>
          <w:cols w:space="425" w:num="1"/>
          <w:docGrid w:type="lines" w:linePitch="326" w:charSpace="0"/>
        </w:sectPr>
      </w:pPr>
    </w:p>
    <w:p w14:paraId="645B8DF3">
      <w:pPr>
        <w:pStyle w:val="64"/>
        <w:rPr>
          <w:rFonts w:cs="Times New Roman"/>
        </w:rPr>
      </w:pPr>
      <w:r>
        <w:rPr>
          <w:rFonts w:hint="eastAsia"/>
        </w:rPr>
        <w:t>附表4 泰州市现代水网建设规划项目清单（</w:t>
      </w:r>
      <w:r>
        <w:rPr>
          <w:rFonts w:ascii="Times New Roman" w:cs="Times New Roman"/>
        </w:rPr>
        <w:t>2024—2035</w:t>
      </w:r>
      <w:r>
        <w:rPr>
          <w:rFonts w:hint="eastAsia"/>
        </w:rPr>
        <w:t>年）</w:t>
      </w:r>
    </w:p>
    <w:tbl>
      <w:tblPr>
        <w:tblStyle w:val="29"/>
        <w:tblW w:w="21357"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108" w:type="dxa"/>
          <w:bottom w:w="28" w:type="dxa"/>
          <w:right w:w="108" w:type="dxa"/>
        </w:tblCellMar>
      </w:tblPr>
      <w:tblGrid>
        <w:gridCol w:w="849"/>
        <w:gridCol w:w="4108"/>
        <w:gridCol w:w="8788"/>
        <w:gridCol w:w="1276"/>
        <w:gridCol w:w="1134"/>
        <w:gridCol w:w="1417"/>
        <w:gridCol w:w="1570"/>
        <w:gridCol w:w="1276"/>
        <w:gridCol w:w="939"/>
      </w:tblGrid>
      <w:tr w14:paraId="1F187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58" w:hRule="atLeast"/>
          <w:tblHeader/>
        </w:trPr>
        <w:tc>
          <w:tcPr>
            <w:tcW w:w="849" w:type="dxa"/>
            <w:vMerge w:val="restart"/>
            <w:shd w:val="clear" w:color="auto" w:fill="auto"/>
            <w:vAlign w:val="center"/>
          </w:tcPr>
          <w:p w14:paraId="72DFE76A">
            <w:pPr>
              <w:widowControl/>
              <w:adjustRightInd/>
              <w:snapToGrid/>
              <w:spacing w:line="240" w:lineRule="auto"/>
              <w:ind w:firstLine="0" w:firstLineChars="0"/>
              <w:jc w:val="center"/>
              <w:rPr>
                <w:rFonts w:ascii="楷体" w:hAnsi="楷体" w:eastAsia="楷体" w:cs="Times New Roman"/>
                <w:b/>
                <w:bCs/>
                <w:kern w:val="0"/>
                <w:sz w:val="21"/>
                <w:szCs w:val="21"/>
              </w:rPr>
            </w:pPr>
            <w:r>
              <w:rPr>
                <w:rFonts w:hint="eastAsia" w:ascii="楷体" w:hAnsi="楷体" w:eastAsia="楷体" w:cs="Times New Roman"/>
                <w:b/>
                <w:bCs/>
                <w:kern w:val="0"/>
                <w:sz w:val="21"/>
                <w:szCs w:val="21"/>
              </w:rPr>
              <w:t>序号</w:t>
            </w:r>
          </w:p>
        </w:tc>
        <w:tc>
          <w:tcPr>
            <w:tcW w:w="4108" w:type="dxa"/>
            <w:vMerge w:val="restart"/>
            <w:shd w:val="clear" w:color="auto" w:fill="auto"/>
            <w:vAlign w:val="center"/>
          </w:tcPr>
          <w:p w14:paraId="07D8FA77">
            <w:pPr>
              <w:widowControl/>
              <w:adjustRightInd/>
              <w:snapToGrid/>
              <w:spacing w:line="240" w:lineRule="auto"/>
              <w:ind w:firstLine="0" w:firstLineChars="0"/>
              <w:jc w:val="center"/>
              <w:rPr>
                <w:rFonts w:ascii="楷体" w:hAnsi="楷体" w:eastAsia="楷体" w:cs="宋体"/>
                <w:b/>
                <w:bCs/>
                <w:kern w:val="0"/>
                <w:sz w:val="21"/>
                <w:szCs w:val="21"/>
              </w:rPr>
            </w:pPr>
            <w:r>
              <w:rPr>
                <w:rFonts w:hint="eastAsia" w:ascii="楷体" w:hAnsi="楷体" w:eastAsia="楷体" w:cs="宋体"/>
                <w:b/>
                <w:bCs/>
                <w:kern w:val="0"/>
                <w:sz w:val="21"/>
                <w:szCs w:val="21"/>
              </w:rPr>
              <w:t>项目名称</w:t>
            </w:r>
          </w:p>
        </w:tc>
        <w:tc>
          <w:tcPr>
            <w:tcW w:w="8788" w:type="dxa"/>
            <w:vMerge w:val="restart"/>
            <w:shd w:val="clear" w:color="auto" w:fill="auto"/>
            <w:vAlign w:val="center"/>
          </w:tcPr>
          <w:p w14:paraId="4B878E9C">
            <w:pPr>
              <w:widowControl/>
              <w:adjustRightInd/>
              <w:snapToGrid/>
              <w:spacing w:line="240" w:lineRule="auto"/>
              <w:ind w:firstLine="0" w:firstLineChars="0"/>
              <w:jc w:val="center"/>
              <w:rPr>
                <w:rFonts w:ascii="楷体" w:hAnsi="楷体" w:eastAsia="楷体" w:cs="宋体"/>
                <w:b/>
                <w:bCs/>
                <w:kern w:val="0"/>
                <w:sz w:val="21"/>
                <w:szCs w:val="21"/>
              </w:rPr>
            </w:pPr>
            <w:r>
              <w:rPr>
                <w:rFonts w:hint="eastAsia" w:ascii="楷体" w:hAnsi="楷体" w:eastAsia="楷体" w:cs="宋体"/>
                <w:b/>
                <w:bCs/>
                <w:kern w:val="0"/>
                <w:sz w:val="21"/>
                <w:szCs w:val="21"/>
              </w:rPr>
              <w:t>建设内容</w:t>
            </w:r>
          </w:p>
        </w:tc>
        <w:tc>
          <w:tcPr>
            <w:tcW w:w="1276" w:type="dxa"/>
            <w:vMerge w:val="restart"/>
            <w:shd w:val="clear" w:color="auto" w:fill="auto"/>
            <w:vAlign w:val="center"/>
          </w:tcPr>
          <w:p w14:paraId="20097261">
            <w:pPr>
              <w:widowControl/>
              <w:adjustRightInd/>
              <w:snapToGrid/>
              <w:spacing w:line="240" w:lineRule="auto"/>
              <w:ind w:firstLine="0" w:firstLineChars="0"/>
              <w:jc w:val="center"/>
              <w:rPr>
                <w:rFonts w:eastAsia="楷体" w:cs="Times New Roman"/>
                <w:b/>
                <w:bCs/>
                <w:kern w:val="0"/>
                <w:sz w:val="21"/>
                <w:szCs w:val="21"/>
              </w:rPr>
            </w:pPr>
            <w:r>
              <w:rPr>
                <w:rFonts w:eastAsia="楷体" w:cs="Times New Roman"/>
                <w:b/>
                <w:bCs/>
                <w:kern w:val="0"/>
                <w:sz w:val="21"/>
                <w:szCs w:val="21"/>
              </w:rPr>
              <w:t>实施年限</w:t>
            </w:r>
          </w:p>
        </w:tc>
        <w:tc>
          <w:tcPr>
            <w:tcW w:w="5397" w:type="dxa"/>
            <w:gridSpan w:val="4"/>
            <w:shd w:val="clear" w:color="auto" w:fill="auto"/>
            <w:vAlign w:val="center"/>
          </w:tcPr>
          <w:p w14:paraId="4985551F">
            <w:pPr>
              <w:widowControl/>
              <w:adjustRightInd/>
              <w:snapToGrid/>
              <w:spacing w:line="240" w:lineRule="auto"/>
              <w:ind w:firstLine="0" w:firstLineChars="0"/>
              <w:jc w:val="center"/>
              <w:rPr>
                <w:rFonts w:eastAsia="楷体" w:cs="Times New Roman"/>
                <w:b/>
                <w:bCs/>
                <w:kern w:val="0"/>
                <w:sz w:val="21"/>
                <w:szCs w:val="21"/>
              </w:rPr>
            </w:pPr>
            <w:r>
              <w:rPr>
                <w:rFonts w:eastAsia="楷体" w:cs="Times New Roman"/>
                <w:b/>
                <w:bCs/>
                <w:kern w:val="0"/>
                <w:sz w:val="21"/>
                <w:szCs w:val="21"/>
              </w:rPr>
              <w:t>规划建设期计划投资（亿元）</w:t>
            </w:r>
          </w:p>
        </w:tc>
        <w:tc>
          <w:tcPr>
            <w:tcW w:w="939" w:type="dxa"/>
            <w:vMerge w:val="restart"/>
            <w:shd w:val="clear" w:color="auto" w:fill="auto"/>
            <w:vAlign w:val="center"/>
          </w:tcPr>
          <w:p w14:paraId="15459FA4">
            <w:pPr>
              <w:widowControl/>
              <w:adjustRightInd/>
              <w:snapToGrid/>
              <w:spacing w:line="240" w:lineRule="auto"/>
              <w:ind w:firstLine="0" w:firstLineChars="0"/>
              <w:jc w:val="center"/>
              <w:rPr>
                <w:rFonts w:eastAsia="楷体" w:cs="Times New Roman"/>
                <w:b/>
                <w:bCs/>
                <w:kern w:val="0"/>
                <w:sz w:val="21"/>
                <w:szCs w:val="21"/>
              </w:rPr>
            </w:pPr>
            <w:r>
              <w:rPr>
                <w:rFonts w:eastAsia="楷体" w:cs="Times New Roman"/>
                <w:b/>
                <w:bCs/>
                <w:kern w:val="0"/>
                <w:sz w:val="21"/>
                <w:szCs w:val="21"/>
              </w:rPr>
              <w:t>永久</w:t>
            </w:r>
          </w:p>
          <w:p w14:paraId="44B9A768">
            <w:pPr>
              <w:widowControl/>
              <w:adjustRightInd/>
              <w:snapToGrid/>
              <w:spacing w:line="240" w:lineRule="auto"/>
              <w:ind w:firstLine="0" w:firstLineChars="0"/>
              <w:jc w:val="center"/>
              <w:rPr>
                <w:rFonts w:eastAsia="楷体" w:cs="Times New Roman"/>
                <w:b/>
                <w:bCs/>
                <w:kern w:val="0"/>
                <w:szCs w:val="21"/>
              </w:rPr>
            </w:pPr>
            <w:r>
              <w:rPr>
                <w:rFonts w:eastAsia="楷体" w:cs="Times New Roman"/>
                <w:b/>
                <w:bCs/>
                <w:kern w:val="0"/>
                <w:sz w:val="21"/>
                <w:szCs w:val="21"/>
              </w:rPr>
              <w:t>占地</w:t>
            </w:r>
            <w:r>
              <w:rPr>
                <w:rFonts w:eastAsia="楷体" w:cs="Times New Roman"/>
                <w:b/>
                <w:bCs/>
                <w:kern w:val="0"/>
                <w:sz w:val="21"/>
                <w:szCs w:val="21"/>
              </w:rPr>
              <w:br w:type="textWrapping"/>
            </w:r>
            <w:r>
              <w:rPr>
                <w:rFonts w:eastAsia="楷体" w:cs="Times New Roman"/>
                <w:b/>
                <w:bCs/>
                <w:kern w:val="0"/>
                <w:sz w:val="21"/>
                <w:szCs w:val="21"/>
              </w:rPr>
              <w:t>（亩）</w:t>
            </w:r>
          </w:p>
        </w:tc>
      </w:tr>
      <w:tr w14:paraId="3FFF9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567" w:hRule="atLeast"/>
          <w:tblHeader/>
        </w:trPr>
        <w:tc>
          <w:tcPr>
            <w:tcW w:w="849" w:type="dxa"/>
            <w:vMerge w:val="continue"/>
            <w:vAlign w:val="center"/>
          </w:tcPr>
          <w:p w14:paraId="239E621B">
            <w:pPr>
              <w:widowControl/>
              <w:adjustRightInd/>
              <w:snapToGrid/>
              <w:spacing w:line="240" w:lineRule="auto"/>
              <w:ind w:firstLine="0" w:firstLineChars="0"/>
              <w:jc w:val="left"/>
              <w:rPr>
                <w:rFonts w:ascii="楷体" w:hAnsi="楷体" w:eastAsia="楷体" w:cs="Times New Roman"/>
                <w:b/>
                <w:bCs/>
                <w:kern w:val="0"/>
                <w:szCs w:val="21"/>
              </w:rPr>
            </w:pPr>
          </w:p>
        </w:tc>
        <w:tc>
          <w:tcPr>
            <w:tcW w:w="4108" w:type="dxa"/>
            <w:vMerge w:val="continue"/>
            <w:vAlign w:val="center"/>
          </w:tcPr>
          <w:p w14:paraId="2AC59146">
            <w:pPr>
              <w:widowControl/>
              <w:adjustRightInd/>
              <w:snapToGrid/>
              <w:spacing w:line="240" w:lineRule="auto"/>
              <w:ind w:firstLine="0" w:firstLineChars="0"/>
              <w:jc w:val="left"/>
              <w:rPr>
                <w:rFonts w:ascii="楷体" w:hAnsi="楷体" w:eastAsia="楷体" w:cs="宋体"/>
                <w:b/>
                <w:bCs/>
                <w:kern w:val="0"/>
                <w:szCs w:val="21"/>
              </w:rPr>
            </w:pPr>
          </w:p>
        </w:tc>
        <w:tc>
          <w:tcPr>
            <w:tcW w:w="8788" w:type="dxa"/>
            <w:vMerge w:val="continue"/>
            <w:vAlign w:val="center"/>
          </w:tcPr>
          <w:p w14:paraId="36571FD3">
            <w:pPr>
              <w:widowControl/>
              <w:adjustRightInd/>
              <w:snapToGrid/>
              <w:spacing w:line="240" w:lineRule="auto"/>
              <w:ind w:firstLine="0" w:firstLineChars="0"/>
              <w:jc w:val="left"/>
              <w:rPr>
                <w:rFonts w:ascii="楷体" w:hAnsi="楷体" w:eastAsia="楷体" w:cs="宋体"/>
                <w:b/>
                <w:bCs/>
                <w:kern w:val="0"/>
                <w:szCs w:val="21"/>
              </w:rPr>
            </w:pPr>
          </w:p>
        </w:tc>
        <w:tc>
          <w:tcPr>
            <w:tcW w:w="1276" w:type="dxa"/>
            <w:vMerge w:val="continue"/>
            <w:vAlign w:val="center"/>
          </w:tcPr>
          <w:p w14:paraId="7D4FC7BB">
            <w:pPr>
              <w:widowControl/>
              <w:adjustRightInd/>
              <w:snapToGrid/>
              <w:spacing w:line="240" w:lineRule="auto"/>
              <w:ind w:firstLine="0" w:firstLineChars="0"/>
              <w:jc w:val="left"/>
              <w:rPr>
                <w:rFonts w:eastAsia="楷体" w:cs="Times New Roman"/>
                <w:b/>
                <w:bCs/>
                <w:kern w:val="0"/>
                <w:szCs w:val="21"/>
              </w:rPr>
            </w:pPr>
          </w:p>
        </w:tc>
        <w:tc>
          <w:tcPr>
            <w:tcW w:w="1134" w:type="dxa"/>
            <w:shd w:val="clear" w:color="auto" w:fill="auto"/>
            <w:vAlign w:val="center"/>
          </w:tcPr>
          <w:p w14:paraId="524685D3">
            <w:pPr>
              <w:widowControl/>
              <w:adjustRightInd/>
              <w:snapToGrid/>
              <w:spacing w:line="240" w:lineRule="auto"/>
              <w:ind w:firstLine="0" w:firstLineChars="0"/>
              <w:jc w:val="center"/>
              <w:rPr>
                <w:rFonts w:eastAsia="楷体" w:cs="Times New Roman"/>
                <w:b/>
                <w:bCs/>
                <w:kern w:val="0"/>
                <w:sz w:val="21"/>
                <w:szCs w:val="21"/>
              </w:rPr>
            </w:pPr>
            <w:r>
              <w:rPr>
                <w:rFonts w:eastAsia="楷体" w:cs="Times New Roman"/>
                <w:b/>
                <w:bCs/>
                <w:kern w:val="0"/>
                <w:sz w:val="21"/>
                <w:szCs w:val="21"/>
              </w:rPr>
              <w:t>总投资</w:t>
            </w:r>
          </w:p>
        </w:tc>
        <w:tc>
          <w:tcPr>
            <w:tcW w:w="1417" w:type="dxa"/>
            <w:shd w:val="clear" w:color="auto" w:fill="auto"/>
            <w:vAlign w:val="center"/>
          </w:tcPr>
          <w:p w14:paraId="72E83EEE">
            <w:pPr>
              <w:widowControl/>
              <w:adjustRightInd/>
              <w:snapToGrid/>
              <w:spacing w:line="240" w:lineRule="auto"/>
              <w:ind w:firstLine="0" w:firstLineChars="0"/>
              <w:jc w:val="center"/>
              <w:rPr>
                <w:rFonts w:eastAsia="楷体" w:cs="Times New Roman"/>
                <w:b/>
                <w:bCs/>
                <w:kern w:val="0"/>
                <w:sz w:val="21"/>
                <w:szCs w:val="21"/>
              </w:rPr>
            </w:pPr>
            <w:r>
              <w:rPr>
                <w:rFonts w:eastAsia="楷体" w:cs="Times New Roman"/>
                <w:b/>
                <w:bCs/>
                <w:kern w:val="0"/>
                <w:sz w:val="21"/>
                <w:szCs w:val="21"/>
              </w:rPr>
              <w:t>其中2024</w:t>
            </w:r>
          </w:p>
          <w:p w14:paraId="491C01D7">
            <w:pPr>
              <w:widowControl/>
              <w:adjustRightInd/>
              <w:snapToGrid/>
              <w:spacing w:line="240" w:lineRule="auto"/>
              <w:ind w:firstLine="0" w:firstLineChars="0"/>
              <w:jc w:val="center"/>
              <w:rPr>
                <w:rFonts w:eastAsia="楷体" w:cs="Times New Roman"/>
                <w:b/>
                <w:bCs/>
                <w:kern w:val="0"/>
                <w:sz w:val="21"/>
                <w:szCs w:val="21"/>
              </w:rPr>
            </w:pPr>
            <w:r>
              <w:rPr>
                <w:rFonts w:eastAsia="楷体" w:cs="Times New Roman"/>
                <w:b/>
                <w:bCs/>
                <w:kern w:val="0"/>
                <w:sz w:val="21"/>
                <w:szCs w:val="21"/>
              </w:rPr>
              <w:t>～2025年</w:t>
            </w:r>
          </w:p>
        </w:tc>
        <w:tc>
          <w:tcPr>
            <w:tcW w:w="1570" w:type="dxa"/>
            <w:shd w:val="clear" w:color="auto" w:fill="auto"/>
            <w:vAlign w:val="center"/>
          </w:tcPr>
          <w:p w14:paraId="304A4AFF">
            <w:pPr>
              <w:widowControl/>
              <w:adjustRightInd/>
              <w:snapToGrid/>
              <w:spacing w:line="240" w:lineRule="auto"/>
              <w:ind w:firstLine="0" w:firstLineChars="0"/>
              <w:jc w:val="center"/>
              <w:rPr>
                <w:rFonts w:eastAsia="楷体" w:cs="Times New Roman"/>
                <w:b/>
                <w:bCs/>
                <w:kern w:val="0"/>
                <w:sz w:val="21"/>
                <w:szCs w:val="21"/>
              </w:rPr>
            </w:pPr>
            <w:r>
              <w:rPr>
                <w:rFonts w:eastAsia="楷体" w:cs="Times New Roman"/>
                <w:b/>
                <w:bCs/>
                <w:kern w:val="0"/>
                <w:sz w:val="21"/>
                <w:szCs w:val="21"/>
              </w:rPr>
              <w:t>其中2026</w:t>
            </w:r>
          </w:p>
          <w:p w14:paraId="3CCF5821">
            <w:pPr>
              <w:widowControl/>
              <w:adjustRightInd/>
              <w:snapToGrid/>
              <w:spacing w:line="240" w:lineRule="auto"/>
              <w:ind w:firstLine="0" w:firstLineChars="0"/>
              <w:jc w:val="center"/>
              <w:rPr>
                <w:rFonts w:eastAsia="楷体" w:cs="Times New Roman"/>
                <w:b/>
                <w:bCs/>
                <w:kern w:val="0"/>
                <w:sz w:val="21"/>
                <w:szCs w:val="21"/>
              </w:rPr>
            </w:pPr>
            <w:r>
              <w:rPr>
                <w:rFonts w:eastAsia="楷体" w:cs="Times New Roman"/>
                <w:b/>
                <w:bCs/>
                <w:kern w:val="0"/>
                <w:sz w:val="21"/>
                <w:szCs w:val="21"/>
              </w:rPr>
              <w:t>～2030年</w:t>
            </w:r>
          </w:p>
        </w:tc>
        <w:tc>
          <w:tcPr>
            <w:tcW w:w="1276" w:type="dxa"/>
            <w:shd w:val="clear" w:color="auto" w:fill="auto"/>
            <w:vAlign w:val="center"/>
          </w:tcPr>
          <w:p w14:paraId="3679E4CD">
            <w:pPr>
              <w:widowControl/>
              <w:adjustRightInd/>
              <w:snapToGrid/>
              <w:spacing w:line="240" w:lineRule="auto"/>
              <w:ind w:firstLine="0" w:firstLineChars="0"/>
              <w:jc w:val="center"/>
              <w:rPr>
                <w:rFonts w:eastAsia="楷体" w:cs="Times New Roman"/>
                <w:b/>
                <w:bCs/>
                <w:kern w:val="0"/>
                <w:sz w:val="21"/>
                <w:szCs w:val="21"/>
              </w:rPr>
            </w:pPr>
            <w:r>
              <w:rPr>
                <w:rFonts w:eastAsia="楷体" w:cs="Times New Roman"/>
                <w:b/>
                <w:bCs/>
                <w:kern w:val="0"/>
                <w:sz w:val="21"/>
                <w:szCs w:val="21"/>
              </w:rPr>
              <w:t>其中2031</w:t>
            </w:r>
          </w:p>
          <w:p w14:paraId="3D82FEE1">
            <w:pPr>
              <w:widowControl/>
              <w:adjustRightInd/>
              <w:snapToGrid/>
              <w:spacing w:line="240" w:lineRule="auto"/>
              <w:ind w:firstLine="0" w:firstLineChars="0"/>
              <w:jc w:val="center"/>
              <w:rPr>
                <w:rFonts w:eastAsia="楷体" w:cs="Times New Roman"/>
                <w:b/>
                <w:bCs/>
                <w:kern w:val="0"/>
                <w:sz w:val="21"/>
                <w:szCs w:val="21"/>
              </w:rPr>
            </w:pPr>
            <w:r>
              <w:rPr>
                <w:rFonts w:eastAsia="楷体" w:cs="Times New Roman"/>
                <w:b/>
                <w:bCs/>
                <w:kern w:val="0"/>
                <w:sz w:val="21"/>
                <w:szCs w:val="21"/>
              </w:rPr>
              <w:t>～2035年</w:t>
            </w:r>
          </w:p>
        </w:tc>
        <w:tc>
          <w:tcPr>
            <w:tcW w:w="939" w:type="dxa"/>
            <w:vMerge w:val="continue"/>
            <w:vAlign w:val="center"/>
          </w:tcPr>
          <w:p w14:paraId="692555CA">
            <w:pPr>
              <w:widowControl/>
              <w:adjustRightInd/>
              <w:snapToGrid/>
              <w:spacing w:line="240" w:lineRule="auto"/>
              <w:ind w:firstLine="0" w:firstLineChars="0"/>
              <w:jc w:val="left"/>
              <w:rPr>
                <w:rFonts w:eastAsia="楷体" w:cs="Times New Roman"/>
                <w:b/>
                <w:bCs/>
                <w:kern w:val="0"/>
                <w:szCs w:val="21"/>
              </w:rPr>
            </w:pPr>
          </w:p>
        </w:tc>
      </w:tr>
      <w:tr w14:paraId="1153A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567" w:hRule="atLeast"/>
        </w:trPr>
        <w:tc>
          <w:tcPr>
            <w:tcW w:w="849" w:type="dxa"/>
            <w:shd w:val="clear" w:color="auto" w:fill="auto"/>
            <w:vAlign w:val="center"/>
          </w:tcPr>
          <w:p w14:paraId="402C6376">
            <w:pPr>
              <w:widowControl/>
              <w:adjustRightInd/>
              <w:snapToGrid/>
              <w:spacing w:line="240" w:lineRule="auto"/>
              <w:ind w:firstLine="0" w:firstLineChars="0"/>
              <w:jc w:val="left"/>
              <w:rPr>
                <w:rFonts w:ascii="楷体" w:hAnsi="楷体" w:eastAsia="楷体" w:cs="Times New Roman"/>
                <w:b/>
                <w:bCs/>
                <w:kern w:val="0"/>
                <w:sz w:val="21"/>
                <w:szCs w:val="21"/>
              </w:rPr>
            </w:pPr>
            <w:r>
              <w:rPr>
                <w:rFonts w:hint="eastAsia" w:ascii="楷体" w:hAnsi="楷体" w:eastAsia="楷体" w:cs="Times New Roman"/>
                <w:b/>
                <w:bCs/>
                <w:kern w:val="0"/>
                <w:sz w:val="21"/>
                <w:szCs w:val="21"/>
              </w:rPr>
              <w:t>合计</w:t>
            </w:r>
          </w:p>
        </w:tc>
        <w:tc>
          <w:tcPr>
            <w:tcW w:w="4108" w:type="dxa"/>
            <w:shd w:val="clear" w:color="auto" w:fill="auto"/>
            <w:vAlign w:val="center"/>
          </w:tcPr>
          <w:p w14:paraId="4A883987">
            <w:pPr>
              <w:widowControl/>
              <w:adjustRightInd/>
              <w:snapToGrid/>
              <w:spacing w:line="240" w:lineRule="auto"/>
              <w:ind w:firstLine="0" w:firstLineChars="0"/>
              <w:jc w:val="left"/>
              <w:rPr>
                <w:rFonts w:ascii="楷体" w:hAnsi="楷体" w:eastAsia="楷体" w:cs="宋体"/>
                <w:b/>
                <w:bCs/>
                <w:kern w:val="0"/>
                <w:sz w:val="21"/>
                <w:szCs w:val="21"/>
              </w:rPr>
            </w:pPr>
          </w:p>
        </w:tc>
        <w:tc>
          <w:tcPr>
            <w:tcW w:w="8788" w:type="dxa"/>
            <w:shd w:val="clear" w:color="auto" w:fill="auto"/>
            <w:vAlign w:val="center"/>
          </w:tcPr>
          <w:p w14:paraId="30B8C74B">
            <w:pPr>
              <w:widowControl/>
              <w:adjustRightInd/>
              <w:snapToGrid/>
              <w:spacing w:line="240" w:lineRule="auto"/>
              <w:ind w:firstLine="0" w:firstLineChars="0"/>
              <w:jc w:val="left"/>
              <w:rPr>
                <w:rFonts w:ascii="楷体" w:hAnsi="楷体" w:eastAsia="楷体" w:cs="宋体"/>
                <w:kern w:val="0"/>
                <w:sz w:val="21"/>
                <w:szCs w:val="21"/>
              </w:rPr>
            </w:pPr>
          </w:p>
        </w:tc>
        <w:tc>
          <w:tcPr>
            <w:tcW w:w="1276" w:type="dxa"/>
            <w:shd w:val="clear" w:color="auto" w:fill="auto"/>
            <w:vAlign w:val="center"/>
          </w:tcPr>
          <w:p w14:paraId="43CCF1BF">
            <w:pPr>
              <w:widowControl/>
              <w:adjustRightInd/>
              <w:snapToGrid/>
              <w:spacing w:line="240" w:lineRule="auto"/>
              <w:ind w:firstLine="0" w:firstLineChars="0"/>
              <w:jc w:val="center"/>
              <w:rPr>
                <w:rFonts w:eastAsia="楷体" w:cs="Times New Roman"/>
                <w:b/>
                <w:bCs/>
                <w:kern w:val="0"/>
                <w:sz w:val="28"/>
                <w:szCs w:val="21"/>
              </w:rPr>
            </w:pPr>
          </w:p>
        </w:tc>
        <w:tc>
          <w:tcPr>
            <w:tcW w:w="1134" w:type="dxa"/>
            <w:shd w:val="clear" w:color="auto" w:fill="auto"/>
            <w:vAlign w:val="center"/>
          </w:tcPr>
          <w:p w14:paraId="2643687F">
            <w:pPr>
              <w:widowControl/>
              <w:adjustRightInd/>
              <w:snapToGrid/>
              <w:spacing w:line="240" w:lineRule="auto"/>
              <w:ind w:firstLine="0" w:firstLineChars="0"/>
              <w:jc w:val="center"/>
              <w:rPr>
                <w:rFonts w:eastAsia="楷体" w:cs="Times New Roman"/>
                <w:b/>
                <w:bCs/>
                <w:kern w:val="0"/>
                <w:sz w:val="28"/>
                <w:szCs w:val="21"/>
              </w:rPr>
            </w:pPr>
            <w:r>
              <w:rPr>
                <w:rFonts w:eastAsia="楷体" w:cs="Times New Roman"/>
                <w:b/>
                <w:bCs/>
                <w:kern w:val="0"/>
                <w:sz w:val="28"/>
                <w:szCs w:val="21"/>
              </w:rPr>
              <w:t>302.96</w:t>
            </w:r>
          </w:p>
        </w:tc>
        <w:tc>
          <w:tcPr>
            <w:tcW w:w="1417" w:type="dxa"/>
            <w:shd w:val="clear" w:color="auto" w:fill="auto"/>
            <w:vAlign w:val="center"/>
          </w:tcPr>
          <w:p w14:paraId="749B5825">
            <w:pPr>
              <w:ind w:firstLine="0" w:firstLineChars="0"/>
              <w:jc w:val="center"/>
              <w:rPr>
                <w:rFonts w:eastAsia="楷体" w:cs="Times New Roman"/>
                <w:b/>
                <w:bCs/>
                <w:kern w:val="0"/>
                <w:sz w:val="28"/>
                <w:szCs w:val="21"/>
              </w:rPr>
            </w:pPr>
            <w:r>
              <w:rPr>
                <w:rFonts w:eastAsia="楷体" w:cs="Times New Roman"/>
                <w:b/>
                <w:bCs/>
                <w:kern w:val="0"/>
                <w:sz w:val="28"/>
                <w:szCs w:val="21"/>
              </w:rPr>
              <w:t>37.51</w:t>
            </w:r>
          </w:p>
        </w:tc>
        <w:tc>
          <w:tcPr>
            <w:tcW w:w="1570" w:type="dxa"/>
            <w:shd w:val="clear" w:color="auto" w:fill="auto"/>
            <w:vAlign w:val="center"/>
          </w:tcPr>
          <w:p w14:paraId="43778236">
            <w:pPr>
              <w:ind w:firstLine="0" w:firstLineChars="0"/>
              <w:jc w:val="center"/>
              <w:rPr>
                <w:rFonts w:eastAsia="楷体" w:cs="Times New Roman"/>
                <w:b/>
                <w:bCs/>
                <w:kern w:val="0"/>
                <w:sz w:val="28"/>
                <w:szCs w:val="21"/>
              </w:rPr>
            </w:pPr>
            <w:r>
              <w:rPr>
                <w:rFonts w:eastAsia="楷体" w:cs="Times New Roman"/>
                <w:b/>
                <w:bCs/>
                <w:kern w:val="0"/>
                <w:sz w:val="28"/>
                <w:szCs w:val="21"/>
              </w:rPr>
              <w:t>131.06</w:t>
            </w:r>
          </w:p>
        </w:tc>
        <w:tc>
          <w:tcPr>
            <w:tcW w:w="1276" w:type="dxa"/>
            <w:shd w:val="clear" w:color="auto" w:fill="auto"/>
            <w:vAlign w:val="center"/>
          </w:tcPr>
          <w:p w14:paraId="6A907ABC">
            <w:pPr>
              <w:widowControl/>
              <w:adjustRightInd/>
              <w:snapToGrid/>
              <w:spacing w:line="240" w:lineRule="auto"/>
              <w:ind w:firstLine="0" w:firstLineChars="0"/>
              <w:jc w:val="center"/>
              <w:rPr>
                <w:rFonts w:eastAsia="楷体" w:cs="Times New Roman"/>
                <w:b/>
                <w:bCs/>
                <w:kern w:val="0"/>
                <w:sz w:val="28"/>
                <w:szCs w:val="21"/>
              </w:rPr>
            </w:pPr>
            <w:r>
              <w:rPr>
                <w:rFonts w:eastAsia="楷体" w:cs="Times New Roman"/>
                <w:b/>
                <w:bCs/>
                <w:kern w:val="0"/>
                <w:sz w:val="28"/>
                <w:szCs w:val="21"/>
              </w:rPr>
              <w:t>134.39</w:t>
            </w:r>
          </w:p>
        </w:tc>
        <w:tc>
          <w:tcPr>
            <w:tcW w:w="939" w:type="dxa"/>
            <w:shd w:val="clear" w:color="auto" w:fill="auto"/>
            <w:vAlign w:val="center"/>
          </w:tcPr>
          <w:p w14:paraId="128CFBD0">
            <w:pPr>
              <w:widowControl/>
              <w:adjustRightInd/>
              <w:snapToGrid/>
              <w:spacing w:line="240" w:lineRule="auto"/>
              <w:ind w:firstLine="0" w:firstLineChars="0"/>
              <w:jc w:val="center"/>
              <w:rPr>
                <w:rFonts w:eastAsia="楷体" w:cs="Times New Roman"/>
                <w:b/>
                <w:bCs/>
                <w:kern w:val="0"/>
                <w:sz w:val="21"/>
                <w:szCs w:val="21"/>
              </w:rPr>
            </w:pPr>
            <w:r>
              <w:rPr>
                <w:rFonts w:eastAsia="楷体" w:cs="Times New Roman"/>
                <w:b/>
                <w:bCs/>
                <w:kern w:val="0"/>
                <w:sz w:val="21"/>
                <w:szCs w:val="21"/>
              </w:rPr>
              <w:t>7304</w:t>
            </w:r>
          </w:p>
        </w:tc>
      </w:tr>
      <w:tr w14:paraId="0B63E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567" w:hRule="atLeast"/>
        </w:trPr>
        <w:tc>
          <w:tcPr>
            <w:tcW w:w="849" w:type="dxa"/>
            <w:shd w:val="clear" w:color="000000" w:fill="E7E6E6"/>
            <w:vAlign w:val="center"/>
          </w:tcPr>
          <w:p w14:paraId="113AB316">
            <w:pPr>
              <w:widowControl/>
              <w:adjustRightInd/>
              <w:snapToGrid/>
              <w:spacing w:line="240" w:lineRule="auto"/>
              <w:ind w:firstLine="0" w:firstLineChars="0"/>
              <w:jc w:val="left"/>
              <w:rPr>
                <w:rFonts w:ascii="楷体" w:hAnsi="楷体" w:eastAsia="楷体" w:cs="Times New Roman"/>
                <w:b/>
                <w:bCs/>
                <w:kern w:val="0"/>
                <w:szCs w:val="21"/>
              </w:rPr>
            </w:pPr>
            <w:r>
              <w:rPr>
                <w:rFonts w:hint="eastAsia" w:ascii="楷体" w:hAnsi="楷体" w:eastAsia="楷体" w:cs="Times New Roman"/>
                <w:b/>
                <w:bCs/>
                <w:kern w:val="0"/>
                <w:szCs w:val="21"/>
              </w:rPr>
              <w:t>一</w:t>
            </w:r>
          </w:p>
        </w:tc>
        <w:tc>
          <w:tcPr>
            <w:tcW w:w="4108" w:type="dxa"/>
            <w:shd w:val="clear" w:color="000000" w:fill="E7E6E6"/>
            <w:vAlign w:val="center"/>
          </w:tcPr>
          <w:p w14:paraId="3A7008E3">
            <w:pPr>
              <w:widowControl/>
              <w:adjustRightInd/>
              <w:snapToGrid/>
              <w:spacing w:line="240" w:lineRule="auto"/>
              <w:ind w:firstLine="0" w:firstLineChars="0"/>
              <w:jc w:val="left"/>
              <w:rPr>
                <w:rFonts w:ascii="楷体" w:hAnsi="楷体" w:eastAsia="楷体" w:cs="宋体"/>
                <w:b/>
                <w:bCs/>
                <w:kern w:val="0"/>
                <w:szCs w:val="21"/>
              </w:rPr>
            </w:pPr>
            <w:r>
              <w:rPr>
                <w:rFonts w:hint="eastAsia" w:ascii="楷体" w:hAnsi="楷体" w:eastAsia="楷体" w:cs="宋体"/>
                <w:b/>
                <w:bCs/>
                <w:kern w:val="0"/>
                <w:szCs w:val="21"/>
              </w:rPr>
              <w:t>防洪排涝工程</w:t>
            </w:r>
          </w:p>
        </w:tc>
        <w:tc>
          <w:tcPr>
            <w:tcW w:w="8788" w:type="dxa"/>
            <w:shd w:val="clear" w:color="000000" w:fill="E7E6E6"/>
          </w:tcPr>
          <w:p w14:paraId="29991C20">
            <w:pPr>
              <w:widowControl/>
              <w:adjustRightInd/>
              <w:snapToGrid/>
              <w:spacing w:line="240" w:lineRule="auto"/>
              <w:ind w:firstLine="0" w:firstLineChars="0"/>
              <w:jc w:val="left"/>
              <w:rPr>
                <w:rFonts w:ascii="楷体" w:hAnsi="楷体" w:eastAsia="楷体" w:cs="宋体"/>
                <w:b/>
                <w:bCs/>
                <w:kern w:val="0"/>
                <w:szCs w:val="21"/>
              </w:rPr>
            </w:pPr>
          </w:p>
        </w:tc>
        <w:tc>
          <w:tcPr>
            <w:tcW w:w="1276" w:type="dxa"/>
            <w:shd w:val="clear" w:color="000000" w:fill="E7E6E6"/>
            <w:vAlign w:val="center"/>
          </w:tcPr>
          <w:p w14:paraId="57DE1302">
            <w:pPr>
              <w:widowControl/>
              <w:adjustRightInd/>
              <w:snapToGrid/>
              <w:spacing w:line="240" w:lineRule="auto"/>
              <w:ind w:firstLine="0" w:firstLineChars="0"/>
              <w:jc w:val="center"/>
              <w:rPr>
                <w:rFonts w:eastAsia="楷体" w:cs="Times New Roman"/>
                <w:b/>
                <w:bCs/>
                <w:kern w:val="0"/>
                <w:szCs w:val="21"/>
              </w:rPr>
            </w:pPr>
          </w:p>
        </w:tc>
        <w:tc>
          <w:tcPr>
            <w:tcW w:w="1134" w:type="dxa"/>
            <w:shd w:val="clear" w:color="000000" w:fill="E7E6E6"/>
            <w:vAlign w:val="center"/>
          </w:tcPr>
          <w:p w14:paraId="4AF4AAD5">
            <w:pPr>
              <w:widowControl/>
              <w:adjustRightInd/>
              <w:snapToGrid/>
              <w:spacing w:line="240" w:lineRule="auto"/>
              <w:ind w:firstLine="0" w:firstLineChars="0"/>
              <w:jc w:val="center"/>
              <w:rPr>
                <w:rFonts w:eastAsia="楷体" w:cs="Times New Roman"/>
                <w:b/>
                <w:bCs/>
                <w:kern w:val="0"/>
                <w:szCs w:val="21"/>
              </w:rPr>
            </w:pPr>
            <w:r>
              <w:rPr>
                <w:rFonts w:eastAsia="楷体" w:cs="Times New Roman"/>
                <w:b/>
                <w:bCs/>
                <w:kern w:val="0"/>
                <w:szCs w:val="21"/>
              </w:rPr>
              <w:t>132.60</w:t>
            </w:r>
          </w:p>
        </w:tc>
        <w:tc>
          <w:tcPr>
            <w:tcW w:w="1417" w:type="dxa"/>
            <w:shd w:val="clear" w:color="000000" w:fill="E7E6E6"/>
            <w:vAlign w:val="center"/>
          </w:tcPr>
          <w:p w14:paraId="771D3343">
            <w:pPr>
              <w:ind w:firstLine="0" w:firstLineChars="0"/>
              <w:jc w:val="center"/>
              <w:rPr>
                <w:rFonts w:eastAsia="楷体" w:cs="Times New Roman"/>
                <w:b/>
                <w:bCs/>
                <w:kern w:val="0"/>
                <w:szCs w:val="21"/>
              </w:rPr>
            </w:pPr>
            <w:r>
              <w:rPr>
                <w:rFonts w:eastAsia="楷体" w:cs="Times New Roman"/>
                <w:b/>
                <w:bCs/>
                <w:kern w:val="0"/>
                <w:szCs w:val="21"/>
              </w:rPr>
              <w:t>14.70</w:t>
            </w:r>
          </w:p>
        </w:tc>
        <w:tc>
          <w:tcPr>
            <w:tcW w:w="1570" w:type="dxa"/>
            <w:shd w:val="clear" w:color="000000" w:fill="E7E6E6"/>
            <w:vAlign w:val="center"/>
          </w:tcPr>
          <w:p w14:paraId="7EFB4095">
            <w:pPr>
              <w:ind w:firstLine="0" w:firstLineChars="0"/>
              <w:jc w:val="center"/>
              <w:rPr>
                <w:rFonts w:eastAsia="楷体" w:cs="Times New Roman"/>
                <w:b/>
                <w:bCs/>
                <w:kern w:val="0"/>
                <w:szCs w:val="21"/>
              </w:rPr>
            </w:pPr>
            <w:r>
              <w:rPr>
                <w:rFonts w:eastAsia="楷体" w:cs="Times New Roman"/>
                <w:b/>
                <w:bCs/>
                <w:kern w:val="0"/>
                <w:szCs w:val="21"/>
              </w:rPr>
              <w:t>59.10</w:t>
            </w:r>
          </w:p>
        </w:tc>
        <w:tc>
          <w:tcPr>
            <w:tcW w:w="1276" w:type="dxa"/>
            <w:shd w:val="clear" w:color="000000" w:fill="E7E6E6"/>
            <w:vAlign w:val="center"/>
          </w:tcPr>
          <w:p w14:paraId="7E496400">
            <w:pPr>
              <w:widowControl/>
              <w:adjustRightInd/>
              <w:snapToGrid/>
              <w:spacing w:line="240" w:lineRule="auto"/>
              <w:ind w:firstLine="0" w:firstLineChars="0"/>
              <w:jc w:val="center"/>
              <w:rPr>
                <w:rFonts w:eastAsia="楷体" w:cs="Times New Roman"/>
                <w:b/>
                <w:bCs/>
                <w:kern w:val="0"/>
                <w:szCs w:val="21"/>
              </w:rPr>
            </w:pPr>
            <w:r>
              <w:rPr>
                <w:rFonts w:eastAsia="楷体" w:cs="Times New Roman"/>
                <w:b/>
                <w:bCs/>
                <w:kern w:val="0"/>
                <w:szCs w:val="21"/>
              </w:rPr>
              <w:t>58.80</w:t>
            </w:r>
          </w:p>
        </w:tc>
        <w:tc>
          <w:tcPr>
            <w:tcW w:w="939" w:type="dxa"/>
            <w:shd w:val="clear" w:color="000000" w:fill="E7E6E6"/>
            <w:vAlign w:val="center"/>
          </w:tcPr>
          <w:p w14:paraId="0FF4219D">
            <w:pPr>
              <w:widowControl/>
              <w:adjustRightInd/>
              <w:snapToGrid/>
              <w:spacing w:line="240" w:lineRule="auto"/>
              <w:ind w:firstLine="0" w:firstLineChars="0"/>
              <w:jc w:val="center"/>
              <w:rPr>
                <w:rFonts w:eastAsia="楷体" w:cs="Times New Roman"/>
                <w:b/>
                <w:bCs/>
                <w:kern w:val="0"/>
                <w:szCs w:val="21"/>
              </w:rPr>
            </w:pPr>
            <w:r>
              <w:rPr>
                <w:rFonts w:eastAsia="楷体" w:cs="Times New Roman"/>
                <w:b/>
                <w:bCs/>
                <w:kern w:val="0"/>
                <w:szCs w:val="21"/>
              </w:rPr>
              <w:t>4693</w:t>
            </w:r>
          </w:p>
        </w:tc>
      </w:tr>
      <w:tr w14:paraId="6ACA6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567" w:hRule="atLeast"/>
        </w:trPr>
        <w:tc>
          <w:tcPr>
            <w:tcW w:w="849" w:type="dxa"/>
            <w:shd w:val="clear" w:color="auto" w:fill="auto"/>
            <w:vAlign w:val="center"/>
          </w:tcPr>
          <w:p w14:paraId="02E5E8A0">
            <w:pPr>
              <w:widowControl/>
              <w:adjustRightInd/>
              <w:snapToGrid/>
              <w:spacing w:line="240" w:lineRule="auto"/>
              <w:ind w:firstLine="0" w:firstLineChars="0"/>
              <w:jc w:val="left"/>
              <w:rPr>
                <w:rFonts w:ascii="楷体" w:hAnsi="楷体" w:eastAsia="楷体" w:cs="Times New Roman"/>
                <w:b/>
                <w:bCs/>
                <w:kern w:val="0"/>
                <w:sz w:val="21"/>
                <w:szCs w:val="21"/>
              </w:rPr>
            </w:pPr>
            <w:r>
              <w:rPr>
                <w:rFonts w:hint="eastAsia" w:ascii="楷体" w:hAnsi="楷体" w:eastAsia="楷体" w:cs="Times New Roman"/>
                <w:b/>
                <w:bCs/>
                <w:kern w:val="0"/>
                <w:sz w:val="21"/>
                <w:szCs w:val="21"/>
              </w:rPr>
              <w:t>（一）</w:t>
            </w:r>
          </w:p>
        </w:tc>
        <w:tc>
          <w:tcPr>
            <w:tcW w:w="4108" w:type="dxa"/>
            <w:shd w:val="clear" w:color="auto" w:fill="auto"/>
            <w:vAlign w:val="center"/>
          </w:tcPr>
          <w:p w14:paraId="18D93876">
            <w:pPr>
              <w:widowControl/>
              <w:adjustRightInd/>
              <w:snapToGrid/>
              <w:spacing w:line="240" w:lineRule="auto"/>
              <w:ind w:firstLine="0" w:firstLineChars="0"/>
              <w:jc w:val="left"/>
              <w:rPr>
                <w:rFonts w:ascii="楷体" w:hAnsi="楷体" w:eastAsia="楷体" w:cs="宋体"/>
                <w:b/>
                <w:bCs/>
                <w:kern w:val="0"/>
                <w:sz w:val="21"/>
                <w:szCs w:val="21"/>
              </w:rPr>
            </w:pPr>
            <w:r>
              <w:rPr>
                <w:rFonts w:hint="eastAsia" w:ascii="楷体" w:hAnsi="楷体" w:eastAsia="楷体" w:cs="宋体"/>
                <w:b/>
                <w:bCs/>
                <w:kern w:val="0"/>
                <w:sz w:val="21"/>
                <w:szCs w:val="21"/>
              </w:rPr>
              <w:t>流域性防洪能力提升工程</w:t>
            </w:r>
          </w:p>
        </w:tc>
        <w:tc>
          <w:tcPr>
            <w:tcW w:w="8788" w:type="dxa"/>
            <w:shd w:val="clear" w:color="auto" w:fill="auto"/>
            <w:vAlign w:val="center"/>
          </w:tcPr>
          <w:p w14:paraId="1ECBD84B">
            <w:pPr>
              <w:widowControl/>
              <w:adjustRightInd/>
              <w:snapToGrid/>
              <w:spacing w:line="240" w:lineRule="auto"/>
              <w:ind w:firstLine="0" w:firstLineChars="0"/>
              <w:jc w:val="left"/>
              <w:rPr>
                <w:rFonts w:ascii="楷体" w:hAnsi="楷体" w:eastAsia="楷体" w:cs="宋体"/>
                <w:b/>
                <w:bCs/>
                <w:kern w:val="0"/>
                <w:sz w:val="21"/>
                <w:szCs w:val="21"/>
              </w:rPr>
            </w:pPr>
          </w:p>
        </w:tc>
        <w:tc>
          <w:tcPr>
            <w:tcW w:w="1276" w:type="dxa"/>
            <w:shd w:val="clear" w:color="auto" w:fill="auto"/>
            <w:vAlign w:val="center"/>
          </w:tcPr>
          <w:p w14:paraId="035D867F">
            <w:pPr>
              <w:widowControl/>
              <w:adjustRightInd/>
              <w:snapToGrid/>
              <w:spacing w:line="240" w:lineRule="auto"/>
              <w:ind w:firstLine="0" w:firstLineChars="0"/>
              <w:jc w:val="left"/>
              <w:rPr>
                <w:rFonts w:eastAsia="楷体" w:cs="Times New Roman"/>
                <w:b/>
                <w:bCs/>
                <w:kern w:val="0"/>
                <w:sz w:val="21"/>
                <w:szCs w:val="21"/>
              </w:rPr>
            </w:pPr>
          </w:p>
        </w:tc>
        <w:tc>
          <w:tcPr>
            <w:tcW w:w="1134" w:type="dxa"/>
            <w:shd w:val="clear" w:color="auto" w:fill="auto"/>
            <w:vAlign w:val="center"/>
          </w:tcPr>
          <w:p w14:paraId="15C3CD66">
            <w:pPr>
              <w:widowControl/>
              <w:adjustRightInd/>
              <w:snapToGrid/>
              <w:spacing w:line="240" w:lineRule="auto"/>
              <w:ind w:firstLine="0" w:firstLineChars="0"/>
              <w:jc w:val="center"/>
              <w:rPr>
                <w:rFonts w:eastAsia="楷体" w:cs="Times New Roman"/>
                <w:b/>
                <w:bCs/>
                <w:kern w:val="0"/>
                <w:sz w:val="21"/>
                <w:szCs w:val="21"/>
              </w:rPr>
            </w:pPr>
            <w:r>
              <w:rPr>
                <w:rFonts w:eastAsia="楷体" w:cs="Times New Roman"/>
                <w:b/>
                <w:bCs/>
                <w:kern w:val="0"/>
                <w:sz w:val="21"/>
                <w:szCs w:val="21"/>
              </w:rPr>
              <w:t>29.00</w:t>
            </w:r>
          </w:p>
        </w:tc>
        <w:tc>
          <w:tcPr>
            <w:tcW w:w="1417" w:type="dxa"/>
            <w:shd w:val="clear" w:color="auto" w:fill="auto"/>
            <w:vAlign w:val="center"/>
          </w:tcPr>
          <w:p w14:paraId="07A1DA49">
            <w:pPr>
              <w:widowControl/>
              <w:adjustRightInd/>
              <w:snapToGrid/>
              <w:spacing w:line="240" w:lineRule="auto"/>
              <w:ind w:firstLine="0" w:firstLineChars="0"/>
              <w:jc w:val="center"/>
              <w:rPr>
                <w:rFonts w:eastAsia="楷体" w:cs="Times New Roman"/>
                <w:b/>
                <w:bCs/>
                <w:kern w:val="0"/>
                <w:sz w:val="21"/>
                <w:szCs w:val="21"/>
              </w:rPr>
            </w:pPr>
            <w:r>
              <w:rPr>
                <w:rFonts w:eastAsia="楷体" w:cs="Times New Roman"/>
                <w:b/>
                <w:bCs/>
                <w:kern w:val="0"/>
                <w:sz w:val="21"/>
                <w:szCs w:val="21"/>
              </w:rPr>
              <w:t>1.76</w:t>
            </w:r>
          </w:p>
        </w:tc>
        <w:tc>
          <w:tcPr>
            <w:tcW w:w="1570" w:type="dxa"/>
            <w:shd w:val="clear" w:color="auto" w:fill="auto"/>
            <w:vAlign w:val="center"/>
          </w:tcPr>
          <w:p w14:paraId="5D6DB5CA">
            <w:pPr>
              <w:widowControl/>
              <w:adjustRightInd/>
              <w:snapToGrid/>
              <w:spacing w:line="240" w:lineRule="auto"/>
              <w:ind w:firstLine="0" w:firstLineChars="0"/>
              <w:jc w:val="center"/>
              <w:rPr>
                <w:rFonts w:eastAsia="楷体" w:cs="Times New Roman"/>
                <w:b/>
                <w:bCs/>
                <w:kern w:val="0"/>
                <w:sz w:val="21"/>
                <w:szCs w:val="21"/>
              </w:rPr>
            </w:pPr>
            <w:r>
              <w:rPr>
                <w:rFonts w:eastAsia="楷体" w:cs="Times New Roman"/>
                <w:b/>
                <w:bCs/>
                <w:kern w:val="0"/>
                <w:sz w:val="21"/>
                <w:szCs w:val="21"/>
              </w:rPr>
              <w:t>22.24</w:t>
            </w:r>
          </w:p>
        </w:tc>
        <w:tc>
          <w:tcPr>
            <w:tcW w:w="1276" w:type="dxa"/>
            <w:shd w:val="clear" w:color="auto" w:fill="auto"/>
            <w:vAlign w:val="center"/>
          </w:tcPr>
          <w:p w14:paraId="5CA835F7">
            <w:pPr>
              <w:widowControl/>
              <w:adjustRightInd/>
              <w:snapToGrid/>
              <w:spacing w:line="240" w:lineRule="auto"/>
              <w:ind w:firstLine="0" w:firstLineChars="0"/>
              <w:jc w:val="center"/>
              <w:rPr>
                <w:rFonts w:eastAsia="楷体" w:cs="Times New Roman"/>
                <w:b/>
                <w:bCs/>
                <w:kern w:val="0"/>
                <w:sz w:val="21"/>
                <w:szCs w:val="21"/>
              </w:rPr>
            </w:pPr>
            <w:r>
              <w:rPr>
                <w:rFonts w:eastAsia="楷体" w:cs="Times New Roman"/>
                <w:b/>
                <w:bCs/>
                <w:kern w:val="0"/>
                <w:sz w:val="21"/>
                <w:szCs w:val="21"/>
              </w:rPr>
              <w:t>5.00</w:t>
            </w:r>
          </w:p>
        </w:tc>
        <w:tc>
          <w:tcPr>
            <w:tcW w:w="939" w:type="dxa"/>
            <w:shd w:val="clear" w:color="auto" w:fill="auto"/>
            <w:vAlign w:val="center"/>
          </w:tcPr>
          <w:p w14:paraId="016C3D1D">
            <w:pPr>
              <w:widowControl/>
              <w:adjustRightInd/>
              <w:snapToGrid/>
              <w:spacing w:line="240" w:lineRule="auto"/>
              <w:ind w:firstLine="0" w:firstLineChars="0"/>
              <w:jc w:val="center"/>
              <w:rPr>
                <w:rFonts w:eastAsia="楷体" w:cs="Times New Roman"/>
                <w:b/>
                <w:bCs/>
                <w:kern w:val="0"/>
                <w:sz w:val="21"/>
                <w:szCs w:val="21"/>
              </w:rPr>
            </w:pPr>
            <w:r>
              <w:rPr>
                <w:rFonts w:eastAsia="楷体" w:cs="Times New Roman"/>
                <w:b/>
                <w:bCs/>
                <w:kern w:val="0"/>
                <w:sz w:val="21"/>
                <w:szCs w:val="21"/>
              </w:rPr>
              <w:t>466</w:t>
            </w:r>
          </w:p>
        </w:tc>
      </w:tr>
      <w:tr w14:paraId="4188B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567" w:hRule="atLeast"/>
        </w:trPr>
        <w:tc>
          <w:tcPr>
            <w:tcW w:w="849" w:type="dxa"/>
            <w:shd w:val="clear" w:color="auto" w:fill="auto"/>
            <w:vAlign w:val="center"/>
          </w:tcPr>
          <w:p w14:paraId="29146C33">
            <w:pPr>
              <w:widowControl/>
              <w:adjustRightInd/>
              <w:snapToGrid/>
              <w:spacing w:line="240" w:lineRule="auto"/>
              <w:ind w:firstLine="0" w:firstLineChars="0"/>
              <w:jc w:val="left"/>
              <w:rPr>
                <w:rFonts w:ascii="楷体" w:hAnsi="楷体" w:eastAsia="楷体" w:cs="Times New Roman"/>
                <w:kern w:val="0"/>
                <w:sz w:val="21"/>
                <w:szCs w:val="21"/>
              </w:rPr>
            </w:pPr>
            <w:r>
              <w:rPr>
                <w:rFonts w:hint="eastAsia" w:ascii="楷体" w:hAnsi="楷体" w:eastAsia="楷体" w:cs="Times New Roman"/>
                <w:kern w:val="0"/>
                <w:sz w:val="21"/>
                <w:szCs w:val="21"/>
              </w:rPr>
              <w:t>（</w:t>
            </w:r>
            <w:r>
              <w:rPr>
                <w:rFonts w:ascii="楷体" w:hAnsi="楷体" w:eastAsia="楷体" w:cs="Times New Roman"/>
                <w:kern w:val="0"/>
                <w:sz w:val="21"/>
                <w:szCs w:val="21"/>
              </w:rPr>
              <w:t>1</w:t>
            </w:r>
            <w:r>
              <w:rPr>
                <w:rFonts w:hint="eastAsia" w:ascii="楷体" w:hAnsi="楷体" w:eastAsia="楷体" w:cs="Times New Roman"/>
                <w:kern w:val="0"/>
                <w:sz w:val="21"/>
                <w:szCs w:val="21"/>
              </w:rPr>
              <w:t>）</w:t>
            </w:r>
          </w:p>
        </w:tc>
        <w:tc>
          <w:tcPr>
            <w:tcW w:w="4108" w:type="dxa"/>
            <w:shd w:val="clear" w:color="auto" w:fill="auto"/>
            <w:vAlign w:val="center"/>
          </w:tcPr>
          <w:p w14:paraId="1CF41D3C">
            <w:pPr>
              <w:widowControl/>
              <w:adjustRightInd/>
              <w:snapToGrid/>
              <w:spacing w:line="240" w:lineRule="auto"/>
              <w:ind w:firstLine="0" w:firstLineChars="0"/>
              <w:jc w:val="left"/>
              <w:rPr>
                <w:rFonts w:ascii="楷体" w:hAnsi="楷体" w:eastAsia="楷体" w:cs="宋体"/>
                <w:kern w:val="0"/>
                <w:sz w:val="21"/>
                <w:szCs w:val="21"/>
              </w:rPr>
            </w:pPr>
            <w:r>
              <w:rPr>
                <w:rFonts w:hint="eastAsia" w:ascii="楷体" w:hAnsi="楷体" w:eastAsia="楷体" w:cs="宋体"/>
                <w:kern w:val="0"/>
                <w:sz w:val="21"/>
                <w:szCs w:val="21"/>
              </w:rPr>
              <w:t>长江堤防防洪能力提升近期工程</w:t>
            </w:r>
          </w:p>
        </w:tc>
        <w:tc>
          <w:tcPr>
            <w:tcW w:w="8788" w:type="dxa"/>
            <w:shd w:val="clear" w:color="auto" w:fill="auto"/>
            <w:vAlign w:val="center"/>
          </w:tcPr>
          <w:p w14:paraId="40F5557B">
            <w:pPr>
              <w:widowControl/>
              <w:adjustRightInd/>
              <w:snapToGrid/>
              <w:spacing w:line="240" w:lineRule="auto"/>
              <w:ind w:firstLine="0" w:firstLineChars="0"/>
              <w:jc w:val="left"/>
              <w:rPr>
                <w:rFonts w:ascii="楷体" w:hAnsi="楷体" w:eastAsia="楷体" w:cs="Times New Roman"/>
                <w:kern w:val="0"/>
                <w:sz w:val="21"/>
                <w:szCs w:val="21"/>
              </w:rPr>
            </w:pPr>
            <w:r>
              <w:rPr>
                <w:rFonts w:ascii="楷体" w:hAnsi="楷体" w:eastAsia="楷体" w:cs="Times New Roman"/>
                <w:kern w:val="0"/>
                <w:sz w:val="21"/>
                <w:szCs w:val="21"/>
              </w:rPr>
              <w:t>按照100年一遇防洪标准，加固105.67km长江堤防（含港堤），新改建沿江28座通江节制闸、7座闸站结合工程、12座沿江排涝站、30座通江穿堤涵洞。</w:t>
            </w:r>
          </w:p>
        </w:tc>
        <w:tc>
          <w:tcPr>
            <w:tcW w:w="1276" w:type="dxa"/>
            <w:shd w:val="clear" w:color="auto" w:fill="auto"/>
            <w:vAlign w:val="center"/>
          </w:tcPr>
          <w:p w14:paraId="3C00333C">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2025-2030</w:t>
            </w:r>
          </w:p>
        </w:tc>
        <w:tc>
          <w:tcPr>
            <w:tcW w:w="1134" w:type="dxa"/>
            <w:shd w:val="clear" w:color="auto" w:fill="auto"/>
            <w:vAlign w:val="center"/>
          </w:tcPr>
          <w:p w14:paraId="714E542E">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26.00</w:t>
            </w:r>
          </w:p>
        </w:tc>
        <w:tc>
          <w:tcPr>
            <w:tcW w:w="1417" w:type="dxa"/>
            <w:shd w:val="clear" w:color="auto" w:fill="auto"/>
            <w:vAlign w:val="center"/>
          </w:tcPr>
          <w:p w14:paraId="6F223E96">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 xml:space="preserve">1.00 </w:t>
            </w:r>
          </w:p>
        </w:tc>
        <w:tc>
          <w:tcPr>
            <w:tcW w:w="1570" w:type="dxa"/>
            <w:shd w:val="clear" w:color="auto" w:fill="auto"/>
            <w:vAlign w:val="center"/>
          </w:tcPr>
          <w:p w14:paraId="2EB09C75">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 xml:space="preserve">20.00 </w:t>
            </w:r>
          </w:p>
        </w:tc>
        <w:tc>
          <w:tcPr>
            <w:tcW w:w="1276" w:type="dxa"/>
            <w:shd w:val="clear" w:color="auto" w:fill="auto"/>
            <w:vAlign w:val="center"/>
          </w:tcPr>
          <w:p w14:paraId="5EDA9C42">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 xml:space="preserve">5.00 </w:t>
            </w:r>
          </w:p>
        </w:tc>
        <w:tc>
          <w:tcPr>
            <w:tcW w:w="939" w:type="dxa"/>
            <w:shd w:val="clear" w:color="auto" w:fill="auto"/>
            <w:vAlign w:val="center"/>
          </w:tcPr>
          <w:p w14:paraId="1023ADA1">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 xml:space="preserve">286 </w:t>
            </w:r>
          </w:p>
        </w:tc>
      </w:tr>
      <w:tr w14:paraId="55B51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567" w:hRule="atLeast"/>
        </w:trPr>
        <w:tc>
          <w:tcPr>
            <w:tcW w:w="849" w:type="dxa"/>
            <w:shd w:val="clear" w:color="auto" w:fill="auto"/>
            <w:vAlign w:val="center"/>
          </w:tcPr>
          <w:p w14:paraId="06A41584">
            <w:pPr>
              <w:widowControl/>
              <w:adjustRightInd/>
              <w:snapToGrid/>
              <w:spacing w:line="240" w:lineRule="auto"/>
              <w:ind w:firstLine="0" w:firstLineChars="0"/>
              <w:jc w:val="left"/>
              <w:rPr>
                <w:rFonts w:ascii="楷体" w:hAnsi="楷体" w:eastAsia="楷体" w:cs="Times New Roman"/>
                <w:kern w:val="0"/>
                <w:sz w:val="21"/>
                <w:szCs w:val="21"/>
              </w:rPr>
            </w:pPr>
            <w:r>
              <w:rPr>
                <w:rFonts w:hint="eastAsia" w:ascii="楷体" w:hAnsi="楷体" w:eastAsia="楷体" w:cs="Times New Roman"/>
                <w:kern w:val="0"/>
                <w:sz w:val="21"/>
                <w:szCs w:val="21"/>
              </w:rPr>
              <w:t>（</w:t>
            </w:r>
            <w:r>
              <w:rPr>
                <w:rFonts w:ascii="楷体" w:hAnsi="楷体" w:eastAsia="楷体" w:cs="Times New Roman"/>
                <w:kern w:val="0"/>
                <w:sz w:val="21"/>
                <w:szCs w:val="21"/>
              </w:rPr>
              <w:t>2</w:t>
            </w:r>
            <w:r>
              <w:rPr>
                <w:rFonts w:hint="eastAsia" w:ascii="楷体" w:hAnsi="楷体" w:eastAsia="楷体" w:cs="Times New Roman"/>
                <w:kern w:val="0"/>
                <w:sz w:val="21"/>
                <w:szCs w:val="21"/>
              </w:rPr>
              <w:t>）</w:t>
            </w:r>
          </w:p>
        </w:tc>
        <w:tc>
          <w:tcPr>
            <w:tcW w:w="4108" w:type="dxa"/>
            <w:shd w:val="clear" w:color="auto" w:fill="auto"/>
            <w:vAlign w:val="center"/>
          </w:tcPr>
          <w:p w14:paraId="2F1FE0B5">
            <w:pPr>
              <w:widowControl/>
              <w:adjustRightInd/>
              <w:snapToGrid/>
              <w:spacing w:line="240" w:lineRule="auto"/>
              <w:ind w:firstLine="0" w:firstLineChars="0"/>
              <w:jc w:val="left"/>
              <w:rPr>
                <w:rFonts w:ascii="楷体" w:hAnsi="楷体" w:eastAsia="楷体" w:cs="宋体"/>
                <w:kern w:val="0"/>
                <w:sz w:val="21"/>
                <w:szCs w:val="21"/>
              </w:rPr>
            </w:pPr>
            <w:r>
              <w:rPr>
                <w:rFonts w:hint="eastAsia" w:ascii="楷体" w:hAnsi="楷体" w:eastAsia="楷体" w:cs="宋体"/>
                <w:kern w:val="0"/>
                <w:sz w:val="21"/>
                <w:szCs w:val="21"/>
              </w:rPr>
              <w:t>长江扬中河段二期（应急治理）工程</w:t>
            </w:r>
          </w:p>
        </w:tc>
        <w:tc>
          <w:tcPr>
            <w:tcW w:w="8788" w:type="dxa"/>
            <w:shd w:val="clear" w:color="auto" w:fill="auto"/>
            <w:vAlign w:val="center"/>
          </w:tcPr>
          <w:p w14:paraId="08F364DD">
            <w:pPr>
              <w:widowControl/>
              <w:adjustRightInd/>
              <w:snapToGrid/>
              <w:spacing w:line="240" w:lineRule="auto"/>
              <w:ind w:firstLine="0" w:firstLineChars="0"/>
              <w:jc w:val="left"/>
              <w:rPr>
                <w:rFonts w:ascii="楷体" w:hAnsi="楷体" w:eastAsia="楷体" w:cs="Times New Roman"/>
                <w:kern w:val="0"/>
                <w:sz w:val="21"/>
                <w:szCs w:val="21"/>
              </w:rPr>
            </w:pPr>
            <w:r>
              <w:rPr>
                <w:rFonts w:ascii="楷体" w:hAnsi="楷体" w:eastAsia="楷体" w:cs="Times New Roman"/>
                <w:kern w:val="0"/>
                <w:sz w:val="21"/>
                <w:szCs w:val="21"/>
              </w:rPr>
              <w:t>泰州境内包括礁板沙水下平台（泰州杨湾）维护工程、泰州高港（泰州大桥～白沙洲）护岸加固工程、靖江界河口～小掘港护岸加固工程。</w:t>
            </w:r>
          </w:p>
        </w:tc>
        <w:tc>
          <w:tcPr>
            <w:tcW w:w="1276" w:type="dxa"/>
            <w:shd w:val="clear" w:color="auto" w:fill="auto"/>
            <w:vAlign w:val="center"/>
          </w:tcPr>
          <w:p w14:paraId="39D84EF5">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2025-2030</w:t>
            </w:r>
          </w:p>
        </w:tc>
        <w:tc>
          <w:tcPr>
            <w:tcW w:w="1134" w:type="dxa"/>
            <w:shd w:val="clear" w:color="auto" w:fill="auto"/>
            <w:vAlign w:val="center"/>
          </w:tcPr>
          <w:p w14:paraId="3CFE5C71">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3.00</w:t>
            </w:r>
          </w:p>
        </w:tc>
        <w:tc>
          <w:tcPr>
            <w:tcW w:w="1417" w:type="dxa"/>
            <w:shd w:val="clear" w:color="auto" w:fill="auto"/>
            <w:vAlign w:val="center"/>
          </w:tcPr>
          <w:p w14:paraId="12B11B65">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 xml:space="preserve">0.50 </w:t>
            </w:r>
          </w:p>
        </w:tc>
        <w:tc>
          <w:tcPr>
            <w:tcW w:w="1570" w:type="dxa"/>
            <w:shd w:val="clear" w:color="auto" w:fill="auto"/>
            <w:vAlign w:val="center"/>
          </w:tcPr>
          <w:p w14:paraId="686C9364">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 xml:space="preserve">2.50 </w:t>
            </w:r>
          </w:p>
        </w:tc>
        <w:tc>
          <w:tcPr>
            <w:tcW w:w="1276" w:type="dxa"/>
            <w:shd w:val="clear" w:color="auto" w:fill="auto"/>
            <w:vAlign w:val="center"/>
          </w:tcPr>
          <w:p w14:paraId="5215CE65">
            <w:pPr>
              <w:widowControl/>
              <w:adjustRightInd/>
              <w:snapToGrid/>
              <w:spacing w:line="240" w:lineRule="auto"/>
              <w:ind w:firstLine="0" w:firstLineChars="0"/>
              <w:jc w:val="center"/>
              <w:rPr>
                <w:rFonts w:eastAsia="楷体" w:cs="Times New Roman"/>
                <w:kern w:val="0"/>
                <w:sz w:val="21"/>
                <w:szCs w:val="21"/>
              </w:rPr>
            </w:pPr>
          </w:p>
        </w:tc>
        <w:tc>
          <w:tcPr>
            <w:tcW w:w="939" w:type="dxa"/>
            <w:shd w:val="clear" w:color="auto" w:fill="auto"/>
            <w:vAlign w:val="center"/>
          </w:tcPr>
          <w:p w14:paraId="4ABED5C2">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 xml:space="preserve">180 </w:t>
            </w:r>
          </w:p>
        </w:tc>
      </w:tr>
      <w:tr w14:paraId="7BE35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567" w:hRule="atLeast"/>
        </w:trPr>
        <w:tc>
          <w:tcPr>
            <w:tcW w:w="849" w:type="dxa"/>
            <w:shd w:val="clear" w:color="auto" w:fill="auto"/>
            <w:vAlign w:val="center"/>
          </w:tcPr>
          <w:p w14:paraId="0E9E996F">
            <w:pPr>
              <w:widowControl/>
              <w:adjustRightInd/>
              <w:snapToGrid/>
              <w:spacing w:line="240" w:lineRule="auto"/>
              <w:ind w:firstLine="0" w:firstLineChars="0"/>
              <w:jc w:val="left"/>
              <w:rPr>
                <w:rFonts w:ascii="楷体" w:hAnsi="楷体" w:eastAsia="楷体" w:cs="Times New Roman"/>
                <w:b/>
                <w:bCs/>
                <w:kern w:val="0"/>
                <w:sz w:val="21"/>
                <w:szCs w:val="21"/>
              </w:rPr>
            </w:pPr>
            <w:r>
              <w:rPr>
                <w:rFonts w:hint="eastAsia" w:ascii="楷体" w:hAnsi="楷体" w:eastAsia="楷体" w:cs="Times New Roman"/>
                <w:b/>
                <w:bCs/>
                <w:kern w:val="0"/>
                <w:sz w:val="21"/>
                <w:szCs w:val="21"/>
              </w:rPr>
              <w:t>（二）</w:t>
            </w:r>
          </w:p>
        </w:tc>
        <w:tc>
          <w:tcPr>
            <w:tcW w:w="4108" w:type="dxa"/>
            <w:shd w:val="clear" w:color="auto" w:fill="auto"/>
            <w:vAlign w:val="center"/>
          </w:tcPr>
          <w:p w14:paraId="48C5AA51">
            <w:pPr>
              <w:widowControl/>
              <w:adjustRightInd/>
              <w:snapToGrid/>
              <w:spacing w:line="240" w:lineRule="auto"/>
              <w:ind w:firstLine="0" w:firstLineChars="0"/>
              <w:jc w:val="left"/>
              <w:rPr>
                <w:rFonts w:ascii="楷体" w:hAnsi="楷体" w:eastAsia="楷体" w:cs="宋体"/>
                <w:b/>
                <w:bCs/>
                <w:kern w:val="0"/>
                <w:sz w:val="21"/>
                <w:szCs w:val="21"/>
              </w:rPr>
            </w:pPr>
            <w:r>
              <w:rPr>
                <w:rFonts w:hint="eastAsia" w:ascii="楷体" w:hAnsi="楷体" w:eastAsia="楷体" w:cs="宋体"/>
                <w:b/>
                <w:bCs/>
                <w:kern w:val="0"/>
                <w:sz w:val="21"/>
                <w:szCs w:val="21"/>
              </w:rPr>
              <w:t>区域性防洪除涝能力提升工程</w:t>
            </w:r>
          </w:p>
        </w:tc>
        <w:tc>
          <w:tcPr>
            <w:tcW w:w="8788" w:type="dxa"/>
            <w:shd w:val="clear" w:color="auto" w:fill="auto"/>
            <w:vAlign w:val="center"/>
          </w:tcPr>
          <w:p w14:paraId="0D06829D">
            <w:pPr>
              <w:widowControl/>
              <w:adjustRightInd/>
              <w:snapToGrid/>
              <w:spacing w:line="240" w:lineRule="auto"/>
              <w:ind w:firstLine="0" w:firstLineChars="0"/>
              <w:jc w:val="left"/>
              <w:rPr>
                <w:rFonts w:ascii="楷体" w:hAnsi="楷体" w:eastAsia="楷体" w:cs="Times New Roman"/>
                <w:b/>
                <w:bCs/>
                <w:kern w:val="0"/>
                <w:sz w:val="21"/>
                <w:szCs w:val="21"/>
              </w:rPr>
            </w:pPr>
          </w:p>
        </w:tc>
        <w:tc>
          <w:tcPr>
            <w:tcW w:w="1276" w:type="dxa"/>
            <w:shd w:val="clear" w:color="auto" w:fill="auto"/>
            <w:vAlign w:val="center"/>
          </w:tcPr>
          <w:p w14:paraId="74BE89E9">
            <w:pPr>
              <w:widowControl/>
              <w:adjustRightInd/>
              <w:snapToGrid/>
              <w:spacing w:line="240" w:lineRule="auto"/>
              <w:ind w:firstLine="0" w:firstLineChars="0"/>
              <w:jc w:val="center"/>
              <w:rPr>
                <w:rFonts w:eastAsia="楷体" w:cs="Times New Roman"/>
                <w:b/>
                <w:bCs/>
                <w:kern w:val="0"/>
                <w:sz w:val="21"/>
                <w:szCs w:val="21"/>
              </w:rPr>
            </w:pPr>
          </w:p>
        </w:tc>
        <w:tc>
          <w:tcPr>
            <w:tcW w:w="1134" w:type="dxa"/>
            <w:shd w:val="clear" w:color="auto" w:fill="auto"/>
            <w:vAlign w:val="center"/>
          </w:tcPr>
          <w:p w14:paraId="6FED9150">
            <w:pPr>
              <w:widowControl/>
              <w:adjustRightInd/>
              <w:snapToGrid/>
              <w:spacing w:line="240" w:lineRule="auto"/>
              <w:ind w:firstLine="0" w:firstLineChars="0"/>
              <w:jc w:val="center"/>
              <w:rPr>
                <w:rFonts w:eastAsia="楷体" w:cs="Times New Roman"/>
                <w:b/>
                <w:bCs/>
                <w:kern w:val="0"/>
                <w:sz w:val="21"/>
                <w:szCs w:val="21"/>
              </w:rPr>
            </w:pPr>
            <w:r>
              <w:rPr>
                <w:rFonts w:eastAsia="楷体" w:cs="Times New Roman"/>
                <w:b/>
                <w:bCs/>
                <w:kern w:val="0"/>
                <w:sz w:val="21"/>
                <w:szCs w:val="21"/>
              </w:rPr>
              <w:t>95.79</w:t>
            </w:r>
          </w:p>
        </w:tc>
        <w:tc>
          <w:tcPr>
            <w:tcW w:w="1417" w:type="dxa"/>
            <w:shd w:val="clear" w:color="auto" w:fill="auto"/>
            <w:noWrap/>
            <w:vAlign w:val="center"/>
          </w:tcPr>
          <w:p w14:paraId="018DA22D">
            <w:pPr>
              <w:widowControl/>
              <w:adjustRightInd/>
              <w:snapToGrid/>
              <w:spacing w:line="240" w:lineRule="auto"/>
              <w:ind w:firstLine="0" w:firstLineChars="0"/>
              <w:jc w:val="center"/>
              <w:rPr>
                <w:rFonts w:eastAsia="楷体" w:cs="Times New Roman"/>
                <w:b/>
                <w:bCs/>
                <w:kern w:val="0"/>
                <w:sz w:val="21"/>
                <w:szCs w:val="21"/>
              </w:rPr>
            </w:pPr>
            <w:r>
              <w:rPr>
                <w:rFonts w:eastAsia="楷体" w:cs="Times New Roman"/>
                <w:b/>
                <w:bCs/>
                <w:kern w:val="0"/>
                <w:sz w:val="21"/>
                <w:szCs w:val="21"/>
              </w:rPr>
              <w:t xml:space="preserve">11.71 </w:t>
            </w:r>
          </w:p>
        </w:tc>
        <w:tc>
          <w:tcPr>
            <w:tcW w:w="1570" w:type="dxa"/>
            <w:shd w:val="clear" w:color="auto" w:fill="auto"/>
            <w:noWrap/>
            <w:vAlign w:val="center"/>
          </w:tcPr>
          <w:p w14:paraId="1FE686B4">
            <w:pPr>
              <w:widowControl/>
              <w:adjustRightInd/>
              <w:snapToGrid/>
              <w:spacing w:line="240" w:lineRule="auto"/>
              <w:ind w:firstLine="0" w:firstLineChars="0"/>
              <w:jc w:val="center"/>
              <w:rPr>
                <w:rFonts w:eastAsia="楷体" w:cs="Times New Roman"/>
                <w:b/>
                <w:bCs/>
                <w:kern w:val="0"/>
                <w:sz w:val="21"/>
                <w:szCs w:val="21"/>
              </w:rPr>
            </w:pPr>
            <w:r>
              <w:rPr>
                <w:rFonts w:eastAsia="楷体" w:cs="Times New Roman"/>
                <w:b/>
                <w:bCs/>
                <w:kern w:val="0"/>
                <w:sz w:val="21"/>
                <w:szCs w:val="21"/>
              </w:rPr>
              <w:t xml:space="preserve">32.14 </w:t>
            </w:r>
          </w:p>
        </w:tc>
        <w:tc>
          <w:tcPr>
            <w:tcW w:w="1276" w:type="dxa"/>
            <w:shd w:val="clear" w:color="auto" w:fill="auto"/>
            <w:noWrap/>
            <w:vAlign w:val="center"/>
          </w:tcPr>
          <w:p w14:paraId="06A1FCCA">
            <w:pPr>
              <w:widowControl/>
              <w:adjustRightInd/>
              <w:snapToGrid/>
              <w:spacing w:line="240" w:lineRule="auto"/>
              <w:ind w:firstLine="0" w:firstLineChars="0"/>
              <w:jc w:val="center"/>
              <w:rPr>
                <w:rFonts w:eastAsia="楷体" w:cs="Times New Roman"/>
                <w:b/>
                <w:bCs/>
                <w:kern w:val="0"/>
                <w:sz w:val="21"/>
                <w:szCs w:val="21"/>
              </w:rPr>
            </w:pPr>
            <w:r>
              <w:rPr>
                <w:rFonts w:eastAsia="楷体" w:cs="Times New Roman"/>
                <w:b/>
                <w:bCs/>
                <w:kern w:val="0"/>
                <w:sz w:val="21"/>
                <w:szCs w:val="21"/>
              </w:rPr>
              <w:t xml:space="preserve">51.94 </w:t>
            </w:r>
          </w:p>
        </w:tc>
        <w:tc>
          <w:tcPr>
            <w:tcW w:w="939" w:type="dxa"/>
            <w:shd w:val="clear" w:color="auto" w:fill="auto"/>
            <w:noWrap/>
            <w:vAlign w:val="center"/>
          </w:tcPr>
          <w:p w14:paraId="4DC760C8">
            <w:pPr>
              <w:widowControl/>
              <w:adjustRightInd/>
              <w:snapToGrid/>
              <w:spacing w:line="240" w:lineRule="auto"/>
              <w:ind w:firstLine="0" w:firstLineChars="0"/>
              <w:jc w:val="center"/>
              <w:rPr>
                <w:rFonts w:eastAsia="楷体" w:cs="Times New Roman"/>
                <w:b/>
                <w:bCs/>
                <w:kern w:val="0"/>
                <w:sz w:val="21"/>
                <w:szCs w:val="21"/>
              </w:rPr>
            </w:pPr>
            <w:r>
              <w:rPr>
                <w:rFonts w:eastAsia="楷体" w:cs="Times New Roman"/>
                <w:b/>
                <w:bCs/>
                <w:kern w:val="0"/>
                <w:sz w:val="21"/>
                <w:szCs w:val="21"/>
              </w:rPr>
              <w:t xml:space="preserve">4165 </w:t>
            </w:r>
          </w:p>
        </w:tc>
      </w:tr>
      <w:tr w14:paraId="402D2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567" w:hRule="atLeast"/>
        </w:trPr>
        <w:tc>
          <w:tcPr>
            <w:tcW w:w="849" w:type="dxa"/>
            <w:shd w:val="clear" w:color="auto" w:fill="auto"/>
            <w:vAlign w:val="center"/>
          </w:tcPr>
          <w:p w14:paraId="7C30EB6C">
            <w:pPr>
              <w:widowControl/>
              <w:adjustRightInd/>
              <w:snapToGrid/>
              <w:spacing w:line="240" w:lineRule="auto"/>
              <w:ind w:firstLine="0" w:firstLineChars="0"/>
              <w:jc w:val="left"/>
              <w:rPr>
                <w:rFonts w:ascii="楷体" w:hAnsi="楷体" w:eastAsia="楷体" w:cs="宋体"/>
                <w:kern w:val="0"/>
                <w:sz w:val="21"/>
                <w:szCs w:val="21"/>
              </w:rPr>
            </w:pPr>
            <w:r>
              <w:rPr>
                <w:rFonts w:hint="eastAsia" w:ascii="楷体" w:hAnsi="楷体" w:eastAsia="楷体" w:cs="宋体"/>
                <w:kern w:val="0"/>
                <w:sz w:val="21"/>
                <w:szCs w:val="21"/>
              </w:rPr>
              <w:t>（1）</w:t>
            </w:r>
          </w:p>
        </w:tc>
        <w:tc>
          <w:tcPr>
            <w:tcW w:w="4108" w:type="dxa"/>
            <w:shd w:val="clear" w:color="auto" w:fill="auto"/>
            <w:vAlign w:val="center"/>
          </w:tcPr>
          <w:p w14:paraId="30D16419">
            <w:pPr>
              <w:widowControl/>
              <w:adjustRightInd/>
              <w:snapToGrid/>
              <w:spacing w:line="240" w:lineRule="auto"/>
              <w:ind w:firstLine="0" w:firstLineChars="0"/>
              <w:jc w:val="left"/>
              <w:rPr>
                <w:rFonts w:ascii="楷体" w:hAnsi="楷体" w:eastAsia="楷体" w:cs="宋体"/>
                <w:kern w:val="0"/>
                <w:sz w:val="21"/>
                <w:szCs w:val="21"/>
              </w:rPr>
            </w:pPr>
            <w:r>
              <w:rPr>
                <w:rFonts w:hint="eastAsia" w:ascii="楷体" w:hAnsi="楷体" w:eastAsia="楷体" w:cs="宋体"/>
                <w:kern w:val="0"/>
                <w:sz w:val="21"/>
                <w:szCs w:val="21"/>
              </w:rPr>
              <w:t>江苏省里下河滞涝圩调整建设工程</w:t>
            </w:r>
          </w:p>
        </w:tc>
        <w:tc>
          <w:tcPr>
            <w:tcW w:w="8788" w:type="dxa"/>
            <w:shd w:val="clear" w:color="auto" w:fill="auto"/>
            <w:vAlign w:val="center"/>
          </w:tcPr>
          <w:p w14:paraId="550167DB">
            <w:pPr>
              <w:widowControl/>
              <w:adjustRightInd/>
              <w:snapToGrid/>
              <w:spacing w:line="240" w:lineRule="auto"/>
              <w:ind w:firstLine="0" w:firstLineChars="0"/>
              <w:jc w:val="left"/>
              <w:rPr>
                <w:rFonts w:ascii="楷体" w:hAnsi="楷体" w:eastAsia="楷体" w:cs="Times New Roman"/>
                <w:kern w:val="0"/>
                <w:sz w:val="21"/>
                <w:szCs w:val="21"/>
              </w:rPr>
            </w:pPr>
            <w:r>
              <w:rPr>
                <w:rFonts w:ascii="楷体" w:hAnsi="楷体" w:eastAsia="楷体" w:cs="Times New Roman"/>
                <w:kern w:val="0"/>
                <w:sz w:val="21"/>
                <w:szCs w:val="21"/>
              </w:rPr>
              <w:t>按照等效置换的原则，泰州境内保庄圩建设工程42.65km、安全圩堤防工程141.77km、滞涝圩堤防工程53.85km、穿圩河道治理45.42km、进退水闸78座。</w:t>
            </w:r>
          </w:p>
        </w:tc>
        <w:tc>
          <w:tcPr>
            <w:tcW w:w="1276" w:type="dxa"/>
            <w:shd w:val="clear" w:color="auto" w:fill="auto"/>
            <w:vAlign w:val="center"/>
          </w:tcPr>
          <w:p w14:paraId="4D57D29E">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2025-2035</w:t>
            </w:r>
          </w:p>
        </w:tc>
        <w:tc>
          <w:tcPr>
            <w:tcW w:w="1134" w:type="dxa"/>
            <w:shd w:val="clear" w:color="auto" w:fill="auto"/>
            <w:vAlign w:val="center"/>
          </w:tcPr>
          <w:p w14:paraId="41F6B434">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16.90</w:t>
            </w:r>
          </w:p>
        </w:tc>
        <w:tc>
          <w:tcPr>
            <w:tcW w:w="1417" w:type="dxa"/>
            <w:shd w:val="clear" w:color="auto" w:fill="auto"/>
            <w:vAlign w:val="center"/>
          </w:tcPr>
          <w:p w14:paraId="083C9D4F">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 xml:space="preserve">0.50 </w:t>
            </w:r>
          </w:p>
        </w:tc>
        <w:tc>
          <w:tcPr>
            <w:tcW w:w="1570" w:type="dxa"/>
            <w:shd w:val="clear" w:color="auto" w:fill="auto"/>
            <w:vAlign w:val="center"/>
          </w:tcPr>
          <w:p w14:paraId="06410F28">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 xml:space="preserve">1.50 </w:t>
            </w:r>
          </w:p>
        </w:tc>
        <w:tc>
          <w:tcPr>
            <w:tcW w:w="1276" w:type="dxa"/>
            <w:shd w:val="clear" w:color="auto" w:fill="auto"/>
            <w:vAlign w:val="center"/>
          </w:tcPr>
          <w:p w14:paraId="36DFB920">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 xml:space="preserve">14.90 </w:t>
            </w:r>
          </w:p>
        </w:tc>
        <w:tc>
          <w:tcPr>
            <w:tcW w:w="939" w:type="dxa"/>
            <w:shd w:val="clear" w:color="auto" w:fill="auto"/>
            <w:vAlign w:val="center"/>
          </w:tcPr>
          <w:p w14:paraId="1AE255AF">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 xml:space="preserve">2760 </w:t>
            </w:r>
          </w:p>
        </w:tc>
      </w:tr>
      <w:tr w14:paraId="58F5A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567" w:hRule="atLeast"/>
        </w:trPr>
        <w:tc>
          <w:tcPr>
            <w:tcW w:w="849" w:type="dxa"/>
            <w:shd w:val="clear" w:color="auto" w:fill="auto"/>
            <w:vAlign w:val="center"/>
          </w:tcPr>
          <w:p w14:paraId="79D74A0E">
            <w:pPr>
              <w:widowControl/>
              <w:adjustRightInd/>
              <w:snapToGrid/>
              <w:spacing w:line="240" w:lineRule="auto"/>
              <w:ind w:firstLine="0" w:firstLineChars="0"/>
              <w:jc w:val="left"/>
              <w:rPr>
                <w:rFonts w:ascii="楷体" w:hAnsi="楷体" w:eastAsia="楷体" w:cs="宋体"/>
                <w:kern w:val="0"/>
                <w:sz w:val="21"/>
                <w:szCs w:val="21"/>
              </w:rPr>
            </w:pPr>
            <w:r>
              <w:rPr>
                <w:rFonts w:hint="eastAsia" w:ascii="楷体" w:hAnsi="楷体" w:eastAsia="楷体" w:cs="宋体"/>
                <w:kern w:val="0"/>
                <w:sz w:val="21"/>
                <w:szCs w:val="21"/>
              </w:rPr>
              <w:t>（2）</w:t>
            </w:r>
          </w:p>
        </w:tc>
        <w:tc>
          <w:tcPr>
            <w:tcW w:w="4108" w:type="dxa"/>
            <w:shd w:val="clear" w:color="auto" w:fill="auto"/>
            <w:vAlign w:val="center"/>
          </w:tcPr>
          <w:p w14:paraId="73ED1401">
            <w:pPr>
              <w:widowControl/>
              <w:adjustRightInd/>
              <w:snapToGrid/>
              <w:spacing w:line="240" w:lineRule="auto"/>
              <w:ind w:firstLine="0" w:firstLineChars="0"/>
              <w:jc w:val="left"/>
              <w:rPr>
                <w:rFonts w:ascii="楷体" w:hAnsi="楷体" w:eastAsia="楷体" w:cs="宋体"/>
                <w:kern w:val="0"/>
                <w:sz w:val="21"/>
                <w:szCs w:val="21"/>
              </w:rPr>
            </w:pPr>
            <w:r>
              <w:rPr>
                <w:rFonts w:hint="eastAsia" w:ascii="楷体" w:hAnsi="楷体" w:eastAsia="楷体" w:cs="宋体"/>
                <w:kern w:val="0"/>
                <w:sz w:val="21"/>
                <w:szCs w:val="21"/>
              </w:rPr>
              <w:t>斗龙港(含兴盐界河)治理工程</w:t>
            </w:r>
          </w:p>
        </w:tc>
        <w:tc>
          <w:tcPr>
            <w:tcW w:w="8788" w:type="dxa"/>
            <w:shd w:val="clear" w:color="auto" w:fill="auto"/>
            <w:vAlign w:val="center"/>
          </w:tcPr>
          <w:p w14:paraId="63D2F05C">
            <w:pPr>
              <w:widowControl/>
              <w:adjustRightInd/>
              <w:snapToGrid/>
              <w:spacing w:line="240" w:lineRule="auto"/>
              <w:ind w:firstLine="0" w:firstLineChars="0"/>
              <w:jc w:val="left"/>
              <w:rPr>
                <w:rFonts w:ascii="楷体" w:hAnsi="楷体" w:eastAsia="楷体" w:cs="Times New Roman"/>
                <w:kern w:val="0"/>
                <w:sz w:val="21"/>
                <w:szCs w:val="21"/>
              </w:rPr>
            </w:pPr>
            <w:r>
              <w:rPr>
                <w:rFonts w:ascii="楷体" w:hAnsi="楷体" w:eastAsia="楷体" w:cs="Times New Roman"/>
                <w:kern w:val="0"/>
                <w:sz w:val="21"/>
                <w:szCs w:val="21"/>
              </w:rPr>
              <w:t>持续实施泰州市境内拓浚河道工程20.66km，堤防加固工程5.02km，河坡防护工程6.72km，拆建沿线配套建筑物12座等。</w:t>
            </w:r>
          </w:p>
        </w:tc>
        <w:tc>
          <w:tcPr>
            <w:tcW w:w="1276" w:type="dxa"/>
            <w:shd w:val="clear" w:color="auto" w:fill="auto"/>
            <w:vAlign w:val="center"/>
          </w:tcPr>
          <w:p w14:paraId="12ECA5FD">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2025-2030</w:t>
            </w:r>
          </w:p>
        </w:tc>
        <w:tc>
          <w:tcPr>
            <w:tcW w:w="1134" w:type="dxa"/>
            <w:shd w:val="clear" w:color="auto" w:fill="auto"/>
            <w:vAlign w:val="center"/>
          </w:tcPr>
          <w:p w14:paraId="24981AE5">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2.16</w:t>
            </w:r>
          </w:p>
        </w:tc>
        <w:tc>
          <w:tcPr>
            <w:tcW w:w="1417" w:type="dxa"/>
            <w:shd w:val="clear" w:color="auto" w:fill="auto"/>
            <w:vAlign w:val="center"/>
          </w:tcPr>
          <w:p w14:paraId="068412BA">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0.26</w:t>
            </w:r>
          </w:p>
        </w:tc>
        <w:tc>
          <w:tcPr>
            <w:tcW w:w="1570" w:type="dxa"/>
            <w:shd w:val="clear" w:color="auto" w:fill="auto"/>
            <w:vAlign w:val="center"/>
          </w:tcPr>
          <w:p w14:paraId="40B772E6">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1.9</w:t>
            </w:r>
          </w:p>
        </w:tc>
        <w:tc>
          <w:tcPr>
            <w:tcW w:w="1276" w:type="dxa"/>
            <w:shd w:val="clear" w:color="auto" w:fill="auto"/>
            <w:vAlign w:val="center"/>
          </w:tcPr>
          <w:p w14:paraId="728B9395">
            <w:pPr>
              <w:widowControl/>
              <w:adjustRightInd/>
              <w:snapToGrid/>
              <w:spacing w:line="240" w:lineRule="auto"/>
              <w:ind w:firstLine="0" w:firstLineChars="0"/>
              <w:jc w:val="center"/>
              <w:rPr>
                <w:rFonts w:eastAsia="楷体" w:cs="Times New Roman"/>
                <w:kern w:val="0"/>
                <w:sz w:val="21"/>
                <w:szCs w:val="21"/>
              </w:rPr>
            </w:pPr>
          </w:p>
        </w:tc>
        <w:tc>
          <w:tcPr>
            <w:tcW w:w="939" w:type="dxa"/>
            <w:shd w:val="clear" w:color="auto" w:fill="auto"/>
            <w:vAlign w:val="center"/>
          </w:tcPr>
          <w:p w14:paraId="1894371A">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188</w:t>
            </w:r>
          </w:p>
        </w:tc>
      </w:tr>
      <w:tr w14:paraId="230F8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567" w:hRule="atLeast"/>
        </w:trPr>
        <w:tc>
          <w:tcPr>
            <w:tcW w:w="849" w:type="dxa"/>
            <w:shd w:val="clear" w:color="auto" w:fill="auto"/>
            <w:vAlign w:val="center"/>
          </w:tcPr>
          <w:p w14:paraId="2EAA70AD">
            <w:pPr>
              <w:widowControl/>
              <w:adjustRightInd/>
              <w:snapToGrid/>
              <w:spacing w:line="240" w:lineRule="auto"/>
              <w:ind w:firstLine="0" w:firstLineChars="0"/>
              <w:jc w:val="left"/>
              <w:rPr>
                <w:rFonts w:ascii="楷体" w:hAnsi="楷体" w:eastAsia="楷体" w:cs="宋体"/>
                <w:kern w:val="0"/>
                <w:sz w:val="21"/>
                <w:szCs w:val="21"/>
              </w:rPr>
            </w:pPr>
            <w:r>
              <w:rPr>
                <w:rFonts w:hint="eastAsia" w:ascii="楷体" w:hAnsi="楷体" w:eastAsia="楷体" w:cs="宋体"/>
                <w:kern w:val="0"/>
                <w:sz w:val="21"/>
                <w:szCs w:val="21"/>
              </w:rPr>
              <w:t>（3）</w:t>
            </w:r>
          </w:p>
        </w:tc>
        <w:tc>
          <w:tcPr>
            <w:tcW w:w="4108" w:type="dxa"/>
            <w:shd w:val="clear" w:color="auto" w:fill="auto"/>
            <w:vAlign w:val="center"/>
          </w:tcPr>
          <w:p w14:paraId="26A251E2">
            <w:pPr>
              <w:widowControl/>
              <w:adjustRightInd/>
              <w:snapToGrid/>
              <w:spacing w:line="240" w:lineRule="auto"/>
              <w:ind w:firstLine="0" w:firstLineChars="0"/>
              <w:jc w:val="left"/>
              <w:rPr>
                <w:rFonts w:ascii="楷体" w:hAnsi="楷体" w:eastAsia="楷体" w:cs="宋体"/>
                <w:kern w:val="0"/>
                <w:sz w:val="21"/>
                <w:szCs w:val="21"/>
              </w:rPr>
            </w:pPr>
            <w:r>
              <w:rPr>
                <w:rFonts w:hint="eastAsia" w:ascii="楷体" w:hAnsi="楷体" w:eastAsia="楷体" w:cs="宋体"/>
                <w:kern w:val="0"/>
                <w:sz w:val="21"/>
                <w:szCs w:val="21"/>
              </w:rPr>
              <w:t>泰州市通南地区引排能力提升工程</w:t>
            </w:r>
          </w:p>
        </w:tc>
        <w:tc>
          <w:tcPr>
            <w:tcW w:w="8788" w:type="dxa"/>
            <w:shd w:val="clear" w:color="auto" w:fill="auto"/>
            <w:vAlign w:val="center"/>
          </w:tcPr>
          <w:p w14:paraId="3162D55F">
            <w:pPr>
              <w:widowControl/>
              <w:adjustRightInd/>
              <w:snapToGrid/>
              <w:spacing w:line="240" w:lineRule="auto"/>
              <w:ind w:firstLine="0" w:firstLineChars="0"/>
              <w:jc w:val="left"/>
              <w:rPr>
                <w:rFonts w:ascii="楷体" w:hAnsi="楷体" w:eastAsia="楷体" w:cs="Times New Roman"/>
                <w:kern w:val="0"/>
                <w:sz w:val="21"/>
                <w:szCs w:val="21"/>
              </w:rPr>
            </w:pPr>
            <w:r>
              <w:rPr>
                <w:rFonts w:ascii="楷体" w:hAnsi="楷体" w:eastAsia="楷体" w:cs="Times New Roman"/>
                <w:kern w:val="0"/>
                <w:sz w:val="21"/>
                <w:szCs w:val="21"/>
              </w:rPr>
              <w:t>整治增产港，拆建口岸闸、过船港闸、天星港闸、焦土港闸为闸站，扩大区域外排能力，进一步提高区域的蓄、引、提水能力，解决长江潮位低时供水水源不足的问题，提高供水保证率。</w:t>
            </w:r>
          </w:p>
        </w:tc>
        <w:tc>
          <w:tcPr>
            <w:tcW w:w="1276" w:type="dxa"/>
            <w:shd w:val="clear" w:color="auto" w:fill="auto"/>
            <w:noWrap/>
            <w:vAlign w:val="center"/>
          </w:tcPr>
          <w:p w14:paraId="568D6B15">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2024-2029</w:t>
            </w:r>
          </w:p>
        </w:tc>
        <w:tc>
          <w:tcPr>
            <w:tcW w:w="1134" w:type="dxa"/>
            <w:shd w:val="clear" w:color="auto" w:fill="auto"/>
            <w:vAlign w:val="center"/>
          </w:tcPr>
          <w:p w14:paraId="779F02AB">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 xml:space="preserve">19.23 </w:t>
            </w:r>
          </w:p>
        </w:tc>
        <w:tc>
          <w:tcPr>
            <w:tcW w:w="1417" w:type="dxa"/>
            <w:shd w:val="clear" w:color="auto" w:fill="auto"/>
            <w:vAlign w:val="center"/>
          </w:tcPr>
          <w:p w14:paraId="2D2EED42">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 xml:space="preserve">2.00 </w:t>
            </w:r>
          </w:p>
        </w:tc>
        <w:tc>
          <w:tcPr>
            <w:tcW w:w="1570" w:type="dxa"/>
            <w:shd w:val="clear" w:color="auto" w:fill="auto"/>
            <w:vAlign w:val="center"/>
          </w:tcPr>
          <w:p w14:paraId="60E59802">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 xml:space="preserve">15.23 </w:t>
            </w:r>
          </w:p>
        </w:tc>
        <w:tc>
          <w:tcPr>
            <w:tcW w:w="1276" w:type="dxa"/>
            <w:shd w:val="clear" w:color="auto" w:fill="auto"/>
            <w:vAlign w:val="center"/>
          </w:tcPr>
          <w:p w14:paraId="77FA84D2">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 xml:space="preserve">2.00 </w:t>
            </w:r>
          </w:p>
        </w:tc>
        <w:tc>
          <w:tcPr>
            <w:tcW w:w="939" w:type="dxa"/>
            <w:shd w:val="clear" w:color="auto" w:fill="auto"/>
            <w:vAlign w:val="center"/>
          </w:tcPr>
          <w:p w14:paraId="798C49AB">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 xml:space="preserve">132 </w:t>
            </w:r>
          </w:p>
        </w:tc>
      </w:tr>
      <w:tr w14:paraId="28558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567" w:hRule="atLeast"/>
        </w:trPr>
        <w:tc>
          <w:tcPr>
            <w:tcW w:w="849" w:type="dxa"/>
            <w:shd w:val="clear" w:color="auto" w:fill="auto"/>
            <w:vAlign w:val="center"/>
          </w:tcPr>
          <w:p w14:paraId="348E4886">
            <w:pPr>
              <w:widowControl/>
              <w:adjustRightInd/>
              <w:snapToGrid/>
              <w:spacing w:line="240" w:lineRule="auto"/>
              <w:ind w:firstLine="0" w:firstLineChars="0"/>
              <w:jc w:val="left"/>
              <w:rPr>
                <w:rFonts w:ascii="楷体" w:hAnsi="楷体" w:eastAsia="楷体" w:cs="宋体"/>
                <w:kern w:val="0"/>
                <w:sz w:val="21"/>
                <w:szCs w:val="21"/>
              </w:rPr>
            </w:pPr>
            <w:r>
              <w:rPr>
                <w:rFonts w:hint="eastAsia" w:ascii="楷体" w:hAnsi="楷体" w:eastAsia="楷体" w:cs="宋体"/>
                <w:kern w:val="0"/>
                <w:sz w:val="21"/>
                <w:szCs w:val="21"/>
              </w:rPr>
              <w:t>（4）</w:t>
            </w:r>
          </w:p>
        </w:tc>
        <w:tc>
          <w:tcPr>
            <w:tcW w:w="4108" w:type="dxa"/>
            <w:shd w:val="clear" w:color="auto" w:fill="auto"/>
            <w:vAlign w:val="center"/>
          </w:tcPr>
          <w:p w14:paraId="2B431424">
            <w:pPr>
              <w:widowControl/>
              <w:adjustRightInd/>
              <w:snapToGrid/>
              <w:spacing w:line="240" w:lineRule="auto"/>
              <w:ind w:firstLine="0" w:firstLineChars="0"/>
              <w:jc w:val="left"/>
              <w:rPr>
                <w:rFonts w:ascii="楷体" w:hAnsi="楷体" w:eastAsia="楷体" w:cs="宋体"/>
                <w:kern w:val="0"/>
                <w:sz w:val="21"/>
                <w:szCs w:val="21"/>
              </w:rPr>
            </w:pPr>
            <w:r>
              <w:rPr>
                <w:rFonts w:hint="eastAsia" w:ascii="楷体" w:hAnsi="楷体" w:eastAsia="楷体" w:cs="宋体"/>
                <w:kern w:val="0"/>
                <w:sz w:val="21"/>
                <w:szCs w:val="21"/>
              </w:rPr>
              <w:t>泰州市中小河流整治工程</w:t>
            </w:r>
          </w:p>
        </w:tc>
        <w:tc>
          <w:tcPr>
            <w:tcW w:w="8788" w:type="dxa"/>
            <w:shd w:val="clear" w:color="auto" w:fill="auto"/>
            <w:vAlign w:val="center"/>
          </w:tcPr>
          <w:p w14:paraId="500AED39">
            <w:pPr>
              <w:widowControl/>
              <w:adjustRightInd/>
              <w:snapToGrid/>
              <w:spacing w:line="240" w:lineRule="auto"/>
              <w:ind w:firstLine="0" w:firstLineChars="0"/>
              <w:jc w:val="left"/>
              <w:rPr>
                <w:rFonts w:ascii="楷体" w:hAnsi="楷体" w:eastAsia="楷体" w:cs="Times New Roman"/>
                <w:kern w:val="0"/>
                <w:sz w:val="21"/>
                <w:szCs w:val="21"/>
              </w:rPr>
            </w:pPr>
            <w:r>
              <w:rPr>
                <w:rFonts w:ascii="楷体" w:hAnsi="楷体" w:eastAsia="楷体" w:cs="Times New Roman"/>
                <w:kern w:val="0"/>
                <w:sz w:val="21"/>
                <w:szCs w:val="21"/>
              </w:rPr>
              <w:t>整治25条中小河流：雄港-雌港、蚌蜒河、海河-海沟河、白涂河、李中河、老通扬运河、两泰官河、中干河、如泰运河、西姜黄河、东姜黄河、季黄河、生产河、南干河、茅山河、龙耳河、天星港、焦土港、靖泰界河、羌溪河、新曲河、十圩港、下六圩港、四支河、潼头河治理河道总长485.6km，配套建筑物426座。</w:t>
            </w:r>
          </w:p>
        </w:tc>
        <w:tc>
          <w:tcPr>
            <w:tcW w:w="1276" w:type="dxa"/>
            <w:shd w:val="clear" w:color="auto" w:fill="auto"/>
            <w:noWrap/>
            <w:vAlign w:val="center"/>
          </w:tcPr>
          <w:p w14:paraId="6DD52E29">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2024-2035</w:t>
            </w:r>
          </w:p>
        </w:tc>
        <w:tc>
          <w:tcPr>
            <w:tcW w:w="1134" w:type="dxa"/>
            <w:shd w:val="clear" w:color="auto" w:fill="auto"/>
            <w:vAlign w:val="center"/>
          </w:tcPr>
          <w:p w14:paraId="528FA11D">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 xml:space="preserve">51.50 </w:t>
            </w:r>
          </w:p>
        </w:tc>
        <w:tc>
          <w:tcPr>
            <w:tcW w:w="1417" w:type="dxa"/>
            <w:shd w:val="clear" w:color="auto" w:fill="auto"/>
            <w:vAlign w:val="center"/>
          </w:tcPr>
          <w:p w14:paraId="7CAA39D9">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 xml:space="preserve">9.21 </w:t>
            </w:r>
          </w:p>
        </w:tc>
        <w:tc>
          <w:tcPr>
            <w:tcW w:w="1570" w:type="dxa"/>
            <w:shd w:val="clear" w:color="auto" w:fill="auto"/>
            <w:vAlign w:val="center"/>
          </w:tcPr>
          <w:p w14:paraId="1CD7B574">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 xml:space="preserve">13.25 </w:t>
            </w:r>
          </w:p>
        </w:tc>
        <w:tc>
          <w:tcPr>
            <w:tcW w:w="1276" w:type="dxa"/>
            <w:shd w:val="clear" w:color="auto" w:fill="auto"/>
            <w:vAlign w:val="center"/>
          </w:tcPr>
          <w:p w14:paraId="598D9057">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 xml:space="preserve">29.04 </w:t>
            </w:r>
          </w:p>
        </w:tc>
        <w:tc>
          <w:tcPr>
            <w:tcW w:w="939" w:type="dxa"/>
            <w:shd w:val="clear" w:color="auto" w:fill="auto"/>
            <w:vAlign w:val="center"/>
          </w:tcPr>
          <w:p w14:paraId="39C222A0">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 xml:space="preserve">985 </w:t>
            </w:r>
          </w:p>
        </w:tc>
      </w:tr>
      <w:tr w14:paraId="0DEE3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567" w:hRule="atLeast"/>
        </w:trPr>
        <w:tc>
          <w:tcPr>
            <w:tcW w:w="849" w:type="dxa"/>
            <w:shd w:val="clear" w:color="auto" w:fill="auto"/>
            <w:vAlign w:val="center"/>
          </w:tcPr>
          <w:p w14:paraId="41D3A25A">
            <w:pPr>
              <w:widowControl/>
              <w:adjustRightInd/>
              <w:snapToGrid/>
              <w:spacing w:line="240" w:lineRule="auto"/>
              <w:ind w:firstLine="0" w:firstLineChars="0"/>
              <w:jc w:val="left"/>
              <w:rPr>
                <w:rFonts w:ascii="楷体" w:hAnsi="楷体" w:eastAsia="楷体" w:cs="宋体"/>
                <w:kern w:val="0"/>
                <w:sz w:val="21"/>
                <w:szCs w:val="21"/>
              </w:rPr>
            </w:pPr>
            <w:r>
              <w:rPr>
                <w:rFonts w:hint="eastAsia" w:ascii="楷体" w:hAnsi="楷体" w:eastAsia="楷体" w:cs="宋体"/>
                <w:kern w:val="0"/>
                <w:sz w:val="21"/>
                <w:szCs w:val="21"/>
              </w:rPr>
              <w:t>（5）</w:t>
            </w:r>
          </w:p>
        </w:tc>
        <w:tc>
          <w:tcPr>
            <w:tcW w:w="4108" w:type="dxa"/>
            <w:shd w:val="clear" w:color="auto" w:fill="auto"/>
            <w:vAlign w:val="center"/>
          </w:tcPr>
          <w:p w14:paraId="7F3036B2">
            <w:pPr>
              <w:widowControl/>
              <w:adjustRightInd/>
              <w:snapToGrid/>
              <w:spacing w:line="240" w:lineRule="auto"/>
              <w:ind w:firstLine="0" w:firstLineChars="0"/>
              <w:jc w:val="left"/>
              <w:rPr>
                <w:rFonts w:ascii="楷体" w:hAnsi="楷体" w:eastAsia="楷体" w:cs="宋体"/>
                <w:kern w:val="0"/>
                <w:sz w:val="21"/>
                <w:szCs w:val="21"/>
              </w:rPr>
            </w:pPr>
            <w:r>
              <w:rPr>
                <w:rFonts w:hint="eastAsia" w:ascii="楷体" w:hAnsi="楷体" w:eastAsia="楷体" w:cs="宋体"/>
                <w:kern w:val="0"/>
                <w:sz w:val="21"/>
                <w:szCs w:val="21"/>
              </w:rPr>
              <w:t>里下河、涝区治理</w:t>
            </w:r>
          </w:p>
        </w:tc>
        <w:tc>
          <w:tcPr>
            <w:tcW w:w="8788" w:type="dxa"/>
            <w:shd w:val="clear" w:color="auto" w:fill="auto"/>
            <w:vAlign w:val="center"/>
          </w:tcPr>
          <w:p w14:paraId="05BF8F91">
            <w:pPr>
              <w:widowControl/>
              <w:adjustRightInd/>
              <w:snapToGrid/>
              <w:spacing w:line="240" w:lineRule="auto"/>
              <w:ind w:firstLine="0" w:firstLineChars="0"/>
              <w:jc w:val="left"/>
              <w:rPr>
                <w:rFonts w:ascii="楷体" w:hAnsi="楷体" w:eastAsia="楷体" w:cs="Times New Roman"/>
                <w:kern w:val="0"/>
                <w:sz w:val="21"/>
                <w:szCs w:val="21"/>
              </w:rPr>
            </w:pPr>
            <w:r>
              <w:rPr>
                <w:rFonts w:hint="eastAsia" w:ascii="楷体" w:hAnsi="楷体" w:eastAsia="楷体" w:cs="Times New Roman"/>
                <w:kern w:val="0"/>
                <w:sz w:val="21"/>
                <w:szCs w:val="21"/>
              </w:rPr>
              <w:t>根据流域防洪规划安排，实施里下河片、通南片易涝区综合治理，疏浚河道、加固堤防、新改建涵闸、泵站等，全面提升区域排涝能力。</w:t>
            </w:r>
          </w:p>
        </w:tc>
        <w:tc>
          <w:tcPr>
            <w:tcW w:w="1276" w:type="dxa"/>
            <w:shd w:val="clear" w:color="auto" w:fill="auto"/>
            <w:noWrap/>
            <w:vAlign w:val="center"/>
          </w:tcPr>
          <w:p w14:paraId="1DCA0E69">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2031~2035</w:t>
            </w:r>
          </w:p>
        </w:tc>
        <w:tc>
          <w:tcPr>
            <w:tcW w:w="1134" w:type="dxa"/>
            <w:shd w:val="clear" w:color="auto" w:fill="auto"/>
            <w:vAlign w:val="center"/>
          </w:tcPr>
          <w:p w14:paraId="1FB8154A">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6</w:t>
            </w:r>
          </w:p>
        </w:tc>
        <w:tc>
          <w:tcPr>
            <w:tcW w:w="1417" w:type="dxa"/>
            <w:shd w:val="clear" w:color="auto" w:fill="auto"/>
            <w:vAlign w:val="center"/>
          </w:tcPr>
          <w:p w14:paraId="36FB2B3E">
            <w:pPr>
              <w:widowControl/>
              <w:adjustRightInd/>
              <w:snapToGrid/>
              <w:spacing w:line="240" w:lineRule="auto"/>
              <w:ind w:firstLine="0" w:firstLineChars="0"/>
              <w:jc w:val="center"/>
              <w:rPr>
                <w:rFonts w:eastAsia="楷体" w:cs="Times New Roman"/>
                <w:kern w:val="0"/>
                <w:sz w:val="21"/>
                <w:szCs w:val="21"/>
              </w:rPr>
            </w:pPr>
          </w:p>
        </w:tc>
        <w:tc>
          <w:tcPr>
            <w:tcW w:w="1570" w:type="dxa"/>
            <w:shd w:val="clear" w:color="auto" w:fill="auto"/>
            <w:vAlign w:val="center"/>
          </w:tcPr>
          <w:p w14:paraId="46184F95">
            <w:pPr>
              <w:widowControl/>
              <w:adjustRightInd/>
              <w:snapToGrid/>
              <w:spacing w:line="240" w:lineRule="auto"/>
              <w:ind w:firstLine="0" w:firstLineChars="0"/>
              <w:jc w:val="center"/>
              <w:rPr>
                <w:rFonts w:eastAsia="楷体" w:cs="Times New Roman"/>
                <w:kern w:val="0"/>
                <w:sz w:val="21"/>
                <w:szCs w:val="21"/>
              </w:rPr>
            </w:pPr>
          </w:p>
        </w:tc>
        <w:tc>
          <w:tcPr>
            <w:tcW w:w="1276" w:type="dxa"/>
            <w:shd w:val="clear" w:color="auto" w:fill="auto"/>
            <w:vAlign w:val="center"/>
          </w:tcPr>
          <w:p w14:paraId="2DD8F5DF">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6</w:t>
            </w:r>
          </w:p>
        </w:tc>
        <w:tc>
          <w:tcPr>
            <w:tcW w:w="939" w:type="dxa"/>
            <w:shd w:val="clear" w:color="auto" w:fill="auto"/>
            <w:vAlign w:val="center"/>
          </w:tcPr>
          <w:p w14:paraId="521FA6F2">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100</w:t>
            </w:r>
          </w:p>
        </w:tc>
      </w:tr>
      <w:tr w14:paraId="10E16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567" w:hRule="atLeast"/>
        </w:trPr>
        <w:tc>
          <w:tcPr>
            <w:tcW w:w="849" w:type="dxa"/>
            <w:shd w:val="clear" w:color="auto" w:fill="auto"/>
            <w:vAlign w:val="center"/>
          </w:tcPr>
          <w:p w14:paraId="05505AD9">
            <w:pPr>
              <w:widowControl/>
              <w:adjustRightInd/>
              <w:snapToGrid/>
              <w:spacing w:line="240" w:lineRule="auto"/>
              <w:ind w:firstLine="0" w:firstLineChars="0"/>
              <w:jc w:val="left"/>
              <w:rPr>
                <w:rFonts w:ascii="楷体" w:hAnsi="楷体" w:eastAsia="楷体" w:cs="Times New Roman"/>
                <w:b/>
                <w:bCs/>
                <w:kern w:val="0"/>
                <w:sz w:val="21"/>
                <w:szCs w:val="21"/>
              </w:rPr>
            </w:pPr>
            <w:r>
              <w:rPr>
                <w:rFonts w:hint="eastAsia" w:ascii="楷体" w:hAnsi="楷体" w:eastAsia="楷体" w:cs="Times New Roman"/>
                <w:b/>
                <w:bCs/>
                <w:kern w:val="0"/>
                <w:sz w:val="21"/>
                <w:szCs w:val="21"/>
              </w:rPr>
              <w:t>（三）</w:t>
            </w:r>
          </w:p>
        </w:tc>
        <w:tc>
          <w:tcPr>
            <w:tcW w:w="4108" w:type="dxa"/>
            <w:shd w:val="clear" w:color="auto" w:fill="auto"/>
            <w:vAlign w:val="center"/>
          </w:tcPr>
          <w:p w14:paraId="18817433">
            <w:pPr>
              <w:widowControl/>
              <w:adjustRightInd/>
              <w:snapToGrid/>
              <w:spacing w:line="240" w:lineRule="auto"/>
              <w:ind w:firstLine="0" w:firstLineChars="0"/>
              <w:jc w:val="left"/>
              <w:rPr>
                <w:rFonts w:ascii="楷体" w:hAnsi="楷体" w:eastAsia="楷体" w:cs="宋体"/>
                <w:b/>
                <w:bCs/>
                <w:kern w:val="0"/>
                <w:sz w:val="21"/>
                <w:szCs w:val="21"/>
              </w:rPr>
            </w:pPr>
            <w:r>
              <w:rPr>
                <w:rFonts w:hint="eastAsia" w:ascii="楷体" w:hAnsi="楷体" w:eastAsia="楷体" w:cs="宋体"/>
                <w:b/>
                <w:bCs/>
                <w:kern w:val="0"/>
                <w:sz w:val="21"/>
                <w:szCs w:val="21"/>
              </w:rPr>
              <w:t>城市防洪排涝工程</w:t>
            </w:r>
          </w:p>
        </w:tc>
        <w:tc>
          <w:tcPr>
            <w:tcW w:w="8788" w:type="dxa"/>
            <w:shd w:val="clear" w:color="auto" w:fill="auto"/>
            <w:vAlign w:val="center"/>
          </w:tcPr>
          <w:p w14:paraId="04C738F0">
            <w:pPr>
              <w:widowControl/>
              <w:adjustRightInd/>
              <w:snapToGrid/>
              <w:spacing w:line="240" w:lineRule="auto"/>
              <w:ind w:firstLine="0" w:firstLineChars="0"/>
              <w:jc w:val="left"/>
              <w:rPr>
                <w:rFonts w:ascii="楷体" w:hAnsi="楷体" w:eastAsia="楷体" w:cs="Times New Roman"/>
                <w:kern w:val="0"/>
                <w:sz w:val="21"/>
                <w:szCs w:val="21"/>
              </w:rPr>
            </w:pPr>
            <w:r>
              <w:rPr>
                <w:rFonts w:hint="eastAsia" w:ascii="楷体" w:hAnsi="楷体" w:eastAsia="楷体" w:cs="Times New Roman"/>
                <w:kern w:val="0"/>
                <w:sz w:val="21"/>
                <w:szCs w:val="21"/>
              </w:rPr>
              <w:t>1、城市排涝河道及堤防整治。在流域、区域防洪除涝治理工程基础上，继续实施送水河等堤防加固工程，实施沈杨中沟、运粮河南延等城区排水河道治理工程，综合整治低洼区排水河道并适时新开排水河道；整治老通东、蒋东湖、龙窝湖等水域建设工程。2、城市排涝闸站治理。新建涵闸，充分扩大城区引排能力；实施三片低洼区泵站工程，高沙土区新改建泵站40m</w:t>
            </w:r>
            <w:r>
              <w:rPr>
                <w:rFonts w:ascii="Calibri" w:hAnsi="Calibri" w:eastAsia="楷体" w:cs="Calibri"/>
                <w:kern w:val="0"/>
                <w:sz w:val="21"/>
                <w:szCs w:val="21"/>
              </w:rPr>
              <w:t>³</w:t>
            </w:r>
            <w:r>
              <w:rPr>
                <w:rFonts w:hint="eastAsia" w:ascii="楷体" w:hAnsi="楷体" w:eastAsia="楷体" w:cs="Times New Roman"/>
                <w:kern w:val="0"/>
                <w:sz w:val="21"/>
                <w:szCs w:val="21"/>
              </w:rPr>
              <w:t>/s；沿江圩区新改建泵站100m</w:t>
            </w:r>
            <w:r>
              <w:rPr>
                <w:rFonts w:ascii="Calibri" w:hAnsi="Calibri" w:eastAsia="楷体" w:cs="Calibri"/>
                <w:kern w:val="0"/>
                <w:sz w:val="21"/>
                <w:szCs w:val="21"/>
              </w:rPr>
              <w:t>³</w:t>
            </w:r>
            <w:r>
              <w:rPr>
                <w:rFonts w:hint="eastAsia" w:ascii="楷体" w:hAnsi="楷体" w:eastAsia="楷体" w:cs="Times New Roman"/>
                <w:kern w:val="0"/>
                <w:sz w:val="21"/>
                <w:szCs w:val="21"/>
              </w:rPr>
              <w:t>/s；里下河区新改建泵站46 m</w:t>
            </w:r>
            <w:r>
              <w:rPr>
                <w:rFonts w:ascii="Calibri" w:hAnsi="Calibri" w:eastAsia="楷体" w:cs="Calibri"/>
                <w:kern w:val="0"/>
                <w:sz w:val="21"/>
                <w:szCs w:val="21"/>
              </w:rPr>
              <w:t>³</w:t>
            </w:r>
            <w:r>
              <w:rPr>
                <w:rFonts w:hint="eastAsia" w:ascii="楷体" w:hAnsi="楷体" w:eastAsia="楷体" w:cs="Times New Roman"/>
                <w:kern w:val="0"/>
                <w:sz w:val="21"/>
                <w:szCs w:val="21"/>
              </w:rPr>
              <w:t>/s。</w:t>
            </w:r>
          </w:p>
        </w:tc>
        <w:tc>
          <w:tcPr>
            <w:tcW w:w="1276" w:type="dxa"/>
            <w:shd w:val="clear" w:color="auto" w:fill="auto"/>
            <w:vAlign w:val="center"/>
          </w:tcPr>
          <w:p w14:paraId="611AAFB9">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2024-2035</w:t>
            </w:r>
          </w:p>
        </w:tc>
        <w:tc>
          <w:tcPr>
            <w:tcW w:w="1134" w:type="dxa"/>
            <w:shd w:val="clear" w:color="auto" w:fill="auto"/>
            <w:vAlign w:val="center"/>
          </w:tcPr>
          <w:p w14:paraId="52457696">
            <w:pPr>
              <w:widowControl/>
              <w:adjustRightInd/>
              <w:snapToGrid/>
              <w:spacing w:line="240" w:lineRule="auto"/>
              <w:ind w:firstLine="0" w:firstLineChars="0"/>
              <w:jc w:val="center"/>
              <w:rPr>
                <w:rFonts w:eastAsia="楷体" w:cs="Times New Roman"/>
                <w:b/>
                <w:bCs/>
                <w:kern w:val="0"/>
                <w:sz w:val="21"/>
                <w:szCs w:val="21"/>
              </w:rPr>
            </w:pPr>
            <w:r>
              <w:rPr>
                <w:rFonts w:eastAsia="楷体" w:cs="Times New Roman"/>
                <w:b/>
                <w:bCs/>
                <w:kern w:val="0"/>
                <w:sz w:val="21"/>
                <w:szCs w:val="21"/>
              </w:rPr>
              <w:t xml:space="preserve">7.81 </w:t>
            </w:r>
          </w:p>
        </w:tc>
        <w:tc>
          <w:tcPr>
            <w:tcW w:w="1417" w:type="dxa"/>
            <w:shd w:val="clear" w:color="auto" w:fill="auto"/>
            <w:vAlign w:val="center"/>
          </w:tcPr>
          <w:p w14:paraId="635A865D">
            <w:pPr>
              <w:widowControl/>
              <w:adjustRightInd/>
              <w:snapToGrid/>
              <w:spacing w:line="240" w:lineRule="auto"/>
              <w:ind w:firstLine="0" w:firstLineChars="0"/>
              <w:jc w:val="center"/>
              <w:rPr>
                <w:rFonts w:eastAsia="楷体" w:cs="Times New Roman"/>
                <w:b/>
                <w:bCs/>
                <w:kern w:val="0"/>
                <w:sz w:val="21"/>
                <w:szCs w:val="21"/>
              </w:rPr>
            </w:pPr>
            <w:r>
              <w:rPr>
                <w:rFonts w:eastAsia="楷体" w:cs="Times New Roman"/>
                <w:b/>
                <w:bCs/>
                <w:kern w:val="0"/>
                <w:sz w:val="21"/>
                <w:szCs w:val="21"/>
              </w:rPr>
              <w:t xml:space="preserve">1.23 </w:t>
            </w:r>
          </w:p>
        </w:tc>
        <w:tc>
          <w:tcPr>
            <w:tcW w:w="1570" w:type="dxa"/>
            <w:shd w:val="clear" w:color="auto" w:fill="auto"/>
            <w:vAlign w:val="center"/>
          </w:tcPr>
          <w:p w14:paraId="7CDC9537">
            <w:pPr>
              <w:widowControl/>
              <w:adjustRightInd/>
              <w:snapToGrid/>
              <w:spacing w:line="240" w:lineRule="auto"/>
              <w:ind w:firstLine="0" w:firstLineChars="0"/>
              <w:jc w:val="center"/>
              <w:rPr>
                <w:rFonts w:eastAsia="楷体" w:cs="Times New Roman"/>
                <w:b/>
                <w:bCs/>
                <w:kern w:val="0"/>
                <w:sz w:val="21"/>
                <w:szCs w:val="21"/>
              </w:rPr>
            </w:pPr>
            <w:r>
              <w:rPr>
                <w:rFonts w:eastAsia="楷体" w:cs="Times New Roman"/>
                <w:b/>
                <w:bCs/>
                <w:kern w:val="0"/>
                <w:sz w:val="21"/>
                <w:szCs w:val="21"/>
              </w:rPr>
              <w:t xml:space="preserve">4.72 </w:t>
            </w:r>
          </w:p>
        </w:tc>
        <w:tc>
          <w:tcPr>
            <w:tcW w:w="1276" w:type="dxa"/>
            <w:shd w:val="clear" w:color="auto" w:fill="auto"/>
            <w:vAlign w:val="center"/>
          </w:tcPr>
          <w:p w14:paraId="00D2CC06">
            <w:pPr>
              <w:widowControl/>
              <w:adjustRightInd/>
              <w:snapToGrid/>
              <w:spacing w:line="240" w:lineRule="auto"/>
              <w:ind w:firstLine="0" w:firstLineChars="0"/>
              <w:jc w:val="center"/>
              <w:rPr>
                <w:rFonts w:eastAsia="楷体" w:cs="Times New Roman"/>
                <w:b/>
                <w:bCs/>
                <w:kern w:val="0"/>
                <w:sz w:val="21"/>
                <w:szCs w:val="21"/>
              </w:rPr>
            </w:pPr>
            <w:r>
              <w:rPr>
                <w:rFonts w:eastAsia="楷体" w:cs="Times New Roman"/>
                <w:b/>
                <w:bCs/>
                <w:kern w:val="0"/>
                <w:sz w:val="21"/>
                <w:szCs w:val="21"/>
              </w:rPr>
              <w:t xml:space="preserve">1.86 </w:t>
            </w:r>
          </w:p>
        </w:tc>
        <w:tc>
          <w:tcPr>
            <w:tcW w:w="939" w:type="dxa"/>
            <w:shd w:val="clear" w:color="auto" w:fill="auto"/>
            <w:vAlign w:val="center"/>
          </w:tcPr>
          <w:p w14:paraId="2CECBDC0">
            <w:pPr>
              <w:widowControl/>
              <w:adjustRightInd/>
              <w:snapToGrid/>
              <w:spacing w:line="240" w:lineRule="auto"/>
              <w:ind w:firstLine="0" w:firstLineChars="0"/>
              <w:jc w:val="center"/>
              <w:rPr>
                <w:rFonts w:eastAsia="楷体" w:cs="Times New Roman"/>
                <w:b/>
                <w:bCs/>
                <w:kern w:val="0"/>
                <w:sz w:val="21"/>
                <w:szCs w:val="21"/>
              </w:rPr>
            </w:pPr>
            <w:r>
              <w:rPr>
                <w:rFonts w:eastAsia="楷体" w:cs="Times New Roman"/>
                <w:b/>
                <w:bCs/>
                <w:kern w:val="0"/>
                <w:sz w:val="21"/>
                <w:szCs w:val="21"/>
              </w:rPr>
              <w:t xml:space="preserve">62 </w:t>
            </w:r>
          </w:p>
        </w:tc>
      </w:tr>
      <w:tr w14:paraId="3B0EC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567" w:hRule="atLeast"/>
        </w:trPr>
        <w:tc>
          <w:tcPr>
            <w:tcW w:w="849" w:type="dxa"/>
            <w:shd w:val="clear" w:color="000000" w:fill="E7E6E6"/>
            <w:vAlign w:val="center"/>
          </w:tcPr>
          <w:p w14:paraId="24A14650">
            <w:pPr>
              <w:widowControl/>
              <w:adjustRightInd/>
              <w:snapToGrid/>
              <w:spacing w:line="240" w:lineRule="auto"/>
              <w:ind w:firstLine="0" w:firstLineChars="0"/>
              <w:jc w:val="left"/>
              <w:rPr>
                <w:rFonts w:ascii="楷体" w:hAnsi="楷体" w:eastAsia="楷体" w:cs="Times New Roman"/>
                <w:b/>
                <w:bCs/>
                <w:kern w:val="0"/>
                <w:szCs w:val="21"/>
              </w:rPr>
            </w:pPr>
            <w:r>
              <w:rPr>
                <w:rFonts w:hint="eastAsia" w:ascii="楷体" w:hAnsi="楷体" w:eastAsia="楷体" w:cs="Times New Roman"/>
                <w:b/>
                <w:bCs/>
                <w:kern w:val="0"/>
                <w:szCs w:val="21"/>
              </w:rPr>
              <w:t>二</w:t>
            </w:r>
          </w:p>
        </w:tc>
        <w:tc>
          <w:tcPr>
            <w:tcW w:w="4108" w:type="dxa"/>
            <w:shd w:val="clear" w:color="000000" w:fill="E7E6E6"/>
            <w:vAlign w:val="center"/>
          </w:tcPr>
          <w:p w14:paraId="6A2FB6D9">
            <w:pPr>
              <w:widowControl/>
              <w:adjustRightInd/>
              <w:snapToGrid/>
              <w:spacing w:line="240" w:lineRule="auto"/>
              <w:ind w:firstLine="0" w:firstLineChars="0"/>
              <w:jc w:val="left"/>
              <w:rPr>
                <w:rFonts w:ascii="楷体" w:hAnsi="楷体" w:eastAsia="楷体" w:cs="宋体"/>
                <w:b/>
                <w:bCs/>
                <w:kern w:val="0"/>
                <w:szCs w:val="21"/>
              </w:rPr>
            </w:pPr>
            <w:r>
              <w:rPr>
                <w:rFonts w:hint="eastAsia" w:ascii="楷体" w:hAnsi="楷体" w:eastAsia="楷体" w:cs="宋体"/>
                <w:b/>
                <w:bCs/>
                <w:kern w:val="0"/>
                <w:szCs w:val="21"/>
              </w:rPr>
              <w:t>水资源配置和供水保障工程</w:t>
            </w:r>
          </w:p>
        </w:tc>
        <w:tc>
          <w:tcPr>
            <w:tcW w:w="8788" w:type="dxa"/>
            <w:shd w:val="clear" w:color="000000" w:fill="E7E6E6"/>
            <w:vAlign w:val="center"/>
          </w:tcPr>
          <w:p w14:paraId="3D525BCA">
            <w:pPr>
              <w:widowControl/>
              <w:adjustRightInd/>
              <w:snapToGrid/>
              <w:spacing w:line="240" w:lineRule="auto"/>
              <w:ind w:firstLine="0" w:firstLineChars="0"/>
              <w:jc w:val="left"/>
              <w:rPr>
                <w:rFonts w:ascii="楷体" w:hAnsi="楷体" w:eastAsia="楷体" w:cs="Times New Roman"/>
                <w:b/>
                <w:bCs/>
                <w:kern w:val="0"/>
                <w:szCs w:val="21"/>
              </w:rPr>
            </w:pPr>
          </w:p>
        </w:tc>
        <w:tc>
          <w:tcPr>
            <w:tcW w:w="1276" w:type="dxa"/>
            <w:shd w:val="clear" w:color="000000" w:fill="E7E6E6"/>
            <w:vAlign w:val="center"/>
          </w:tcPr>
          <w:p w14:paraId="642E9103">
            <w:pPr>
              <w:widowControl/>
              <w:adjustRightInd/>
              <w:snapToGrid/>
              <w:spacing w:line="240" w:lineRule="auto"/>
              <w:ind w:firstLine="0" w:firstLineChars="0"/>
              <w:jc w:val="center"/>
              <w:rPr>
                <w:rFonts w:eastAsia="楷体" w:cs="Times New Roman"/>
                <w:b/>
                <w:bCs/>
                <w:kern w:val="0"/>
                <w:szCs w:val="21"/>
              </w:rPr>
            </w:pPr>
          </w:p>
        </w:tc>
        <w:tc>
          <w:tcPr>
            <w:tcW w:w="1134" w:type="dxa"/>
            <w:shd w:val="clear" w:color="000000" w:fill="E7E6E6"/>
            <w:vAlign w:val="center"/>
          </w:tcPr>
          <w:p w14:paraId="77585CDB">
            <w:pPr>
              <w:widowControl/>
              <w:adjustRightInd/>
              <w:snapToGrid/>
              <w:spacing w:line="240" w:lineRule="auto"/>
              <w:ind w:firstLine="0" w:firstLineChars="0"/>
              <w:jc w:val="center"/>
              <w:rPr>
                <w:rFonts w:eastAsia="楷体" w:cs="Times New Roman"/>
                <w:b/>
                <w:bCs/>
                <w:kern w:val="0"/>
                <w:szCs w:val="21"/>
              </w:rPr>
            </w:pPr>
            <w:r>
              <w:rPr>
                <w:rFonts w:eastAsia="楷体" w:cs="Times New Roman"/>
                <w:b/>
                <w:bCs/>
                <w:kern w:val="0"/>
                <w:szCs w:val="21"/>
              </w:rPr>
              <w:t xml:space="preserve">66.27 </w:t>
            </w:r>
          </w:p>
        </w:tc>
        <w:tc>
          <w:tcPr>
            <w:tcW w:w="1417" w:type="dxa"/>
            <w:shd w:val="clear" w:color="000000" w:fill="E7E6E6"/>
            <w:vAlign w:val="center"/>
          </w:tcPr>
          <w:p w14:paraId="5238194B">
            <w:pPr>
              <w:widowControl/>
              <w:adjustRightInd/>
              <w:snapToGrid/>
              <w:spacing w:line="240" w:lineRule="auto"/>
              <w:ind w:firstLine="0" w:firstLineChars="0"/>
              <w:jc w:val="center"/>
              <w:rPr>
                <w:rFonts w:eastAsia="楷体" w:cs="Times New Roman"/>
                <w:b/>
                <w:bCs/>
                <w:kern w:val="0"/>
                <w:szCs w:val="21"/>
              </w:rPr>
            </w:pPr>
            <w:r>
              <w:rPr>
                <w:rFonts w:eastAsia="楷体" w:cs="Times New Roman"/>
                <w:b/>
                <w:bCs/>
                <w:kern w:val="0"/>
                <w:szCs w:val="21"/>
              </w:rPr>
              <w:t xml:space="preserve">7.20 </w:t>
            </w:r>
          </w:p>
        </w:tc>
        <w:tc>
          <w:tcPr>
            <w:tcW w:w="1570" w:type="dxa"/>
            <w:shd w:val="clear" w:color="000000" w:fill="E7E6E6"/>
            <w:vAlign w:val="center"/>
          </w:tcPr>
          <w:p w14:paraId="5BA9D74D">
            <w:pPr>
              <w:widowControl/>
              <w:adjustRightInd/>
              <w:snapToGrid/>
              <w:spacing w:line="240" w:lineRule="auto"/>
              <w:ind w:firstLine="0" w:firstLineChars="0"/>
              <w:jc w:val="center"/>
              <w:rPr>
                <w:rFonts w:eastAsia="楷体" w:cs="Times New Roman"/>
                <w:b/>
                <w:bCs/>
                <w:kern w:val="0"/>
                <w:szCs w:val="21"/>
              </w:rPr>
            </w:pPr>
            <w:r>
              <w:rPr>
                <w:rFonts w:eastAsia="楷体" w:cs="Times New Roman"/>
                <w:b/>
                <w:bCs/>
                <w:kern w:val="0"/>
                <w:szCs w:val="21"/>
              </w:rPr>
              <w:t xml:space="preserve">27.30 </w:t>
            </w:r>
          </w:p>
        </w:tc>
        <w:tc>
          <w:tcPr>
            <w:tcW w:w="1276" w:type="dxa"/>
            <w:shd w:val="clear" w:color="000000" w:fill="E7E6E6"/>
            <w:vAlign w:val="center"/>
          </w:tcPr>
          <w:p w14:paraId="4ECC0B75">
            <w:pPr>
              <w:widowControl/>
              <w:adjustRightInd/>
              <w:snapToGrid/>
              <w:spacing w:line="240" w:lineRule="auto"/>
              <w:ind w:firstLine="0" w:firstLineChars="0"/>
              <w:jc w:val="center"/>
              <w:rPr>
                <w:rFonts w:eastAsia="楷体" w:cs="Times New Roman"/>
                <w:b/>
                <w:bCs/>
                <w:kern w:val="0"/>
                <w:szCs w:val="21"/>
              </w:rPr>
            </w:pPr>
            <w:r>
              <w:rPr>
                <w:rFonts w:eastAsia="楷体" w:cs="Times New Roman"/>
                <w:b/>
                <w:bCs/>
                <w:kern w:val="0"/>
                <w:szCs w:val="21"/>
              </w:rPr>
              <w:t xml:space="preserve">31.77 </w:t>
            </w:r>
          </w:p>
        </w:tc>
        <w:tc>
          <w:tcPr>
            <w:tcW w:w="939" w:type="dxa"/>
            <w:shd w:val="clear" w:color="000000" w:fill="E7E6E6"/>
            <w:vAlign w:val="center"/>
          </w:tcPr>
          <w:p w14:paraId="14E9BFD7">
            <w:pPr>
              <w:widowControl/>
              <w:adjustRightInd/>
              <w:snapToGrid/>
              <w:spacing w:line="240" w:lineRule="auto"/>
              <w:ind w:firstLine="0" w:firstLineChars="0"/>
              <w:jc w:val="center"/>
              <w:rPr>
                <w:rFonts w:eastAsia="楷体" w:cs="Times New Roman"/>
                <w:b/>
                <w:bCs/>
                <w:kern w:val="0"/>
                <w:szCs w:val="21"/>
              </w:rPr>
            </w:pPr>
            <w:r>
              <w:rPr>
                <w:rFonts w:eastAsia="楷体" w:cs="Times New Roman"/>
                <w:b/>
                <w:bCs/>
                <w:kern w:val="0"/>
                <w:szCs w:val="21"/>
              </w:rPr>
              <w:t xml:space="preserve">420 </w:t>
            </w:r>
          </w:p>
        </w:tc>
      </w:tr>
      <w:tr w14:paraId="2C0D9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567" w:hRule="atLeast"/>
        </w:trPr>
        <w:tc>
          <w:tcPr>
            <w:tcW w:w="849" w:type="dxa"/>
            <w:shd w:val="clear" w:color="auto" w:fill="auto"/>
            <w:noWrap/>
            <w:vAlign w:val="center"/>
          </w:tcPr>
          <w:p w14:paraId="245974BC">
            <w:pPr>
              <w:widowControl/>
              <w:adjustRightInd/>
              <w:snapToGrid/>
              <w:spacing w:line="240" w:lineRule="auto"/>
              <w:ind w:firstLine="0" w:firstLineChars="0"/>
              <w:jc w:val="left"/>
              <w:rPr>
                <w:rFonts w:ascii="楷体" w:hAnsi="楷体" w:eastAsia="楷体" w:cs="Times New Roman"/>
                <w:b/>
                <w:bCs/>
                <w:kern w:val="0"/>
                <w:sz w:val="21"/>
                <w:szCs w:val="21"/>
              </w:rPr>
            </w:pPr>
            <w:r>
              <w:rPr>
                <w:rFonts w:hint="eastAsia" w:ascii="楷体" w:hAnsi="楷体" w:eastAsia="楷体" w:cs="Times New Roman"/>
                <w:b/>
                <w:bCs/>
                <w:kern w:val="0"/>
                <w:sz w:val="21"/>
                <w:szCs w:val="21"/>
              </w:rPr>
              <w:t>（一）</w:t>
            </w:r>
          </w:p>
        </w:tc>
        <w:tc>
          <w:tcPr>
            <w:tcW w:w="4108" w:type="dxa"/>
            <w:shd w:val="clear" w:color="auto" w:fill="auto"/>
            <w:noWrap/>
            <w:vAlign w:val="center"/>
          </w:tcPr>
          <w:p w14:paraId="7964C16A">
            <w:pPr>
              <w:widowControl/>
              <w:adjustRightInd/>
              <w:snapToGrid/>
              <w:spacing w:line="240" w:lineRule="auto"/>
              <w:ind w:firstLine="0" w:firstLineChars="0"/>
              <w:jc w:val="left"/>
              <w:rPr>
                <w:rFonts w:ascii="楷体" w:hAnsi="楷体" w:eastAsia="楷体" w:cs="宋体"/>
                <w:b/>
                <w:bCs/>
                <w:kern w:val="0"/>
                <w:sz w:val="21"/>
                <w:szCs w:val="21"/>
              </w:rPr>
            </w:pPr>
            <w:r>
              <w:rPr>
                <w:rFonts w:hint="eastAsia" w:ascii="楷体" w:hAnsi="楷体" w:eastAsia="楷体" w:cs="宋体"/>
                <w:b/>
                <w:bCs/>
                <w:kern w:val="0"/>
                <w:sz w:val="21"/>
                <w:szCs w:val="21"/>
              </w:rPr>
              <w:t>水资源配置工程</w:t>
            </w:r>
          </w:p>
        </w:tc>
        <w:tc>
          <w:tcPr>
            <w:tcW w:w="8788" w:type="dxa"/>
            <w:shd w:val="clear" w:color="auto" w:fill="auto"/>
            <w:noWrap/>
            <w:vAlign w:val="center"/>
          </w:tcPr>
          <w:p w14:paraId="09334BE2">
            <w:pPr>
              <w:widowControl/>
              <w:adjustRightInd/>
              <w:snapToGrid/>
              <w:spacing w:line="240" w:lineRule="auto"/>
              <w:ind w:firstLine="0" w:firstLineChars="0"/>
              <w:jc w:val="left"/>
              <w:rPr>
                <w:rFonts w:ascii="楷体" w:hAnsi="楷体" w:eastAsia="楷体" w:cs="Times New Roman"/>
                <w:b/>
                <w:bCs/>
                <w:kern w:val="0"/>
                <w:sz w:val="21"/>
                <w:szCs w:val="21"/>
              </w:rPr>
            </w:pPr>
          </w:p>
        </w:tc>
        <w:tc>
          <w:tcPr>
            <w:tcW w:w="1276" w:type="dxa"/>
            <w:shd w:val="clear" w:color="auto" w:fill="auto"/>
            <w:noWrap/>
            <w:vAlign w:val="center"/>
          </w:tcPr>
          <w:p w14:paraId="7627ED35">
            <w:pPr>
              <w:widowControl/>
              <w:adjustRightInd/>
              <w:snapToGrid/>
              <w:spacing w:line="240" w:lineRule="auto"/>
              <w:ind w:firstLine="0" w:firstLineChars="0"/>
              <w:jc w:val="left"/>
              <w:rPr>
                <w:rFonts w:eastAsia="楷体" w:cs="Times New Roman"/>
                <w:b/>
                <w:bCs/>
                <w:kern w:val="0"/>
                <w:sz w:val="21"/>
                <w:szCs w:val="21"/>
              </w:rPr>
            </w:pPr>
          </w:p>
        </w:tc>
        <w:tc>
          <w:tcPr>
            <w:tcW w:w="1134" w:type="dxa"/>
            <w:shd w:val="clear" w:color="auto" w:fill="auto"/>
            <w:noWrap/>
            <w:vAlign w:val="center"/>
          </w:tcPr>
          <w:p w14:paraId="74FB7A72">
            <w:pPr>
              <w:widowControl/>
              <w:adjustRightInd/>
              <w:snapToGrid/>
              <w:spacing w:line="240" w:lineRule="auto"/>
              <w:ind w:firstLine="0" w:firstLineChars="0"/>
              <w:jc w:val="center"/>
              <w:rPr>
                <w:rFonts w:eastAsia="楷体" w:cs="Times New Roman"/>
                <w:b/>
                <w:bCs/>
                <w:kern w:val="0"/>
                <w:sz w:val="21"/>
                <w:szCs w:val="21"/>
              </w:rPr>
            </w:pPr>
            <w:r>
              <w:rPr>
                <w:rFonts w:eastAsia="楷体" w:cs="Times New Roman"/>
                <w:b/>
                <w:bCs/>
                <w:kern w:val="0"/>
                <w:sz w:val="21"/>
                <w:szCs w:val="21"/>
              </w:rPr>
              <w:t xml:space="preserve">19.50 </w:t>
            </w:r>
          </w:p>
        </w:tc>
        <w:tc>
          <w:tcPr>
            <w:tcW w:w="1417" w:type="dxa"/>
            <w:shd w:val="clear" w:color="auto" w:fill="auto"/>
            <w:noWrap/>
            <w:vAlign w:val="center"/>
          </w:tcPr>
          <w:p w14:paraId="455C89FC">
            <w:pPr>
              <w:widowControl/>
              <w:adjustRightInd/>
              <w:snapToGrid/>
              <w:spacing w:line="240" w:lineRule="auto"/>
              <w:ind w:firstLine="0" w:firstLineChars="0"/>
              <w:jc w:val="center"/>
              <w:rPr>
                <w:rFonts w:eastAsia="楷体" w:cs="Times New Roman"/>
                <w:b/>
                <w:bCs/>
                <w:kern w:val="0"/>
                <w:sz w:val="21"/>
                <w:szCs w:val="21"/>
              </w:rPr>
            </w:pPr>
            <w:r>
              <w:rPr>
                <w:rFonts w:eastAsia="楷体" w:cs="Times New Roman"/>
                <w:b/>
                <w:bCs/>
                <w:kern w:val="0"/>
                <w:sz w:val="21"/>
                <w:szCs w:val="21"/>
              </w:rPr>
              <w:t xml:space="preserve">1.00 </w:t>
            </w:r>
          </w:p>
        </w:tc>
        <w:tc>
          <w:tcPr>
            <w:tcW w:w="1570" w:type="dxa"/>
            <w:shd w:val="clear" w:color="auto" w:fill="auto"/>
            <w:noWrap/>
            <w:vAlign w:val="center"/>
          </w:tcPr>
          <w:p w14:paraId="665744EA">
            <w:pPr>
              <w:widowControl/>
              <w:adjustRightInd/>
              <w:snapToGrid/>
              <w:spacing w:line="240" w:lineRule="auto"/>
              <w:ind w:firstLine="0" w:firstLineChars="0"/>
              <w:jc w:val="center"/>
              <w:rPr>
                <w:rFonts w:eastAsia="楷体" w:cs="Times New Roman"/>
                <w:b/>
                <w:bCs/>
                <w:kern w:val="0"/>
                <w:sz w:val="21"/>
                <w:szCs w:val="21"/>
              </w:rPr>
            </w:pPr>
            <w:r>
              <w:rPr>
                <w:rFonts w:eastAsia="楷体" w:cs="Times New Roman"/>
                <w:b/>
                <w:bCs/>
                <w:kern w:val="0"/>
                <w:sz w:val="21"/>
                <w:szCs w:val="21"/>
              </w:rPr>
              <w:t xml:space="preserve">10.40 </w:t>
            </w:r>
          </w:p>
        </w:tc>
        <w:tc>
          <w:tcPr>
            <w:tcW w:w="1276" w:type="dxa"/>
            <w:shd w:val="clear" w:color="auto" w:fill="auto"/>
            <w:noWrap/>
            <w:vAlign w:val="center"/>
          </w:tcPr>
          <w:p w14:paraId="45517263">
            <w:pPr>
              <w:widowControl/>
              <w:adjustRightInd/>
              <w:snapToGrid/>
              <w:spacing w:line="240" w:lineRule="auto"/>
              <w:ind w:firstLine="0" w:firstLineChars="0"/>
              <w:jc w:val="center"/>
              <w:rPr>
                <w:rFonts w:eastAsia="楷体" w:cs="Times New Roman"/>
                <w:b/>
                <w:bCs/>
                <w:kern w:val="0"/>
                <w:sz w:val="21"/>
                <w:szCs w:val="21"/>
              </w:rPr>
            </w:pPr>
            <w:r>
              <w:rPr>
                <w:rFonts w:eastAsia="楷体" w:cs="Times New Roman"/>
                <w:b/>
                <w:bCs/>
                <w:kern w:val="0"/>
                <w:sz w:val="21"/>
                <w:szCs w:val="21"/>
              </w:rPr>
              <w:t xml:space="preserve">8.10 </w:t>
            </w:r>
          </w:p>
        </w:tc>
        <w:tc>
          <w:tcPr>
            <w:tcW w:w="939" w:type="dxa"/>
            <w:shd w:val="clear" w:color="auto" w:fill="auto"/>
            <w:noWrap/>
            <w:vAlign w:val="center"/>
          </w:tcPr>
          <w:p w14:paraId="48EC8217">
            <w:pPr>
              <w:widowControl/>
              <w:adjustRightInd/>
              <w:snapToGrid/>
              <w:spacing w:line="240" w:lineRule="auto"/>
              <w:ind w:firstLine="0" w:firstLineChars="0"/>
              <w:jc w:val="center"/>
              <w:rPr>
                <w:rFonts w:eastAsia="楷体" w:cs="Times New Roman"/>
                <w:b/>
                <w:bCs/>
                <w:kern w:val="0"/>
                <w:sz w:val="21"/>
                <w:szCs w:val="21"/>
              </w:rPr>
            </w:pPr>
            <w:r>
              <w:rPr>
                <w:rFonts w:eastAsia="楷体" w:cs="Times New Roman"/>
                <w:b/>
                <w:bCs/>
                <w:kern w:val="0"/>
                <w:sz w:val="21"/>
                <w:szCs w:val="21"/>
              </w:rPr>
              <w:t>410</w:t>
            </w:r>
          </w:p>
        </w:tc>
      </w:tr>
      <w:tr w14:paraId="36C40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567" w:hRule="atLeast"/>
        </w:trPr>
        <w:tc>
          <w:tcPr>
            <w:tcW w:w="849" w:type="dxa"/>
            <w:shd w:val="clear" w:color="auto" w:fill="auto"/>
            <w:vAlign w:val="center"/>
          </w:tcPr>
          <w:p w14:paraId="5B3DF2CE">
            <w:pPr>
              <w:widowControl/>
              <w:adjustRightInd/>
              <w:snapToGrid/>
              <w:spacing w:line="240" w:lineRule="auto"/>
              <w:ind w:firstLine="0" w:firstLineChars="0"/>
              <w:jc w:val="left"/>
              <w:rPr>
                <w:rFonts w:ascii="楷体" w:hAnsi="楷体" w:eastAsia="楷体" w:cs="宋体"/>
                <w:kern w:val="0"/>
                <w:sz w:val="21"/>
                <w:szCs w:val="21"/>
              </w:rPr>
            </w:pPr>
            <w:r>
              <w:rPr>
                <w:rFonts w:hint="eastAsia" w:ascii="楷体" w:hAnsi="楷体" w:eastAsia="楷体" w:cs="宋体"/>
                <w:kern w:val="0"/>
                <w:sz w:val="21"/>
                <w:szCs w:val="21"/>
              </w:rPr>
              <w:t>（1）</w:t>
            </w:r>
          </w:p>
        </w:tc>
        <w:tc>
          <w:tcPr>
            <w:tcW w:w="4108" w:type="dxa"/>
            <w:shd w:val="clear" w:color="auto" w:fill="auto"/>
            <w:vAlign w:val="center"/>
          </w:tcPr>
          <w:p w14:paraId="59D26328">
            <w:pPr>
              <w:widowControl/>
              <w:adjustRightInd/>
              <w:snapToGrid/>
              <w:spacing w:line="240" w:lineRule="auto"/>
              <w:ind w:firstLine="0" w:firstLineChars="0"/>
              <w:jc w:val="left"/>
              <w:rPr>
                <w:rFonts w:ascii="楷体" w:hAnsi="楷体" w:eastAsia="楷体" w:cs="宋体"/>
                <w:kern w:val="0"/>
                <w:sz w:val="21"/>
                <w:szCs w:val="21"/>
              </w:rPr>
            </w:pPr>
            <w:r>
              <w:rPr>
                <w:rFonts w:hint="eastAsia" w:ascii="楷体" w:hAnsi="楷体" w:eastAsia="楷体" w:cs="宋体"/>
                <w:kern w:val="0"/>
                <w:sz w:val="21"/>
                <w:szCs w:val="21"/>
              </w:rPr>
              <w:t>江水东引完善工程</w:t>
            </w:r>
          </w:p>
        </w:tc>
        <w:tc>
          <w:tcPr>
            <w:tcW w:w="8788" w:type="dxa"/>
            <w:shd w:val="clear" w:color="auto" w:fill="auto"/>
            <w:vAlign w:val="center"/>
          </w:tcPr>
          <w:p w14:paraId="6A105528">
            <w:pPr>
              <w:widowControl/>
              <w:adjustRightInd/>
              <w:snapToGrid/>
              <w:spacing w:line="240" w:lineRule="auto"/>
              <w:ind w:firstLine="0" w:firstLineChars="0"/>
              <w:jc w:val="left"/>
              <w:rPr>
                <w:rFonts w:ascii="楷体" w:hAnsi="楷体" w:eastAsia="楷体" w:cs="Times New Roman"/>
                <w:kern w:val="0"/>
                <w:sz w:val="21"/>
                <w:szCs w:val="21"/>
              </w:rPr>
            </w:pPr>
            <w:r>
              <w:rPr>
                <w:rFonts w:ascii="楷体" w:hAnsi="楷体" w:eastAsia="楷体" w:cs="Times New Roman"/>
                <w:kern w:val="0"/>
                <w:sz w:val="21"/>
                <w:szCs w:val="21"/>
              </w:rPr>
              <w:t>依托省内江水东引“两河引水、三线输水”的供水布局，整治新通扬运河、卤汀河、上官河骨干输水河道，整治俞西河、西塘港、盐靖河输水支线。整治新通扬运河4.6km，包括疏浚河道4.6km、新建护岸4.6km、建筑物4座；整治卤汀河长27.6km（海陵区11.3km、姜堰区4.1km、兴化市12.2km），包括加固堤防15.62km、疏浚河道27.6km、新建或加固护岸29.73km、建筑物7座；整治上官河长21.9km，包括加固堤防9.52km、疏浚河道10.6km、新建护岸19.04km、防汛道路2.38km，建筑物40座；整治西塘港长56.73km，包括加固堤防22.69km、疏浚河道55.4km、新建护岸45.38km、建筑物95座；整治盐靖河长58.48km（姜堰区4.38km、兴化市54.1km），包括加固堤防24.72km、疏浚河道58.48km、新建护岸36.44km、建筑物122座。</w:t>
            </w:r>
          </w:p>
        </w:tc>
        <w:tc>
          <w:tcPr>
            <w:tcW w:w="1276" w:type="dxa"/>
            <w:shd w:val="clear" w:color="auto" w:fill="auto"/>
            <w:vAlign w:val="center"/>
          </w:tcPr>
          <w:p w14:paraId="746405A9">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2025-2035</w:t>
            </w:r>
          </w:p>
        </w:tc>
        <w:tc>
          <w:tcPr>
            <w:tcW w:w="1134" w:type="dxa"/>
            <w:shd w:val="clear" w:color="auto" w:fill="auto"/>
            <w:noWrap/>
            <w:vAlign w:val="center"/>
          </w:tcPr>
          <w:p w14:paraId="45C04EB4">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 xml:space="preserve">19.50 </w:t>
            </w:r>
          </w:p>
        </w:tc>
        <w:tc>
          <w:tcPr>
            <w:tcW w:w="1417" w:type="dxa"/>
            <w:shd w:val="clear" w:color="auto" w:fill="auto"/>
            <w:noWrap/>
            <w:vAlign w:val="center"/>
          </w:tcPr>
          <w:p w14:paraId="2454D69A">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 xml:space="preserve">1.00 </w:t>
            </w:r>
          </w:p>
        </w:tc>
        <w:tc>
          <w:tcPr>
            <w:tcW w:w="1570" w:type="dxa"/>
            <w:shd w:val="clear" w:color="auto" w:fill="auto"/>
            <w:noWrap/>
            <w:vAlign w:val="center"/>
          </w:tcPr>
          <w:p w14:paraId="3652C55D">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 xml:space="preserve">10.40 </w:t>
            </w:r>
          </w:p>
        </w:tc>
        <w:tc>
          <w:tcPr>
            <w:tcW w:w="1276" w:type="dxa"/>
            <w:shd w:val="clear" w:color="auto" w:fill="auto"/>
            <w:noWrap/>
            <w:vAlign w:val="center"/>
          </w:tcPr>
          <w:p w14:paraId="4ACB469F">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 xml:space="preserve">8.10 </w:t>
            </w:r>
          </w:p>
        </w:tc>
        <w:tc>
          <w:tcPr>
            <w:tcW w:w="939" w:type="dxa"/>
            <w:shd w:val="clear" w:color="auto" w:fill="auto"/>
            <w:noWrap/>
            <w:vAlign w:val="center"/>
          </w:tcPr>
          <w:p w14:paraId="0D85E37F">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 xml:space="preserve">410 </w:t>
            </w:r>
          </w:p>
        </w:tc>
      </w:tr>
      <w:tr w14:paraId="40BCF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567" w:hRule="atLeast"/>
        </w:trPr>
        <w:tc>
          <w:tcPr>
            <w:tcW w:w="849" w:type="dxa"/>
            <w:shd w:val="clear" w:color="auto" w:fill="auto"/>
            <w:vAlign w:val="center"/>
          </w:tcPr>
          <w:p w14:paraId="0C39B46F">
            <w:pPr>
              <w:widowControl/>
              <w:adjustRightInd/>
              <w:snapToGrid/>
              <w:spacing w:line="240" w:lineRule="auto"/>
              <w:ind w:firstLine="0" w:firstLineChars="0"/>
              <w:jc w:val="left"/>
              <w:rPr>
                <w:rFonts w:ascii="楷体" w:hAnsi="楷体" w:eastAsia="楷体" w:cs="Times New Roman"/>
                <w:b/>
                <w:bCs/>
                <w:kern w:val="0"/>
                <w:sz w:val="21"/>
                <w:szCs w:val="21"/>
              </w:rPr>
            </w:pPr>
            <w:r>
              <w:rPr>
                <w:rFonts w:hint="eastAsia" w:ascii="楷体" w:hAnsi="楷体" w:eastAsia="楷体" w:cs="Times New Roman"/>
                <w:b/>
                <w:bCs/>
                <w:kern w:val="0"/>
                <w:sz w:val="21"/>
                <w:szCs w:val="21"/>
              </w:rPr>
              <w:t>（二）</w:t>
            </w:r>
          </w:p>
        </w:tc>
        <w:tc>
          <w:tcPr>
            <w:tcW w:w="4108" w:type="dxa"/>
            <w:shd w:val="clear" w:color="auto" w:fill="auto"/>
            <w:noWrap/>
            <w:vAlign w:val="center"/>
          </w:tcPr>
          <w:p w14:paraId="22060676">
            <w:pPr>
              <w:widowControl/>
              <w:adjustRightInd/>
              <w:snapToGrid/>
              <w:spacing w:line="240" w:lineRule="auto"/>
              <w:ind w:firstLine="0" w:firstLineChars="0"/>
              <w:jc w:val="left"/>
              <w:rPr>
                <w:rFonts w:ascii="楷体" w:hAnsi="楷体" w:eastAsia="楷体" w:cs="宋体"/>
                <w:b/>
                <w:bCs/>
                <w:kern w:val="0"/>
                <w:sz w:val="21"/>
                <w:szCs w:val="21"/>
              </w:rPr>
            </w:pPr>
            <w:r>
              <w:rPr>
                <w:rFonts w:hint="eastAsia" w:ascii="楷体" w:hAnsi="楷体" w:eastAsia="楷体" w:cs="宋体"/>
                <w:b/>
                <w:bCs/>
                <w:kern w:val="0"/>
                <w:sz w:val="21"/>
                <w:szCs w:val="21"/>
              </w:rPr>
              <w:t>城乡供水提升工程</w:t>
            </w:r>
          </w:p>
        </w:tc>
        <w:tc>
          <w:tcPr>
            <w:tcW w:w="8788" w:type="dxa"/>
            <w:shd w:val="clear" w:color="auto" w:fill="auto"/>
            <w:vAlign w:val="center"/>
          </w:tcPr>
          <w:p w14:paraId="063456C0">
            <w:pPr>
              <w:widowControl/>
              <w:adjustRightInd/>
              <w:snapToGrid/>
              <w:spacing w:line="240" w:lineRule="auto"/>
              <w:ind w:firstLine="0" w:firstLineChars="0"/>
              <w:jc w:val="left"/>
              <w:rPr>
                <w:rFonts w:ascii="楷体" w:hAnsi="楷体" w:eastAsia="楷体" w:cs="Times New Roman"/>
                <w:kern w:val="0"/>
                <w:sz w:val="21"/>
                <w:szCs w:val="21"/>
              </w:rPr>
            </w:pPr>
            <w:r>
              <w:rPr>
                <w:rFonts w:ascii="楷体" w:hAnsi="楷体" w:eastAsia="楷体" w:cs="Times New Roman"/>
                <w:kern w:val="0"/>
                <w:sz w:val="21"/>
                <w:szCs w:val="21"/>
              </w:rPr>
              <w:t>建设输水管线共64.76km，实施智慧供水系统。河失第二增压站、农产品加工园区增压站、黄桥第二增压站。</w:t>
            </w:r>
          </w:p>
        </w:tc>
        <w:tc>
          <w:tcPr>
            <w:tcW w:w="1276" w:type="dxa"/>
            <w:shd w:val="clear" w:color="auto" w:fill="auto"/>
            <w:noWrap/>
            <w:vAlign w:val="center"/>
          </w:tcPr>
          <w:p w14:paraId="08F6C104">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2023~2025</w:t>
            </w:r>
          </w:p>
        </w:tc>
        <w:tc>
          <w:tcPr>
            <w:tcW w:w="1134" w:type="dxa"/>
            <w:shd w:val="clear" w:color="auto" w:fill="auto"/>
            <w:noWrap/>
            <w:vAlign w:val="center"/>
          </w:tcPr>
          <w:p w14:paraId="002D0B5C">
            <w:pPr>
              <w:widowControl/>
              <w:adjustRightInd/>
              <w:snapToGrid/>
              <w:spacing w:line="240" w:lineRule="auto"/>
              <w:ind w:firstLine="0" w:firstLineChars="0"/>
              <w:jc w:val="center"/>
              <w:rPr>
                <w:rFonts w:eastAsia="楷体" w:cs="Times New Roman"/>
                <w:b/>
                <w:bCs/>
                <w:kern w:val="0"/>
                <w:sz w:val="21"/>
                <w:szCs w:val="21"/>
              </w:rPr>
            </w:pPr>
            <w:r>
              <w:rPr>
                <w:rFonts w:eastAsia="楷体" w:cs="Times New Roman"/>
                <w:b/>
                <w:bCs/>
                <w:kern w:val="0"/>
                <w:sz w:val="21"/>
                <w:szCs w:val="21"/>
              </w:rPr>
              <w:t xml:space="preserve">3.66 </w:t>
            </w:r>
          </w:p>
        </w:tc>
        <w:tc>
          <w:tcPr>
            <w:tcW w:w="1417" w:type="dxa"/>
            <w:shd w:val="clear" w:color="auto" w:fill="auto"/>
            <w:noWrap/>
            <w:vAlign w:val="center"/>
          </w:tcPr>
          <w:p w14:paraId="2EFA7283">
            <w:pPr>
              <w:widowControl/>
              <w:adjustRightInd/>
              <w:snapToGrid/>
              <w:spacing w:line="240" w:lineRule="auto"/>
              <w:ind w:firstLine="0" w:firstLineChars="0"/>
              <w:jc w:val="center"/>
              <w:rPr>
                <w:rFonts w:eastAsia="楷体" w:cs="Times New Roman"/>
                <w:b/>
                <w:bCs/>
                <w:kern w:val="0"/>
                <w:sz w:val="21"/>
                <w:szCs w:val="21"/>
              </w:rPr>
            </w:pPr>
            <w:r>
              <w:rPr>
                <w:rFonts w:eastAsia="楷体" w:cs="Times New Roman"/>
                <w:b/>
                <w:bCs/>
                <w:kern w:val="0"/>
                <w:sz w:val="21"/>
                <w:szCs w:val="21"/>
              </w:rPr>
              <w:t xml:space="preserve">1.00 </w:t>
            </w:r>
          </w:p>
        </w:tc>
        <w:tc>
          <w:tcPr>
            <w:tcW w:w="1570" w:type="dxa"/>
            <w:shd w:val="clear" w:color="auto" w:fill="auto"/>
            <w:noWrap/>
            <w:vAlign w:val="center"/>
          </w:tcPr>
          <w:p w14:paraId="59760384">
            <w:pPr>
              <w:widowControl/>
              <w:adjustRightInd/>
              <w:snapToGrid/>
              <w:spacing w:line="240" w:lineRule="auto"/>
              <w:ind w:firstLine="0" w:firstLineChars="0"/>
              <w:jc w:val="center"/>
              <w:rPr>
                <w:rFonts w:eastAsia="楷体" w:cs="Times New Roman"/>
                <w:b/>
                <w:bCs/>
                <w:kern w:val="0"/>
                <w:sz w:val="21"/>
                <w:szCs w:val="21"/>
              </w:rPr>
            </w:pPr>
            <w:r>
              <w:rPr>
                <w:rFonts w:eastAsia="楷体" w:cs="Times New Roman"/>
                <w:b/>
                <w:bCs/>
                <w:kern w:val="0"/>
                <w:sz w:val="21"/>
                <w:szCs w:val="21"/>
              </w:rPr>
              <w:t xml:space="preserve">1.00 </w:t>
            </w:r>
          </w:p>
        </w:tc>
        <w:tc>
          <w:tcPr>
            <w:tcW w:w="1276" w:type="dxa"/>
            <w:shd w:val="clear" w:color="auto" w:fill="auto"/>
            <w:noWrap/>
            <w:vAlign w:val="center"/>
          </w:tcPr>
          <w:p w14:paraId="48B7050A">
            <w:pPr>
              <w:widowControl/>
              <w:adjustRightInd/>
              <w:snapToGrid/>
              <w:spacing w:line="240" w:lineRule="auto"/>
              <w:ind w:firstLine="0" w:firstLineChars="0"/>
              <w:jc w:val="center"/>
              <w:rPr>
                <w:rFonts w:eastAsia="楷体" w:cs="Times New Roman"/>
                <w:b/>
                <w:bCs/>
                <w:kern w:val="0"/>
                <w:sz w:val="21"/>
                <w:szCs w:val="21"/>
              </w:rPr>
            </w:pPr>
            <w:r>
              <w:rPr>
                <w:rFonts w:eastAsia="楷体" w:cs="Times New Roman"/>
                <w:b/>
                <w:bCs/>
                <w:kern w:val="0"/>
                <w:sz w:val="21"/>
                <w:szCs w:val="21"/>
              </w:rPr>
              <w:t xml:space="preserve">1.66 </w:t>
            </w:r>
          </w:p>
        </w:tc>
        <w:tc>
          <w:tcPr>
            <w:tcW w:w="939" w:type="dxa"/>
            <w:shd w:val="clear" w:color="auto" w:fill="auto"/>
            <w:noWrap/>
            <w:vAlign w:val="center"/>
          </w:tcPr>
          <w:p w14:paraId="700A6E6F">
            <w:pPr>
              <w:widowControl/>
              <w:adjustRightInd/>
              <w:snapToGrid/>
              <w:spacing w:line="240" w:lineRule="auto"/>
              <w:ind w:firstLine="0" w:firstLineChars="0"/>
              <w:jc w:val="center"/>
              <w:rPr>
                <w:rFonts w:eastAsia="楷体" w:cs="Times New Roman"/>
                <w:b/>
                <w:bCs/>
                <w:kern w:val="0"/>
                <w:sz w:val="21"/>
                <w:szCs w:val="21"/>
              </w:rPr>
            </w:pPr>
            <w:r>
              <w:rPr>
                <w:rFonts w:eastAsia="楷体" w:cs="Times New Roman"/>
                <w:b/>
                <w:bCs/>
                <w:kern w:val="0"/>
                <w:sz w:val="21"/>
                <w:szCs w:val="21"/>
              </w:rPr>
              <w:t xml:space="preserve">10 </w:t>
            </w:r>
          </w:p>
        </w:tc>
      </w:tr>
      <w:tr w14:paraId="0BEC0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567" w:hRule="atLeast"/>
        </w:trPr>
        <w:tc>
          <w:tcPr>
            <w:tcW w:w="849" w:type="dxa"/>
            <w:shd w:val="clear" w:color="auto" w:fill="auto"/>
            <w:vAlign w:val="center"/>
          </w:tcPr>
          <w:p w14:paraId="05082CC5">
            <w:pPr>
              <w:widowControl/>
              <w:adjustRightInd/>
              <w:snapToGrid/>
              <w:spacing w:line="240" w:lineRule="auto"/>
              <w:ind w:firstLine="0" w:firstLineChars="0"/>
              <w:jc w:val="left"/>
              <w:rPr>
                <w:rFonts w:ascii="楷体" w:hAnsi="楷体" w:eastAsia="楷体" w:cs="Times New Roman"/>
                <w:b/>
                <w:bCs/>
                <w:kern w:val="0"/>
                <w:sz w:val="21"/>
                <w:szCs w:val="21"/>
              </w:rPr>
            </w:pPr>
            <w:r>
              <w:rPr>
                <w:rFonts w:hint="eastAsia" w:ascii="楷体" w:hAnsi="楷体" w:eastAsia="楷体" w:cs="Times New Roman"/>
                <w:b/>
                <w:bCs/>
                <w:kern w:val="0"/>
                <w:sz w:val="21"/>
                <w:szCs w:val="21"/>
              </w:rPr>
              <w:t>（三）</w:t>
            </w:r>
          </w:p>
        </w:tc>
        <w:tc>
          <w:tcPr>
            <w:tcW w:w="4108" w:type="dxa"/>
            <w:shd w:val="clear" w:color="auto" w:fill="auto"/>
            <w:noWrap/>
            <w:vAlign w:val="center"/>
          </w:tcPr>
          <w:p w14:paraId="456C8DE4">
            <w:pPr>
              <w:widowControl/>
              <w:adjustRightInd/>
              <w:snapToGrid/>
              <w:spacing w:line="240" w:lineRule="auto"/>
              <w:ind w:firstLine="0" w:firstLineChars="0"/>
              <w:jc w:val="left"/>
              <w:rPr>
                <w:rFonts w:ascii="楷体" w:hAnsi="楷体" w:eastAsia="楷体" w:cs="宋体"/>
                <w:b/>
                <w:bCs/>
                <w:kern w:val="0"/>
                <w:sz w:val="21"/>
                <w:szCs w:val="21"/>
              </w:rPr>
            </w:pPr>
            <w:r>
              <w:rPr>
                <w:rFonts w:hint="eastAsia" w:ascii="楷体" w:hAnsi="楷体" w:eastAsia="楷体" w:cs="宋体"/>
                <w:b/>
                <w:bCs/>
                <w:kern w:val="0"/>
                <w:sz w:val="21"/>
                <w:szCs w:val="21"/>
              </w:rPr>
              <w:t>灌区续建配套与节水改造</w:t>
            </w:r>
          </w:p>
        </w:tc>
        <w:tc>
          <w:tcPr>
            <w:tcW w:w="8788" w:type="dxa"/>
            <w:shd w:val="clear" w:color="auto" w:fill="auto"/>
            <w:vAlign w:val="center"/>
          </w:tcPr>
          <w:p w14:paraId="581951B5">
            <w:pPr>
              <w:widowControl/>
              <w:adjustRightInd/>
              <w:snapToGrid/>
              <w:spacing w:line="240" w:lineRule="auto"/>
              <w:ind w:firstLine="0" w:firstLineChars="0"/>
              <w:jc w:val="left"/>
              <w:rPr>
                <w:rFonts w:ascii="楷体" w:hAnsi="楷体" w:eastAsia="楷体" w:cs="Times New Roman"/>
                <w:kern w:val="0"/>
                <w:sz w:val="21"/>
                <w:szCs w:val="21"/>
              </w:rPr>
            </w:pPr>
          </w:p>
        </w:tc>
        <w:tc>
          <w:tcPr>
            <w:tcW w:w="1276" w:type="dxa"/>
            <w:shd w:val="clear" w:color="auto" w:fill="auto"/>
            <w:noWrap/>
            <w:vAlign w:val="center"/>
          </w:tcPr>
          <w:p w14:paraId="47D4E279">
            <w:pPr>
              <w:widowControl/>
              <w:adjustRightInd/>
              <w:snapToGrid/>
              <w:spacing w:line="240" w:lineRule="auto"/>
              <w:ind w:firstLine="0" w:firstLineChars="0"/>
              <w:jc w:val="center"/>
              <w:rPr>
                <w:rFonts w:eastAsia="楷体" w:cs="Times New Roman"/>
                <w:kern w:val="0"/>
                <w:sz w:val="21"/>
                <w:szCs w:val="21"/>
              </w:rPr>
            </w:pPr>
          </w:p>
        </w:tc>
        <w:tc>
          <w:tcPr>
            <w:tcW w:w="1134" w:type="dxa"/>
            <w:shd w:val="clear" w:color="auto" w:fill="auto"/>
            <w:noWrap/>
            <w:vAlign w:val="center"/>
          </w:tcPr>
          <w:p w14:paraId="665B2210">
            <w:pPr>
              <w:widowControl/>
              <w:adjustRightInd/>
              <w:snapToGrid/>
              <w:spacing w:line="240" w:lineRule="auto"/>
              <w:ind w:firstLine="0" w:firstLineChars="0"/>
              <w:jc w:val="center"/>
              <w:rPr>
                <w:rFonts w:eastAsia="楷体" w:cs="Times New Roman"/>
                <w:b/>
                <w:bCs/>
                <w:kern w:val="0"/>
                <w:sz w:val="21"/>
                <w:szCs w:val="21"/>
              </w:rPr>
            </w:pPr>
            <w:r>
              <w:rPr>
                <w:rFonts w:eastAsia="楷体" w:cs="Times New Roman"/>
                <w:b/>
                <w:bCs/>
                <w:kern w:val="0"/>
                <w:sz w:val="21"/>
                <w:szCs w:val="21"/>
              </w:rPr>
              <w:t xml:space="preserve">20.41 </w:t>
            </w:r>
          </w:p>
        </w:tc>
        <w:tc>
          <w:tcPr>
            <w:tcW w:w="1417" w:type="dxa"/>
            <w:shd w:val="clear" w:color="auto" w:fill="auto"/>
            <w:noWrap/>
            <w:vAlign w:val="center"/>
          </w:tcPr>
          <w:p w14:paraId="2959C13F">
            <w:pPr>
              <w:widowControl/>
              <w:adjustRightInd/>
              <w:snapToGrid/>
              <w:spacing w:line="240" w:lineRule="auto"/>
              <w:ind w:firstLine="0" w:firstLineChars="0"/>
              <w:jc w:val="center"/>
              <w:rPr>
                <w:rFonts w:eastAsia="楷体" w:cs="Times New Roman"/>
                <w:b/>
                <w:bCs/>
                <w:kern w:val="0"/>
                <w:sz w:val="21"/>
                <w:szCs w:val="21"/>
              </w:rPr>
            </w:pPr>
            <w:r>
              <w:rPr>
                <w:rFonts w:eastAsia="楷体" w:cs="Times New Roman"/>
                <w:b/>
                <w:bCs/>
                <w:kern w:val="0"/>
                <w:sz w:val="21"/>
                <w:szCs w:val="21"/>
              </w:rPr>
              <w:t xml:space="preserve">2.00 </w:t>
            </w:r>
          </w:p>
        </w:tc>
        <w:tc>
          <w:tcPr>
            <w:tcW w:w="1570" w:type="dxa"/>
            <w:shd w:val="clear" w:color="auto" w:fill="auto"/>
            <w:noWrap/>
            <w:vAlign w:val="center"/>
          </w:tcPr>
          <w:p w14:paraId="03AF5357">
            <w:pPr>
              <w:widowControl/>
              <w:adjustRightInd/>
              <w:snapToGrid/>
              <w:spacing w:line="240" w:lineRule="auto"/>
              <w:ind w:firstLine="0" w:firstLineChars="0"/>
              <w:jc w:val="center"/>
              <w:rPr>
                <w:rFonts w:eastAsia="楷体" w:cs="Times New Roman"/>
                <w:b/>
                <w:bCs/>
                <w:kern w:val="0"/>
                <w:sz w:val="21"/>
                <w:szCs w:val="21"/>
              </w:rPr>
            </w:pPr>
            <w:r>
              <w:rPr>
                <w:rFonts w:eastAsia="楷体" w:cs="Times New Roman"/>
                <w:b/>
                <w:bCs/>
                <w:kern w:val="0"/>
                <w:sz w:val="21"/>
                <w:szCs w:val="21"/>
              </w:rPr>
              <w:t xml:space="preserve">8.41 </w:t>
            </w:r>
          </w:p>
        </w:tc>
        <w:tc>
          <w:tcPr>
            <w:tcW w:w="1276" w:type="dxa"/>
            <w:shd w:val="clear" w:color="auto" w:fill="auto"/>
            <w:noWrap/>
            <w:vAlign w:val="center"/>
          </w:tcPr>
          <w:p w14:paraId="37D6BDFB">
            <w:pPr>
              <w:widowControl/>
              <w:adjustRightInd/>
              <w:snapToGrid/>
              <w:spacing w:line="240" w:lineRule="auto"/>
              <w:ind w:firstLine="0" w:firstLineChars="0"/>
              <w:jc w:val="center"/>
              <w:rPr>
                <w:rFonts w:eastAsia="楷体" w:cs="Times New Roman"/>
                <w:b/>
                <w:bCs/>
                <w:kern w:val="0"/>
                <w:sz w:val="21"/>
                <w:szCs w:val="21"/>
              </w:rPr>
            </w:pPr>
            <w:r>
              <w:rPr>
                <w:rFonts w:eastAsia="楷体" w:cs="Times New Roman"/>
                <w:b/>
                <w:bCs/>
                <w:kern w:val="0"/>
                <w:sz w:val="21"/>
                <w:szCs w:val="21"/>
              </w:rPr>
              <w:t xml:space="preserve">10.00 </w:t>
            </w:r>
          </w:p>
        </w:tc>
        <w:tc>
          <w:tcPr>
            <w:tcW w:w="939" w:type="dxa"/>
            <w:shd w:val="clear" w:color="auto" w:fill="auto"/>
            <w:noWrap/>
            <w:vAlign w:val="center"/>
          </w:tcPr>
          <w:p w14:paraId="00CCB8C4">
            <w:pPr>
              <w:widowControl/>
              <w:adjustRightInd/>
              <w:snapToGrid/>
              <w:spacing w:line="240" w:lineRule="auto"/>
              <w:ind w:firstLine="0" w:firstLineChars="0"/>
              <w:jc w:val="center"/>
              <w:rPr>
                <w:rFonts w:eastAsia="楷体" w:cs="Times New Roman"/>
                <w:b/>
                <w:bCs/>
                <w:kern w:val="0"/>
                <w:sz w:val="21"/>
                <w:szCs w:val="21"/>
              </w:rPr>
            </w:pPr>
          </w:p>
        </w:tc>
      </w:tr>
      <w:tr w14:paraId="2D3B8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567" w:hRule="atLeast"/>
        </w:trPr>
        <w:tc>
          <w:tcPr>
            <w:tcW w:w="849" w:type="dxa"/>
            <w:shd w:val="clear" w:color="auto" w:fill="auto"/>
            <w:vAlign w:val="center"/>
          </w:tcPr>
          <w:p w14:paraId="7A843EBF">
            <w:pPr>
              <w:widowControl/>
              <w:adjustRightInd/>
              <w:snapToGrid/>
              <w:spacing w:line="240" w:lineRule="auto"/>
              <w:ind w:firstLine="0" w:firstLineChars="0"/>
              <w:jc w:val="left"/>
              <w:rPr>
                <w:rFonts w:ascii="楷体" w:hAnsi="楷体" w:eastAsia="楷体" w:cs="宋体"/>
                <w:kern w:val="0"/>
                <w:sz w:val="21"/>
                <w:szCs w:val="21"/>
              </w:rPr>
            </w:pPr>
            <w:r>
              <w:rPr>
                <w:rFonts w:hint="eastAsia" w:ascii="楷体" w:hAnsi="楷体" w:eastAsia="楷体" w:cs="宋体"/>
                <w:kern w:val="0"/>
                <w:sz w:val="21"/>
                <w:szCs w:val="21"/>
              </w:rPr>
              <w:t>（1）</w:t>
            </w:r>
          </w:p>
        </w:tc>
        <w:tc>
          <w:tcPr>
            <w:tcW w:w="4108" w:type="dxa"/>
            <w:shd w:val="clear" w:color="auto" w:fill="auto"/>
            <w:vAlign w:val="center"/>
          </w:tcPr>
          <w:p w14:paraId="7195611C">
            <w:pPr>
              <w:widowControl/>
              <w:adjustRightInd/>
              <w:snapToGrid/>
              <w:spacing w:line="240" w:lineRule="auto"/>
              <w:ind w:firstLine="0" w:firstLineChars="0"/>
              <w:jc w:val="left"/>
              <w:rPr>
                <w:rFonts w:ascii="楷体" w:hAnsi="楷体" w:eastAsia="楷体" w:cs="宋体"/>
                <w:kern w:val="0"/>
                <w:sz w:val="21"/>
                <w:szCs w:val="21"/>
              </w:rPr>
            </w:pPr>
            <w:r>
              <w:rPr>
                <w:rFonts w:hint="eastAsia" w:ascii="楷体" w:hAnsi="楷体" w:eastAsia="楷体" w:cs="宋体"/>
                <w:kern w:val="0"/>
                <w:sz w:val="21"/>
                <w:szCs w:val="21"/>
              </w:rPr>
              <w:t>兴化垛田灌区续建配套与节水改造</w:t>
            </w:r>
          </w:p>
        </w:tc>
        <w:tc>
          <w:tcPr>
            <w:tcW w:w="8788" w:type="dxa"/>
            <w:shd w:val="clear" w:color="auto" w:fill="auto"/>
            <w:vAlign w:val="center"/>
          </w:tcPr>
          <w:p w14:paraId="65840FA0">
            <w:pPr>
              <w:widowControl/>
              <w:adjustRightInd/>
              <w:snapToGrid/>
              <w:spacing w:line="240" w:lineRule="auto"/>
              <w:ind w:firstLine="0" w:firstLineChars="0"/>
              <w:jc w:val="left"/>
              <w:rPr>
                <w:rFonts w:ascii="楷体" w:hAnsi="楷体" w:eastAsia="楷体" w:cs="Times New Roman"/>
                <w:kern w:val="0"/>
                <w:sz w:val="21"/>
                <w:szCs w:val="21"/>
              </w:rPr>
            </w:pPr>
            <w:r>
              <w:rPr>
                <w:rFonts w:ascii="楷体" w:hAnsi="楷体" w:eastAsia="楷体" w:cs="Times New Roman"/>
                <w:kern w:val="0"/>
                <w:sz w:val="21"/>
                <w:szCs w:val="21"/>
              </w:rPr>
              <w:t>新建渠道390km，新建电灌站1058座，新（拆）建沿线老旧闸站133座，干支渠道清淤、护砌86km； 新建高效节水灌溉农田2万亩。</w:t>
            </w:r>
          </w:p>
        </w:tc>
        <w:tc>
          <w:tcPr>
            <w:tcW w:w="1276" w:type="dxa"/>
            <w:shd w:val="clear" w:color="auto" w:fill="auto"/>
            <w:vAlign w:val="center"/>
          </w:tcPr>
          <w:p w14:paraId="4D538DAA">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2025-2035</w:t>
            </w:r>
          </w:p>
        </w:tc>
        <w:tc>
          <w:tcPr>
            <w:tcW w:w="1134" w:type="dxa"/>
            <w:shd w:val="clear" w:color="auto" w:fill="auto"/>
            <w:noWrap/>
            <w:vAlign w:val="center"/>
          </w:tcPr>
          <w:p w14:paraId="0D3373C8">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 xml:space="preserve">3.50 </w:t>
            </w:r>
          </w:p>
        </w:tc>
        <w:tc>
          <w:tcPr>
            <w:tcW w:w="1417" w:type="dxa"/>
            <w:shd w:val="clear" w:color="auto" w:fill="auto"/>
            <w:noWrap/>
            <w:vAlign w:val="center"/>
          </w:tcPr>
          <w:p w14:paraId="0062EF52">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 xml:space="preserve">0.50 </w:t>
            </w:r>
          </w:p>
        </w:tc>
        <w:tc>
          <w:tcPr>
            <w:tcW w:w="1570" w:type="dxa"/>
            <w:shd w:val="clear" w:color="auto" w:fill="auto"/>
            <w:noWrap/>
            <w:vAlign w:val="center"/>
          </w:tcPr>
          <w:p w14:paraId="14563FE8">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 xml:space="preserve">1.50 </w:t>
            </w:r>
          </w:p>
        </w:tc>
        <w:tc>
          <w:tcPr>
            <w:tcW w:w="1276" w:type="dxa"/>
            <w:shd w:val="clear" w:color="auto" w:fill="auto"/>
            <w:noWrap/>
            <w:vAlign w:val="center"/>
          </w:tcPr>
          <w:p w14:paraId="32E47618">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 xml:space="preserve">1.50 </w:t>
            </w:r>
          </w:p>
        </w:tc>
        <w:tc>
          <w:tcPr>
            <w:tcW w:w="939" w:type="dxa"/>
            <w:shd w:val="clear" w:color="auto" w:fill="auto"/>
            <w:vAlign w:val="center"/>
          </w:tcPr>
          <w:p w14:paraId="244BD9CE">
            <w:pPr>
              <w:widowControl/>
              <w:adjustRightInd/>
              <w:snapToGrid/>
              <w:spacing w:line="240" w:lineRule="auto"/>
              <w:ind w:firstLine="0" w:firstLineChars="0"/>
              <w:jc w:val="center"/>
              <w:rPr>
                <w:rFonts w:eastAsia="楷体" w:cs="Times New Roman"/>
                <w:kern w:val="0"/>
                <w:sz w:val="21"/>
                <w:szCs w:val="21"/>
              </w:rPr>
            </w:pPr>
          </w:p>
        </w:tc>
      </w:tr>
      <w:tr w14:paraId="20FE9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567" w:hRule="atLeast"/>
        </w:trPr>
        <w:tc>
          <w:tcPr>
            <w:tcW w:w="849" w:type="dxa"/>
            <w:shd w:val="clear" w:color="auto" w:fill="auto"/>
            <w:vAlign w:val="center"/>
          </w:tcPr>
          <w:p w14:paraId="417EE78D">
            <w:pPr>
              <w:widowControl/>
              <w:adjustRightInd/>
              <w:snapToGrid/>
              <w:spacing w:line="240" w:lineRule="auto"/>
              <w:ind w:firstLine="0" w:firstLineChars="0"/>
              <w:jc w:val="left"/>
              <w:rPr>
                <w:rFonts w:ascii="楷体" w:hAnsi="楷体" w:eastAsia="楷体" w:cs="宋体"/>
                <w:kern w:val="0"/>
                <w:sz w:val="21"/>
                <w:szCs w:val="21"/>
              </w:rPr>
            </w:pPr>
            <w:r>
              <w:rPr>
                <w:rFonts w:hint="eastAsia" w:ascii="楷体" w:hAnsi="楷体" w:eastAsia="楷体" w:cs="宋体"/>
                <w:kern w:val="0"/>
                <w:sz w:val="21"/>
                <w:szCs w:val="21"/>
              </w:rPr>
              <w:t>（2）</w:t>
            </w:r>
          </w:p>
        </w:tc>
        <w:tc>
          <w:tcPr>
            <w:tcW w:w="4108" w:type="dxa"/>
            <w:shd w:val="clear" w:color="auto" w:fill="auto"/>
            <w:vAlign w:val="center"/>
          </w:tcPr>
          <w:p w14:paraId="220AE55F">
            <w:pPr>
              <w:widowControl/>
              <w:adjustRightInd/>
              <w:snapToGrid/>
              <w:spacing w:line="240" w:lineRule="auto"/>
              <w:ind w:firstLine="0" w:firstLineChars="0"/>
              <w:jc w:val="left"/>
              <w:rPr>
                <w:rFonts w:ascii="楷体" w:hAnsi="楷体" w:eastAsia="楷体" w:cs="宋体"/>
                <w:kern w:val="0"/>
                <w:sz w:val="21"/>
                <w:szCs w:val="21"/>
              </w:rPr>
            </w:pPr>
            <w:r>
              <w:rPr>
                <w:rFonts w:hint="eastAsia" w:ascii="楷体" w:hAnsi="楷体" w:eastAsia="楷体" w:cs="宋体"/>
                <w:kern w:val="0"/>
                <w:sz w:val="21"/>
                <w:szCs w:val="21"/>
              </w:rPr>
              <w:t>海陵新北灌区续建配套与节水改造</w:t>
            </w:r>
          </w:p>
        </w:tc>
        <w:tc>
          <w:tcPr>
            <w:tcW w:w="8788" w:type="dxa"/>
            <w:shd w:val="clear" w:color="auto" w:fill="auto"/>
            <w:vAlign w:val="center"/>
          </w:tcPr>
          <w:p w14:paraId="0E64988C">
            <w:pPr>
              <w:widowControl/>
              <w:adjustRightInd/>
              <w:snapToGrid/>
              <w:spacing w:line="240" w:lineRule="auto"/>
              <w:ind w:firstLine="0" w:firstLineChars="0"/>
              <w:jc w:val="left"/>
              <w:rPr>
                <w:rFonts w:ascii="楷体" w:hAnsi="楷体" w:eastAsia="楷体" w:cs="Times New Roman"/>
                <w:kern w:val="0"/>
                <w:sz w:val="21"/>
                <w:szCs w:val="21"/>
              </w:rPr>
            </w:pPr>
            <w:r>
              <w:rPr>
                <w:rFonts w:ascii="楷体" w:hAnsi="楷体" w:eastAsia="楷体" w:cs="Times New Roman"/>
                <w:kern w:val="0"/>
                <w:sz w:val="21"/>
                <w:szCs w:val="21"/>
              </w:rPr>
              <w:t>整治的干支渠共15条，计39.04km，渠道边坡水位变化区新建护岸 58.50km，同时进行岸坡整治等措施，新建、拆建渠系建筑物共13座。</w:t>
            </w:r>
          </w:p>
        </w:tc>
        <w:tc>
          <w:tcPr>
            <w:tcW w:w="1276" w:type="dxa"/>
            <w:shd w:val="clear" w:color="auto" w:fill="auto"/>
            <w:vAlign w:val="center"/>
          </w:tcPr>
          <w:p w14:paraId="1B6FC69A">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2026-2028</w:t>
            </w:r>
          </w:p>
        </w:tc>
        <w:tc>
          <w:tcPr>
            <w:tcW w:w="1134" w:type="dxa"/>
            <w:shd w:val="clear" w:color="auto" w:fill="auto"/>
            <w:noWrap/>
            <w:vAlign w:val="center"/>
          </w:tcPr>
          <w:p w14:paraId="0A756FB4">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 xml:space="preserve">1.00 </w:t>
            </w:r>
          </w:p>
        </w:tc>
        <w:tc>
          <w:tcPr>
            <w:tcW w:w="1417" w:type="dxa"/>
            <w:shd w:val="clear" w:color="auto" w:fill="auto"/>
            <w:noWrap/>
            <w:vAlign w:val="center"/>
          </w:tcPr>
          <w:p w14:paraId="7BE51A56">
            <w:pPr>
              <w:widowControl/>
              <w:adjustRightInd/>
              <w:snapToGrid/>
              <w:spacing w:line="240" w:lineRule="auto"/>
              <w:ind w:firstLine="0" w:firstLineChars="0"/>
              <w:jc w:val="center"/>
              <w:rPr>
                <w:rFonts w:eastAsia="楷体" w:cs="Times New Roman"/>
                <w:kern w:val="0"/>
                <w:sz w:val="21"/>
                <w:szCs w:val="21"/>
              </w:rPr>
            </w:pPr>
          </w:p>
        </w:tc>
        <w:tc>
          <w:tcPr>
            <w:tcW w:w="1570" w:type="dxa"/>
            <w:shd w:val="clear" w:color="auto" w:fill="auto"/>
            <w:vAlign w:val="center"/>
          </w:tcPr>
          <w:p w14:paraId="53EA817E">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 xml:space="preserve">0.50 </w:t>
            </w:r>
          </w:p>
        </w:tc>
        <w:tc>
          <w:tcPr>
            <w:tcW w:w="1276" w:type="dxa"/>
            <w:shd w:val="clear" w:color="auto" w:fill="auto"/>
            <w:noWrap/>
            <w:vAlign w:val="center"/>
          </w:tcPr>
          <w:p w14:paraId="4BED36F7">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 xml:space="preserve">0.50 </w:t>
            </w:r>
          </w:p>
        </w:tc>
        <w:tc>
          <w:tcPr>
            <w:tcW w:w="939" w:type="dxa"/>
            <w:shd w:val="clear" w:color="auto" w:fill="auto"/>
            <w:vAlign w:val="center"/>
          </w:tcPr>
          <w:p w14:paraId="50CBA4F2">
            <w:pPr>
              <w:widowControl/>
              <w:adjustRightInd/>
              <w:snapToGrid/>
              <w:spacing w:line="240" w:lineRule="auto"/>
              <w:ind w:firstLine="0" w:firstLineChars="0"/>
              <w:jc w:val="center"/>
              <w:rPr>
                <w:rFonts w:eastAsia="楷体" w:cs="Times New Roman"/>
                <w:kern w:val="0"/>
                <w:sz w:val="21"/>
                <w:szCs w:val="21"/>
              </w:rPr>
            </w:pPr>
          </w:p>
        </w:tc>
      </w:tr>
      <w:tr w14:paraId="18CAC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567" w:hRule="atLeast"/>
        </w:trPr>
        <w:tc>
          <w:tcPr>
            <w:tcW w:w="849" w:type="dxa"/>
            <w:shd w:val="clear" w:color="auto" w:fill="auto"/>
            <w:vAlign w:val="center"/>
          </w:tcPr>
          <w:p w14:paraId="5C258B60">
            <w:pPr>
              <w:widowControl/>
              <w:adjustRightInd/>
              <w:snapToGrid/>
              <w:spacing w:line="240" w:lineRule="auto"/>
              <w:ind w:firstLine="0" w:firstLineChars="0"/>
              <w:jc w:val="left"/>
              <w:rPr>
                <w:rFonts w:ascii="楷体" w:hAnsi="楷体" w:eastAsia="楷体" w:cs="宋体"/>
                <w:kern w:val="0"/>
                <w:sz w:val="21"/>
                <w:szCs w:val="21"/>
              </w:rPr>
            </w:pPr>
            <w:r>
              <w:rPr>
                <w:rFonts w:hint="eastAsia" w:ascii="楷体" w:hAnsi="楷体" w:eastAsia="楷体" w:cs="宋体"/>
                <w:kern w:val="0"/>
                <w:sz w:val="21"/>
                <w:szCs w:val="21"/>
              </w:rPr>
              <w:t>（3）</w:t>
            </w:r>
          </w:p>
        </w:tc>
        <w:tc>
          <w:tcPr>
            <w:tcW w:w="4108" w:type="dxa"/>
            <w:shd w:val="clear" w:color="auto" w:fill="auto"/>
            <w:vAlign w:val="center"/>
          </w:tcPr>
          <w:p w14:paraId="0CE0E0A2">
            <w:pPr>
              <w:widowControl/>
              <w:adjustRightInd/>
              <w:snapToGrid/>
              <w:spacing w:line="240" w:lineRule="auto"/>
              <w:ind w:firstLine="0" w:firstLineChars="0"/>
              <w:jc w:val="left"/>
              <w:rPr>
                <w:rFonts w:ascii="楷体" w:hAnsi="楷体" w:eastAsia="楷体" w:cs="宋体"/>
                <w:kern w:val="0"/>
                <w:sz w:val="21"/>
                <w:szCs w:val="21"/>
              </w:rPr>
            </w:pPr>
            <w:r>
              <w:rPr>
                <w:rFonts w:hint="eastAsia" w:ascii="楷体" w:hAnsi="楷体" w:eastAsia="楷体" w:cs="宋体"/>
                <w:kern w:val="0"/>
                <w:sz w:val="21"/>
                <w:szCs w:val="21"/>
              </w:rPr>
              <w:t>姜堰溱潼灌区续建配套与节水改造</w:t>
            </w:r>
          </w:p>
        </w:tc>
        <w:tc>
          <w:tcPr>
            <w:tcW w:w="8788" w:type="dxa"/>
            <w:shd w:val="clear" w:color="auto" w:fill="auto"/>
            <w:vAlign w:val="center"/>
          </w:tcPr>
          <w:p w14:paraId="7B76374E">
            <w:pPr>
              <w:widowControl/>
              <w:adjustRightInd/>
              <w:snapToGrid/>
              <w:spacing w:line="240" w:lineRule="auto"/>
              <w:ind w:firstLine="0" w:firstLineChars="0"/>
              <w:jc w:val="left"/>
              <w:rPr>
                <w:rFonts w:ascii="楷体" w:hAnsi="楷体" w:eastAsia="楷体" w:cs="Times New Roman"/>
                <w:kern w:val="0"/>
                <w:sz w:val="21"/>
                <w:szCs w:val="21"/>
              </w:rPr>
            </w:pPr>
            <w:r>
              <w:rPr>
                <w:rFonts w:ascii="楷体" w:hAnsi="楷体" w:eastAsia="楷体" w:cs="Times New Roman"/>
                <w:kern w:val="0"/>
                <w:sz w:val="21"/>
                <w:szCs w:val="21"/>
              </w:rPr>
              <w:t>渠道整治41条，总长70km，其中新建岸坡防护52.17km。</w:t>
            </w:r>
          </w:p>
        </w:tc>
        <w:tc>
          <w:tcPr>
            <w:tcW w:w="1276" w:type="dxa"/>
            <w:shd w:val="clear" w:color="auto" w:fill="auto"/>
            <w:vAlign w:val="center"/>
          </w:tcPr>
          <w:p w14:paraId="3118FB9A">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2024-2030</w:t>
            </w:r>
          </w:p>
        </w:tc>
        <w:tc>
          <w:tcPr>
            <w:tcW w:w="1134" w:type="dxa"/>
            <w:shd w:val="clear" w:color="auto" w:fill="auto"/>
            <w:noWrap/>
            <w:vAlign w:val="center"/>
          </w:tcPr>
          <w:p w14:paraId="0114680E">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 xml:space="preserve">4.00 </w:t>
            </w:r>
          </w:p>
        </w:tc>
        <w:tc>
          <w:tcPr>
            <w:tcW w:w="1417" w:type="dxa"/>
            <w:shd w:val="clear" w:color="auto" w:fill="auto"/>
            <w:noWrap/>
            <w:vAlign w:val="center"/>
          </w:tcPr>
          <w:p w14:paraId="547EB5D5">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 xml:space="preserve">1.00 </w:t>
            </w:r>
          </w:p>
        </w:tc>
        <w:tc>
          <w:tcPr>
            <w:tcW w:w="1570" w:type="dxa"/>
            <w:shd w:val="clear" w:color="auto" w:fill="auto"/>
            <w:vAlign w:val="center"/>
          </w:tcPr>
          <w:p w14:paraId="1E897DE3">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 xml:space="preserve">1.00 </w:t>
            </w:r>
          </w:p>
        </w:tc>
        <w:tc>
          <w:tcPr>
            <w:tcW w:w="1276" w:type="dxa"/>
            <w:shd w:val="clear" w:color="auto" w:fill="auto"/>
            <w:noWrap/>
            <w:vAlign w:val="center"/>
          </w:tcPr>
          <w:p w14:paraId="4C743EFB">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 xml:space="preserve">2.00 </w:t>
            </w:r>
          </w:p>
        </w:tc>
        <w:tc>
          <w:tcPr>
            <w:tcW w:w="939" w:type="dxa"/>
            <w:shd w:val="clear" w:color="auto" w:fill="auto"/>
            <w:vAlign w:val="center"/>
          </w:tcPr>
          <w:p w14:paraId="4AA7A6D5">
            <w:pPr>
              <w:widowControl/>
              <w:adjustRightInd/>
              <w:snapToGrid/>
              <w:spacing w:line="240" w:lineRule="auto"/>
              <w:ind w:firstLine="0" w:firstLineChars="0"/>
              <w:jc w:val="center"/>
              <w:rPr>
                <w:rFonts w:eastAsia="楷体" w:cs="Times New Roman"/>
                <w:kern w:val="0"/>
                <w:sz w:val="21"/>
                <w:szCs w:val="21"/>
              </w:rPr>
            </w:pPr>
          </w:p>
        </w:tc>
      </w:tr>
      <w:tr w14:paraId="7964A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567" w:hRule="atLeast"/>
        </w:trPr>
        <w:tc>
          <w:tcPr>
            <w:tcW w:w="849" w:type="dxa"/>
            <w:shd w:val="clear" w:color="auto" w:fill="auto"/>
            <w:vAlign w:val="center"/>
          </w:tcPr>
          <w:p w14:paraId="45786043">
            <w:pPr>
              <w:widowControl/>
              <w:adjustRightInd/>
              <w:snapToGrid/>
              <w:spacing w:line="240" w:lineRule="auto"/>
              <w:ind w:firstLine="0" w:firstLineChars="0"/>
              <w:jc w:val="left"/>
              <w:rPr>
                <w:rFonts w:ascii="楷体" w:hAnsi="楷体" w:eastAsia="楷体" w:cs="宋体"/>
                <w:kern w:val="0"/>
                <w:sz w:val="21"/>
                <w:szCs w:val="21"/>
              </w:rPr>
            </w:pPr>
            <w:r>
              <w:rPr>
                <w:rFonts w:hint="eastAsia" w:ascii="楷体" w:hAnsi="楷体" w:eastAsia="楷体" w:cs="宋体"/>
                <w:kern w:val="0"/>
                <w:sz w:val="21"/>
                <w:szCs w:val="21"/>
              </w:rPr>
              <w:t>（4）</w:t>
            </w:r>
          </w:p>
        </w:tc>
        <w:tc>
          <w:tcPr>
            <w:tcW w:w="4108" w:type="dxa"/>
            <w:shd w:val="clear" w:color="auto" w:fill="auto"/>
            <w:vAlign w:val="center"/>
          </w:tcPr>
          <w:p w14:paraId="34164C1C">
            <w:pPr>
              <w:widowControl/>
              <w:adjustRightInd/>
              <w:snapToGrid/>
              <w:spacing w:line="240" w:lineRule="auto"/>
              <w:ind w:firstLine="0" w:firstLineChars="0"/>
              <w:jc w:val="left"/>
              <w:rPr>
                <w:rFonts w:ascii="楷体" w:hAnsi="楷体" w:eastAsia="楷体" w:cs="宋体"/>
                <w:kern w:val="0"/>
                <w:sz w:val="21"/>
                <w:szCs w:val="21"/>
              </w:rPr>
            </w:pPr>
            <w:r>
              <w:rPr>
                <w:rFonts w:hint="eastAsia" w:ascii="楷体" w:hAnsi="楷体" w:eastAsia="楷体" w:cs="宋体"/>
                <w:kern w:val="0"/>
                <w:sz w:val="21"/>
                <w:szCs w:val="21"/>
              </w:rPr>
              <w:t>高港高港灌区续建配套与现代化改造</w:t>
            </w:r>
          </w:p>
        </w:tc>
        <w:tc>
          <w:tcPr>
            <w:tcW w:w="8788" w:type="dxa"/>
            <w:shd w:val="clear" w:color="auto" w:fill="auto"/>
            <w:vAlign w:val="center"/>
          </w:tcPr>
          <w:p w14:paraId="74DA89C6">
            <w:pPr>
              <w:widowControl/>
              <w:adjustRightInd/>
              <w:snapToGrid/>
              <w:spacing w:line="240" w:lineRule="auto"/>
              <w:ind w:firstLine="0" w:firstLineChars="0"/>
              <w:jc w:val="left"/>
              <w:rPr>
                <w:rFonts w:ascii="楷体" w:hAnsi="楷体" w:eastAsia="楷体" w:cs="Times New Roman"/>
                <w:kern w:val="0"/>
                <w:sz w:val="21"/>
                <w:szCs w:val="21"/>
              </w:rPr>
            </w:pPr>
            <w:r>
              <w:rPr>
                <w:rFonts w:ascii="楷体" w:hAnsi="楷体" w:eastAsia="楷体" w:cs="Times New Roman"/>
                <w:kern w:val="0"/>
                <w:sz w:val="21"/>
                <w:szCs w:val="21"/>
              </w:rPr>
              <w:t>包括灌区水源工程、输水工程、排水工程、建筑物工程、配套设施以及信息化系统等。</w:t>
            </w:r>
          </w:p>
        </w:tc>
        <w:tc>
          <w:tcPr>
            <w:tcW w:w="1276" w:type="dxa"/>
            <w:shd w:val="clear" w:color="auto" w:fill="auto"/>
            <w:vAlign w:val="center"/>
          </w:tcPr>
          <w:p w14:paraId="0E94809E">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2024-2026</w:t>
            </w:r>
          </w:p>
        </w:tc>
        <w:tc>
          <w:tcPr>
            <w:tcW w:w="1134" w:type="dxa"/>
            <w:shd w:val="clear" w:color="auto" w:fill="auto"/>
            <w:noWrap/>
            <w:vAlign w:val="center"/>
          </w:tcPr>
          <w:p w14:paraId="57F4BC1C">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 xml:space="preserve">0.98 </w:t>
            </w:r>
          </w:p>
        </w:tc>
        <w:tc>
          <w:tcPr>
            <w:tcW w:w="1417" w:type="dxa"/>
            <w:shd w:val="clear" w:color="auto" w:fill="auto"/>
            <w:noWrap/>
            <w:vAlign w:val="center"/>
          </w:tcPr>
          <w:p w14:paraId="7D1F5858">
            <w:pPr>
              <w:widowControl/>
              <w:adjustRightInd/>
              <w:snapToGrid/>
              <w:spacing w:line="240" w:lineRule="auto"/>
              <w:ind w:firstLine="0" w:firstLineChars="0"/>
              <w:jc w:val="center"/>
              <w:rPr>
                <w:rFonts w:eastAsia="楷体" w:cs="Times New Roman"/>
                <w:kern w:val="0"/>
                <w:sz w:val="21"/>
                <w:szCs w:val="21"/>
              </w:rPr>
            </w:pPr>
          </w:p>
        </w:tc>
        <w:tc>
          <w:tcPr>
            <w:tcW w:w="1570" w:type="dxa"/>
            <w:shd w:val="clear" w:color="auto" w:fill="auto"/>
            <w:vAlign w:val="center"/>
          </w:tcPr>
          <w:p w14:paraId="531A2AA9">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 xml:space="preserve">0.49 </w:t>
            </w:r>
          </w:p>
        </w:tc>
        <w:tc>
          <w:tcPr>
            <w:tcW w:w="1276" w:type="dxa"/>
            <w:shd w:val="clear" w:color="auto" w:fill="auto"/>
            <w:noWrap/>
            <w:vAlign w:val="center"/>
          </w:tcPr>
          <w:p w14:paraId="3B334E66">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 xml:space="preserve">0.49 </w:t>
            </w:r>
          </w:p>
        </w:tc>
        <w:tc>
          <w:tcPr>
            <w:tcW w:w="939" w:type="dxa"/>
            <w:shd w:val="clear" w:color="auto" w:fill="auto"/>
            <w:vAlign w:val="center"/>
          </w:tcPr>
          <w:p w14:paraId="1FA36C6E">
            <w:pPr>
              <w:widowControl/>
              <w:adjustRightInd/>
              <w:snapToGrid/>
              <w:spacing w:line="240" w:lineRule="auto"/>
              <w:ind w:firstLine="0" w:firstLineChars="0"/>
              <w:jc w:val="center"/>
              <w:rPr>
                <w:rFonts w:eastAsia="楷体" w:cs="Times New Roman"/>
                <w:kern w:val="0"/>
                <w:sz w:val="21"/>
                <w:szCs w:val="21"/>
              </w:rPr>
            </w:pPr>
          </w:p>
        </w:tc>
      </w:tr>
      <w:tr w14:paraId="726A0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567" w:hRule="atLeast"/>
        </w:trPr>
        <w:tc>
          <w:tcPr>
            <w:tcW w:w="849" w:type="dxa"/>
            <w:shd w:val="clear" w:color="auto" w:fill="auto"/>
            <w:vAlign w:val="center"/>
          </w:tcPr>
          <w:p w14:paraId="2D25055A">
            <w:pPr>
              <w:widowControl/>
              <w:adjustRightInd/>
              <w:snapToGrid/>
              <w:spacing w:line="240" w:lineRule="auto"/>
              <w:ind w:firstLine="0" w:firstLineChars="0"/>
              <w:jc w:val="left"/>
              <w:rPr>
                <w:rFonts w:ascii="楷体" w:hAnsi="楷体" w:eastAsia="楷体" w:cs="宋体"/>
                <w:kern w:val="0"/>
                <w:sz w:val="21"/>
                <w:szCs w:val="21"/>
              </w:rPr>
            </w:pPr>
            <w:r>
              <w:rPr>
                <w:rFonts w:hint="eastAsia" w:ascii="楷体" w:hAnsi="楷体" w:eastAsia="楷体" w:cs="宋体"/>
                <w:kern w:val="0"/>
                <w:sz w:val="21"/>
                <w:szCs w:val="21"/>
              </w:rPr>
              <w:t>（5）</w:t>
            </w:r>
          </w:p>
        </w:tc>
        <w:tc>
          <w:tcPr>
            <w:tcW w:w="4108" w:type="dxa"/>
            <w:shd w:val="clear" w:color="auto" w:fill="auto"/>
            <w:vAlign w:val="center"/>
          </w:tcPr>
          <w:p w14:paraId="099ED4F7">
            <w:pPr>
              <w:widowControl/>
              <w:adjustRightInd/>
              <w:snapToGrid/>
              <w:spacing w:line="240" w:lineRule="auto"/>
              <w:ind w:firstLine="0" w:firstLineChars="0"/>
              <w:jc w:val="left"/>
              <w:rPr>
                <w:rFonts w:ascii="楷体" w:hAnsi="楷体" w:eastAsia="楷体" w:cs="宋体"/>
                <w:kern w:val="0"/>
                <w:sz w:val="21"/>
                <w:szCs w:val="21"/>
              </w:rPr>
            </w:pPr>
            <w:r>
              <w:rPr>
                <w:rFonts w:hint="eastAsia" w:ascii="楷体" w:hAnsi="楷体" w:eastAsia="楷体" w:cs="宋体"/>
                <w:kern w:val="0"/>
                <w:sz w:val="21"/>
                <w:szCs w:val="21"/>
              </w:rPr>
              <w:t>泰兴沿靖灌区续建配套与节水改造</w:t>
            </w:r>
          </w:p>
        </w:tc>
        <w:tc>
          <w:tcPr>
            <w:tcW w:w="8788" w:type="dxa"/>
            <w:shd w:val="clear" w:color="auto" w:fill="auto"/>
            <w:vAlign w:val="center"/>
          </w:tcPr>
          <w:p w14:paraId="6743B59E">
            <w:pPr>
              <w:widowControl/>
              <w:adjustRightInd/>
              <w:snapToGrid/>
              <w:spacing w:line="240" w:lineRule="auto"/>
              <w:ind w:firstLine="0" w:firstLineChars="0"/>
              <w:jc w:val="left"/>
              <w:rPr>
                <w:rFonts w:ascii="楷体" w:hAnsi="楷体" w:eastAsia="楷体" w:cs="Times New Roman"/>
                <w:kern w:val="0"/>
                <w:sz w:val="21"/>
                <w:szCs w:val="21"/>
              </w:rPr>
            </w:pPr>
            <w:r>
              <w:rPr>
                <w:rFonts w:ascii="楷体" w:hAnsi="楷体" w:eastAsia="楷体" w:cs="Times New Roman"/>
                <w:kern w:val="0"/>
                <w:sz w:val="21"/>
                <w:szCs w:val="21"/>
              </w:rPr>
              <w:t>通过项目实施，完善灌区管理设施，提升灌区现代化水平，主要内容为河道整治、新（拆）建渠系配套设施、灌区信息化等。</w:t>
            </w:r>
          </w:p>
        </w:tc>
        <w:tc>
          <w:tcPr>
            <w:tcW w:w="1276" w:type="dxa"/>
            <w:shd w:val="clear" w:color="auto" w:fill="auto"/>
            <w:vAlign w:val="center"/>
          </w:tcPr>
          <w:p w14:paraId="1506A5C4">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2026-2030</w:t>
            </w:r>
          </w:p>
        </w:tc>
        <w:tc>
          <w:tcPr>
            <w:tcW w:w="1134" w:type="dxa"/>
            <w:shd w:val="clear" w:color="auto" w:fill="auto"/>
            <w:noWrap/>
            <w:vAlign w:val="center"/>
          </w:tcPr>
          <w:p w14:paraId="25E0EDA4">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 xml:space="preserve">1.50 </w:t>
            </w:r>
          </w:p>
        </w:tc>
        <w:tc>
          <w:tcPr>
            <w:tcW w:w="1417" w:type="dxa"/>
            <w:shd w:val="clear" w:color="auto" w:fill="auto"/>
            <w:noWrap/>
            <w:vAlign w:val="center"/>
          </w:tcPr>
          <w:p w14:paraId="176ED0E2">
            <w:pPr>
              <w:widowControl/>
              <w:adjustRightInd/>
              <w:snapToGrid/>
              <w:spacing w:line="240" w:lineRule="auto"/>
              <w:ind w:firstLine="0" w:firstLineChars="0"/>
              <w:jc w:val="center"/>
              <w:rPr>
                <w:rFonts w:eastAsia="楷体" w:cs="Times New Roman"/>
                <w:kern w:val="0"/>
                <w:sz w:val="21"/>
                <w:szCs w:val="21"/>
              </w:rPr>
            </w:pPr>
          </w:p>
        </w:tc>
        <w:tc>
          <w:tcPr>
            <w:tcW w:w="1570" w:type="dxa"/>
            <w:shd w:val="clear" w:color="auto" w:fill="auto"/>
            <w:vAlign w:val="center"/>
          </w:tcPr>
          <w:p w14:paraId="093FB722">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 xml:space="preserve">0.50 </w:t>
            </w:r>
          </w:p>
        </w:tc>
        <w:tc>
          <w:tcPr>
            <w:tcW w:w="1276" w:type="dxa"/>
            <w:shd w:val="clear" w:color="auto" w:fill="auto"/>
            <w:noWrap/>
            <w:vAlign w:val="center"/>
          </w:tcPr>
          <w:p w14:paraId="02243C61">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 xml:space="preserve">1.00 </w:t>
            </w:r>
          </w:p>
        </w:tc>
        <w:tc>
          <w:tcPr>
            <w:tcW w:w="939" w:type="dxa"/>
            <w:shd w:val="clear" w:color="auto" w:fill="auto"/>
            <w:vAlign w:val="center"/>
          </w:tcPr>
          <w:p w14:paraId="60C80857">
            <w:pPr>
              <w:widowControl/>
              <w:adjustRightInd/>
              <w:snapToGrid/>
              <w:spacing w:line="240" w:lineRule="auto"/>
              <w:ind w:firstLine="0" w:firstLineChars="0"/>
              <w:jc w:val="center"/>
              <w:rPr>
                <w:rFonts w:eastAsia="楷体" w:cs="Times New Roman"/>
                <w:kern w:val="0"/>
                <w:sz w:val="21"/>
                <w:szCs w:val="21"/>
              </w:rPr>
            </w:pPr>
          </w:p>
        </w:tc>
      </w:tr>
      <w:tr w14:paraId="79403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567" w:hRule="atLeast"/>
        </w:trPr>
        <w:tc>
          <w:tcPr>
            <w:tcW w:w="849" w:type="dxa"/>
            <w:shd w:val="clear" w:color="auto" w:fill="auto"/>
            <w:vAlign w:val="center"/>
          </w:tcPr>
          <w:p w14:paraId="4069294D">
            <w:pPr>
              <w:widowControl/>
              <w:adjustRightInd/>
              <w:snapToGrid/>
              <w:spacing w:line="240" w:lineRule="auto"/>
              <w:ind w:firstLine="0" w:firstLineChars="0"/>
              <w:jc w:val="left"/>
              <w:rPr>
                <w:rFonts w:ascii="楷体" w:hAnsi="楷体" w:eastAsia="楷体" w:cs="宋体"/>
                <w:kern w:val="0"/>
                <w:sz w:val="21"/>
                <w:szCs w:val="21"/>
              </w:rPr>
            </w:pPr>
            <w:r>
              <w:rPr>
                <w:rFonts w:hint="eastAsia" w:ascii="楷体" w:hAnsi="楷体" w:eastAsia="楷体" w:cs="宋体"/>
                <w:kern w:val="0"/>
                <w:sz w:val="21"/>
                <w:szCs w:val="21"/>
              </w:rPr>
              <w:t>（6）</w:t>
            </w:r>
          </w:p>
        </w:tc>
        <w:tc>
          <w:tcPr>
            <w:tcW w:w="4108" w:type="dxa"/>
            <w:shd w:val="clear" w:color="auto" w:fill="auto"/>
            <w:noWrap/>
            <w:vAlign w:val="center"/>
          </w:tcPr>
          <w:p w14:paraId="14F570DE">
            <w:pPr>
              <w:widowControl/>
              <w:adjustRightInd/>
              <w:snapToGrid/>
              <w:spacing w:line="240" w:lineRule="auto"/>
              <w:ind w:firstLine="0" w:firstLineChars="0"/>
              <w:jc w:val="left"/>
              <w:rPr>
                <w:rFonts w:ascii="楷体" w:hAnsi="楷体" w:eastAsia="楷体" w:cs="宋体"/>
                <w:kern w:val="0"/>
                <w:sz w:val="21"/>
                <w:szCs w:val="21"/>
              </w:rPr>
            </w:pPr>
            <w:r>
              <w:rPr>
                <w:rFonts w:hint="eastAsia" w:ascii="楷体" w:hAnsi="楷体" w:eastAsia="楷体" w:cs="宋体"/>
                <w:kern w:val="0"/>
                <w:sz w:val="21"/>
                <w:szCs w:val="21"/>
              </w:rPr>
              <w:t>泰兴城黄灌区续建配套与现代化改造</w:t>
            </w:r>
          </w:p>
        </w:tc>
        <w:tc>
          <w:tcPr>
            <w:tcW w:w="8788" w:type="dxa"/>
            <w:shd w:val="clear" w:color="auto" w:fill="auto"/>
            <w:vAlign w:val="center"/>
          </w:tcPr>
          <w:p w14:paraId="0E32C54C">
            <w:pPr>
              <w:widowControl/>
              <w:adjustRightInd/>
              <w:snapToGrid/>
              <w:spacing w:line="240" w:lineRule="auto"/>
              <w:ind w:firstLine="0" w:firstLineChars="0"/>
              <w:jc w:val="left"/>
              <w:rPr>
                <w:rFonts w:ascii="楷体" w:hAnsi="楷体" w:eastAsia="楷体" w:cs="Times New Roman"/>
                <w:kern w:val="0"/>
                <w:sz w:val="21"/>
                <w:szCs w:val="21"/>
              </w:rPr>
            </w:pPr>
            <w:r>
              <w:rPr>
                <w:rFonts w:ascii="楷体" w:hAnsi="楷体" w:eastAsia="楷体" w:cs="Times New Roman"/>
                <w:kern w:val="0"/>
                <w:sz w:val="21"/>
                <w:szCs w:val="21"/>
              </w:rPr>
              <w:t>整治的是灌区内引排河道（支渠）共68 条总长152.54km。清淤整治长度152.536km，新建护岸88.162km（单侧），其中稀排木桩132.75km，方桩+木桩34.47km，密排木桩57.56km，格宾挡墙63.382km。</w:t>
            </w:r>
          </w:p>
        </w:tc>
        <w:tc>
          <w:tcPr>
            <w:tcW w:w="1276" w:type="dxa"/>
            <w:shd w:val="clear" w:color="auto" w:fill="auto"/>
            <w:noWrap/>
            <w:vAlign w:val="center"/>
          </w:tcPr>
          <w:p w14:paraId="1FC1AFA3">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2024~2028</w:t>
            </w:r>
          </w:p>
        </w:tc>
        <w:tc>
          <w:tcPr>
            <w:tcW w:w="1134" w:type="dxa"/>
            <w:shd w:val="clear" w:color="auto" w:fill="auto"/>
            <w:noWrap/>
            <w:vAlign w:val="center"/>
          </w:tcPr>
          <w:p w14:paraId="12490912">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 xml:space="preserve">3.01 </w:t>
            </w:r>
          </w:p>
        </w:tc>
        <w:tc>
          <w:tcPr>
            <w:tcW w:w="1417" w:type="dxa"/>
            <w:shd w:val="clear" w:color="auto" w:fill="auto"/>
            <w:noWrap/>
            <w:vAlign w:val="center"/>
          </w:tcPr>
          <w:p w14:paraId="119B5C6A">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 xml:space="preserve">0.50 </w:t>
            </w:r>
          </w:p>
        </w:tc>
        <w:tc>
          <w:tcPr>
            <w:tcW w:w="1570" w:type="dxa"/>
            <w:shd w:val="clear" w:color="auto" w:fill="auto"/>
            <w:noWrap/>
            <w:vAlign w:val="center"/>
          </w:tcPr>
          <w:p w14:paraId="055ECB6E">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 xml:space="preserve">1.00 </w:t>
            </w:r>
          </w:p>
        </w:tc>
        <w:tc>
          <w:tcPr>
            <w:tcW w:w="1276" w:type="dxa"/>
            <w:shd w:val="clear" w:color="auto" w:fill="auto"/>
            <w:noWrap/>
            <w:vAlign w:val="center"/>
          </w:tcPr>
          <w:p w14:paraId="74318BE8">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 xml:space="preserve">1.51 </w:t>
            </w:r>
          </w:p>
        </w:tc>
        <w:tc>
          <w:tcPr>
            <w:tcW w:w="939" w:type="dxa"/>
            <w:shd w:val="clear" w:color="auto" w:fill="auto"/>
            <w:vAlign w:val="center"/>
          </w:tcPr>
          <w:p w14:paraId="6659F9AF">
            <w:pPr>
              <w:widowControl/>
              <w:adjustRightInd/>
              <w:snapToGrid/>
              <w:spacing w:line="240" w:lineRule="auto"/>
              <w:ind w:firstLine="0" w:firstLineChars="0"/>
              <w:jc w:val="center"/>
              <w:rPr>
                <w:rFonts w:eastAsia="楷体" w:cs="Times New Roman"/>
                <w:kern w:val="0"/>
                <w:sz w:val="21"/>
                <w:szCs w:val="21"/>
              </w:rPr>
            </w:pPr>
          </w:p>
        </w:tc>
      </w:tr>
      <w:tr w14:paraId="4115C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567" w:hRule="atLeast"/>
        </w:trPr>
        <w:tc>
          <w:tcPr>
            <w:tcW w:w="849" w:type="dxa"/>
            <w:shd w:val="clear" w:color="auto" w:fill="auto"/>
            <w:vAlign w:val="center"/>
          </w:tcPr>
          <w:p w14:paraId="3DB9958D">
            <w:pPr>
              <w:widowControl/>
              <w:adjustRightInd/>
              <w:snapToGrid/>
              <w:spacing w:line="240" w:lineRule="auto"/>
              <w:ind w:firstLine="0" w:firstLineChars="0"/>
              <w:jc w:val="left"/>
              <w:rPr>
                <w:rFonts w:ascii="楷体" w:hAnsi="楷体" w:eastAsia="楷体" w:cs="宋体"/>
                <w:kern w:val="0"/>
                <w:sz w:val="21"/>
                <w:szCs w:val="21"/>
              </w:rPr>
            </w:pPr>
            <w:r>
              <w:rPr>
                <w:rFonts w:hint="eastAsia" w:ascii="楷体" w:hAnsi="楷体" w:eastAsia="楷体" w:cs="宋体"/>
                <w:kern w:val="0"/>
                <w:sz w:val="21"/>
                <w:szCs w:val="21"/>
              </w:rPr>
              <w:t>（7）</w:t>
            </w:r>
          </w:p>
        </w:tc>
        <w:tc>
          <w:tcPr>
            <w:tcW w:w="4108" w:type="dxa"/>
            <w:shd w:val="clear" w:color="auto" w:fill="auto"/>
            <w:noWrap/>
            <w:vAlign w:val="center"/>
          </w:tcPr>
          <w:p w14:paraId="6A90A492">
            <w:pPr>
              <w:widowControl/>
              <w:adjustRightInd/>
              <w:snapToGrid/>
              <w:spacing w:line="240" w:lineRule="auto"/>
              <w:ind w:firstLine="0" w:firstLineChars="0"/>
              <w:jc w:val="left"/>
              <w:rPr>
                <w:rFonts w:ascii="楷体" w:hAnsi="楷体" w:eastAsia="楷体" w:cs="宋体"/>
                <w:kern w:val="0"/>
                <w:sz w:val="21"/>
                <w:szCs w:val="21"/>
              </w:rPr>
            </w:pPr>
            <w:r>
              <w:rPr>
                <w:rFonts w:hint="eastAsia" w:ascii="楷体" w:hAnsi="楷体" w:eastAsia="楷体" w:cs="宋体"/>
                <w:kern w:val="0"/>
                <w:sz w:val="21"/>
                <w:szCs w:val="21"/>
              </w:rPr>
              <w:t>泰兴黄桥灌区续建配套与现代化改造</w:t>
            </w:r>
          </w:p>
        </w:tc>
        <w:tc>
          <w:tcPr>
            <w:tcW w:w="8788" w:type="dxa"/>
            <w:shd w:val="clear" w:color="auto" w:fill="auto"/>
            <w:vAlign w:val="center"/>
          </w:tcPr>
          <w:p w14:paraId="3A698D46">
            <w:pPr>
              <w:widowControl/>
              <w:adjustRightInd/>
              <w:snapToGrid/>
              <w:spacing w:line="240" w:lineRule="auto"/>
              <w:ind w:firstLine="0" w:firstLineChars="0"/>
              <w:jc w:val="left"/>
              <w:rPr>
                <w:rFonts w:ascii="楷体" w:hAnsi="楷体" w:eastAsia="楷体" w:cs="Times New Roman"/>
                <w:kern w:val="0"/>
                <w:sz w:val="21"/>
                <w:szCs w:val="21"/>
              </w:rPr>
            </w:pPr>
            <w:r>
              <w:rPr>
                <w:rFonts w:ascii="楷体" w:hAnsi="楷体" w:eastAsia="楷体" w:cs="Times New Roman"/>
                <w:kern w:val="0"/>
                <w:sz w:val="21"/>
                <w:szCs w:val="21"/>
              </w:rPr>
              <w:t>整治灌排沟渠116条，疏浚长度192.86km，新建沟渠护岸281.38km，岸坡绿化70.37 万平，改造排涝泵站3座，改造桥梁29座，涵洞130座，分水闸112座。</w:t>
            </w:r>
          </w:p>
        </w:tc>
        <w:tc>
          <w:tcPr>
            <w:tcW w:w="1276" w:type="dxa"/>
            <w:shd w:val="clear" w:color="auto" w:fill="auto"/>
            <w:noWrap/>
            <w:vAlign w:val="center"/>
          </w:tcPr>
          <w:p w14:paraId="454960F1">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2026~2035</w:t>
            </w:r>
          </w:p>
        </w:tc>
        <w:tc>
          <w:tcPr>
            <w:tcW w:w="1134" w:type="dxa"/>
            <w:shd w:val="clear" w:color="auto" w:fill="auto"/>
            <w:noWrap/>
            <w:vAlign w:val="center"/>
          </w:tcPr>
          <w:p w14:paraId="1214C386">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 xml:space="preserve">3.42 </w:t>
            </w:r>
          </w:p>
        </w:tc>
        <w:tc>
          <w:tcPr>
            <w:tcW w:w="1417" w:type="dxa"/>
            <w:shd w:val="clear" w:color="auto" w:fill="auto"/>
            <w:noWrap/>
            <w:vAlign w:val="center"/>
          </w:tcPr>
          <w:p w14:paraId="6AA74D49">
            <w:pPr>
              <w:widowControl/>
              <w:adjustRightInd/>
              <w:snapToGrid/>
              <w:spacing w:line="240" w:lineRule="auto"/>
              <w:ind w:firstLine="0" w:firstLineChars="0"/>
              <w:jc w:val="center"/>
              <w:rPr>
                <w:rFonts w:eastAsia="楷体" w:cs="Times New Roman"/>
                <w:kern w:val="0"/>
                <w:sz w:val="21"/>
                <w:szCs w:val="21"/>
              </w:rPr>
            </w:pPr>
          </w:p>
        </w:tc>
        <w:tc>
          <w:tcPr>
            <w:tcW w:w="1570" w:type="dxa"/>
            <w:shd w:val="clear" w:color="auto" w:fill="auto"/>
            <w:vAlign w:val="center"/>
          </w:tcPr>
          <w:p w14:paraId="18F4E042">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 xml:space="preserve">2.42 </w:t>
            </w:r>
          </w:p>
        </w:tc>
        <w:tc>
          <w:tcPr>
            <w:tcW w:w="1276" w:type="dxa"/>
            <w:shd w:val="clear" w:color="auto" w:fill="auto"/>
            <w:noWrap/>
            <w:vAlign w:val="center"/>
          </w:tcPr>
          <w:p w14:paraId="01FACA36">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 xml:space="preserve">1.00 </w:t>
            </w:r>
          </w:p>
        </w:tc>
        <w:tc>
          <w:tcPr>
            <w:tcW w:w="939" w:type="dxa"/>
            <w:shd w:val="clear" w:color="auto" w:fill="auto"/>
            <w:vAlign w:val="center"/>
          </w:tcPr>
          <w:p w14:paraId="273539AE">
            <w:pPr>
              <w:widowControl/>
              <w:adjustRightInd/>
              <w:snapToGrid/>
              <w:spacing w:line="240" w:lineRule="auto"/>
              <w:ind w:firstLine="0" w:firstLineChars="0"/>
              <w:jc w:val="center"/>
              <w:rPr>
                <w:rFonts w:eastAsia="楷体" w:cs="Times New Roman"/>
                <w:kern w:val="0"/>
                <w:sz w:val="21"/>
                <w:szCs w:val="21"/>
              </w:rPr>
            </w:pPr>
          </w:p>
        </w:tc>
      </w:tr>
      <w:tr w14:paraId="7003D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567" w:hRule="atLeast"/>
        </w:trPr>
        <w:tc>
          <w:tcPr>
            <w:tcW w:w="849" w:type="dxa"/>
            <w:shd w:val="clear" w:color="auto" w:fill="auto"/>
            <w:vAlign w:val="center"/>
          </w:tcPr>
          <w:p w14:paraId="42E68A79">
            <w:pPr>
              <w:widowControl/>
              <w:adjustRightInd/>
              <w:snapToGrid/>
              <w:spacing w:line="240" w:lineRule="auto"/>
              <w:ind w:firstLine="0" w:firstLineChars="0"/>
              <w:jc w:val="left"/>
              <w:rPr>
                <w:rFonts w:ascii="楷体" w:hAnsi="楷体" w:eastAsia="楷体" w:cs="宋体"/>
                <w:kern w:val="0"/>
                <w:sz w:val="21"/>
                <w:szCs w:val="21"/>
              </w:rPr>
            </w:pPr>
            <w:r>
              <w:rPr>
                <w:rFonts w:hint="eastAsia" w:ascii="楷体" w:hAnsi="楷体" w:eastAsia="楷体" w:cs="宋体"/>
                <w:kern w:val="0"/>
                <w:sz w:val="21"/>
                <w:szCs w:val="21"/>
              </w:rPr>
              <w:t>（8）</w:t>
            </w:r>
          </w:p>
        </w:tc>
        <w:tc>
          <w:tcPr>
            <w:tcW w:w="4108" w:type="dxa"/>
            <w:shd w:val="clear" w:color="auto" w:fill="auto"/>
            <w:vAlign w:val="center"/>
          </w:tcPr>
          <w:p w14:paraId="3204782A">
            <w:pPr>
              <w:widowControl/>
              <w:adjustRightInd/>
              <w:snapToGrid/>
              <w:spacing w:line="240" w:lineRule="auto"/>
              <w:ind w:firstLine="0" w:firstLineChars="0"/>
              <w:jc w:val="left"/>
              <w:rPr>
                <w:rFonts w:ascii="楷体" w:hAnsi="楷体" w:eastAsia="楷体" w:cs="宋体"/>
                <w:kern w:val="0"/>
                <w:sz w:val="21"/>
                <w:szCs w:val="21"/>
              </w:rPr>
            </w:pPr>
            <w:r>
              <w:rPr>
                <w:rFonts w:hint="eastAsia" w:ascii="楷体" w:hAnsi="楷体" w:eastAsia="楷体" w:cs="宋体"/>
                <w:kern w:val="0"/>
                <w:sz w:val="21"/>
                <w:szCs w:val="21"/>
              </w:rPr>
              <w:t>靖江西部灌区续建配套与节水改造</w:t>
            </w:r>
          </w:p>
        </w:tc>
        <w:tc>
          <w:tcPr>
            <w:tcW w:w="8788" w:type="dxa"/>
            <w:shd w:val="clear" w:color="auto" w:fill="auto"/>
            <w:vAlign w:val="center"/>
          </w:tcPr>
          <w:p w14:paraId="5C0235CC">
            <w:pPr>
              <w:widowControl/>
              <w:adjustRightInd/>
              <w:snapToGrid/>
              <w:spacing w:line="240" w:lineRule="auto"/>
              <w:ind w:firstLine="0" w:firstLineChars="0"/>
              <w:jc w:val="left"/>
              <w:rPr>
                <w:rFonts w:ascii="楷体" w:hAnsi="楷体" w:eastAsia="楷体" w:cs="Times New Roman"/>
                <w:kern w:val="0"/>
                <w:sz w:val="21"/>
                <w:szCs w:val="21"/>
              </w:rPr>
            </w:pPr>
            <w:r>
              <w:rPr>
                <w:rFonts w:ascii="楷体" w:hAnsi="楷体" w:eastAsia="楷体" w:cs="Times New Roman"/>
                <w:kern w:val="0"/>
                <w:sz w:val="21"/>
                <w:szCs w:val="21"/>
              </w:rPr>
              <w:t>通过项目实施，完善灌区管理设施，提升灌区现代化水平，主要内容为河道整治、新（拆）建渠系配套设施、灌区信息化等。</w:t>
            </w:r>
          </w:p>
        </w:tc>
        <w:tc>
          <w:tcPr>
            <w:tcW w:w="1276" w:type="dxa"/>
            <w:shd w:val="clear" w:color="auto" w:fill="auto"/>
            <w:vAlign w:val="center"/>
          </w:tcPr>
          <w:p w14:paraId="2473D158">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2026-2030</w:t>
            </w:r>
          </w:p>
        </w:tc>
        <w:tc>
          <w:tcPr>
            <w:tcW w:w="1134" w:type="dxa"/>
            <w:shd w:val="clear" w:color="auto" w:fill="auto"/>
            <w:noWrap/>
            <w:vAlign w:val="center"/>
          </w:tcPr>
          <w:p w14:paraId="720A1BA0">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 xml:space="preserve">1.50 </w:t>
            </w:r>
          </w:p>
        </w:tc>
        <w:tc>
          <w:tcPr>
            <w:tcW w:w="1417" w:type="dxa"/>
            <w:shd w:val="clear" w:color="auto" w:fill="auto"/>
            <w:noWrap/>
            <w:vAlign w:val="center"/>
          </w:tcPr>
          <w:p w14:paraId="30F0A6A2">
            <w:pPr>
              <w:widowControl/>
              <w:adjustRightInd/>
              <w:snapToGrid/>
              <w:spacing w:line="240" w:lineRule="auto"/>
              <w:ind w:firstLine="0" w:firstLineChars="0"/>
              <w:jc w:val="center"/>
              <w:rPr>
                <w:rFonts w:eastAsia="楷体" w:cs="Times New Roman"/>
                <w:kern w:val="0"/>
                <w:sz w:val="21"/>
                <w:szCs w:val="21"/>
              </w:rPr>
            </w:pPr>
          </w:p>
        </w:tc>
        <w:tc>
          <w:tcPr>
            <w:tcW w:w="1570" w:type="dxa"/>
            <w:shd w:val="clear" w:color="auto" w:fill="auto"/>
            <w:vAlign w:val="center"/>
          </w:tcPr>
          <w:p w14:paraId="5E93A6BC">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 xml:space="preserve">0.50 </w:t>
            </w:r>
          </w:p>
        </w:tc>
        <w:tc>
          <w:tcPr>
            <w:tcW w:w="1276" w:type="dxa"/>
            <w:shd w:val="clear" w:color="auto" w:fill="auto"/>
            <w:noWrap/>
            <w:vAlign w:val="center"/>
          </w:tcPr>
          <w:p w14:paraId="6A99840E">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 xml:space="preserve">1.00 </w:t>
            </w:r>
          </w:p>
        </w:tc>
        <w:tc>
          <w:tcPr>
            <w:tcW w:w="939" w:type="dxa"/>
            <w:shd w:val="clear" w:color="auto" w:fill="auto"/>
            <w:vAlign w:val="center"/>
          </w:tcPr>
          <w:p w14:paraId="72DCB1F9">
            <w:pPr>
              <w:widowControl/>
              <w:adjustRightInd/>
              <w:snapToGrid/>
              <w:spacing w:line="240" w:lineRule="auto"/>
              <w:ind w:firstLine="0" w:firstLineChars="0"/>
              <w:jc w:val="center"/>
              <w:rPr>
                <w:rFonts w:eastAsia="楷体" w:cs="Times New Roman"/>
                <w:kern w:val="0"/>
                <w:sz w:val="21"/>
                <w:szCs w:val="21"/>
              </w:rPr>
            </w:pPr>
          </w:p>
        </w:tc>
      </w:tr>
      <w:tr w14:paraId="3F48E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567" w:hRule="atLeast"/>
        </w:trPr>
        <w:tc>
          <w:tcPr>
            <w:tcW w:w="849" w:type="dxa"/>
            <w:shd w:val="clear" w:color="auto" w:fill="auto"/>
            <w:vAlign w:val="center"/>
          </w:tcPr>
          <w:p w14:paraId="0A91E64F">
            <w:pPr>
              <w:widowControl/>
              <w:adjustRightInd/>
              <w:snapToGrid/>
              <w:spacing w:line="240" w:lineRule="auto"/>
              <w:ind w:firstLine="0" w:firstLineChars="0"/>
              <w:jc w:val="left"/>
              <w:rPr>
                <w:rFonts w:ascii="楷体" w:hAnsi="楷体" w:eastAsia="楷体" w:cs="宋体"/>
                <w:kern w:val="0"/>
                <w:sz w:val="21"/>
                <w:szCs w:val="21"/>
              </w:rPr>
            </w:pPr>
            <w:r>
              <w:rPr>
                <w:rFonts w:hint="eastAsia" w:ascii="楷体" w:hAnsi="楷体" w:eastAsia="楷体" w:cs="宋体"/>
                <w:kern w:val="0"/>
                <w:sz w:val="21"/>
                <w:szCs w:val="21"/>
              </w:rPr>
              <w:t>（9）</w:t>
            </w:r>
          </w:p>
        </w:tc>
        <w:tc>
          <w:tcPr>
            <w:tcW w:w="4108" w:type="dxa"/>
            <w:shd w:val="clear" w:color="auto" w:fill="auto"/>
            <w:vAlign w:val="center"/>
          </w:tcPr>
          <w:p w14:paraId="303C03BD">
            <w:pPr>
              <w:widowControl/>
              <w:adjustRightInd/>
              <w:snapToGrid/>
              <w:spacing w:line="240" w:lineRule="auto"/>
              <w:ind w:firstLine="0" w:firstLineChars="0"/>
              <w:jc w:val="left"/>
              <w:rPr>
                <w:rFonts w:ascii="楷体" w:hAnsi="楷体" w:eastAsia="楷体" w:cs="宋体"/>
                <w:kern w:val="0"/>
                <w:sz w:val="21"/>
                <w:szCs w:val="21"/>
              </w:rPr>
            </w:pPr>
            <w:r>
              <w:rPr>
                <w:rFonts w:hint="eastAsia" w:ascii="楷体" w:hAnsi="楷体" w:eastAsia="楷体" w:cs="宋体"/>
                <w:kern w:val="0"/>
                <w:sz w:val="21"/>
                <w:szCs w:val="21"/>
              </w:rPr>
              <w:t>靖江西来灌区续建配套与节水改造</w:t>
            </w:r>
          </w:p>
        </w:tc>
        <w:tc>
          <w:tcPr>
            <w:tcW w:w="8788" w:type="dxa"/>
            <w:shd w:val="clear" w:color="auto" w:fill="auto"/>
            <w:vAlign w:val="center"/>
          </w:tcPr>
          <w:p w14:paraId="4A7E19BD">
            <w:pPr>
              <w:widowControl/>
              <w:adjustRightInd/>
              <w:snapToGrid/>
              <w:spacing w:line="240" w:lineRule="auto"/>
              <w:ind w:firstLine="0" w:firstLineChars="0"/>
              <w:jc w:val="left"/>
              <w:rPr>
                <w:rFonts w:ascii="楷体" w:hAnsi="楷体" w:eastAsia="楷体" w:cs="Times New Roman"/>
                <w:kern w:val="0"/>
                <w:sz w:val="21"/>
                <w:szCs w:val="21"/>
              </w:rPr>
            </w:pPr>
            <w:r>
              <w:rPr>
                <w:rFonts w:ascii="楷体" w:hAnsi="楷体" w:eastAsia="楷体" w:cs="Times New Roman"/>
                <w:kern w:val="0"/>
                <w:sz w:val="21"/>
                <w:szCs w:val="21"/>
              </w:rPr>
              <w:t>通过项目实施，完善灌区管理设施，提升灌区现代化水平，主要内容为河道整治、新（拆）建渠系配套设施、灌区信息化等。</w:t>
            </w:r>
          </w:p>
        </w:tc>
        <w:tc>
          <w:tcPr>
            <w:tcW w:w="1276" w:type="dxa"/>
            <w:shd w:val="clear" w:color="auto" w:fill="auto"/>
            <w:vAlign w:val="center"/>
          </w:tcPr>
          <w:p w14:paraId="740A2B74">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2026-2030</w:t>
            </w:r>
          </w:p>
        </w:tc>
        <w:tc>
          <w:tcPr>
            <w:tcW w:w="1134" w:type="dxa"/>
            <w:shd w:val="clear" w:color="auto" w:fill="auto"/>
            <w:noWrap/>
            <w:vAlign w:val="center"/>
          </w:tcPr>
          <w:p w14:paraId="219EA01D">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 xml:space="preserve">1.50 </w:t>
            </w:r>
          </w:p>
        </w:tc>
        <w:tc>
          <w:tcPr>
            <w:tcW w:w="1417" w:type="dxa"/>
            <w:shd w:val="clear" w:color="auto" w:fill="auto"/>
            <w:noWrap/>
            <w:vAlign w:val="center"/>
          </w:tcPr>
          <w:p w14:paraId="5F06AF65">
            <w:pPr>
              <w:widowControl/>
              <w:adjustRightInd/>
              <w:snapToGrid/>
              <w:spacing w:line="240" w:lineRule="auto"/>
              <w:ind w:firstLine="0" w:firstLineChars="0"/>
              <w:jc w:val="center"/>
              <w:rPr>
                <w:rFonts w:eastAsia="楷体" w:cs="Times New Roman"/>
                <w:kern w:val="0"/>
                <w:sz w:val="21"/>
                <w:szCs w:val="21"/>
              </w:rPr>
            </w:pPr>
          </w:p>
        </w:tc>
        <w:tc>
          <w:tcPr>
            <w:tcW w:w="1570" w:type="dxa"/>
            <w:shd w:val="clear" w:color="auto" w:fill="auto"/>
            <w:vAlign w:val="center"/>
          </w:tcPr>
          <w:p w14:paraId="3F3DFB20">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 xml:space="preserve">0.50 </w:t>
            </w:r>
          </w:p>
        </w:tc>
        <w:tc>
          <w:tcPr>
            <w:tcW w:w="1276" w:type="dxa"/>
            <w:shd w:val="clear" w:color="auto" w:fill="auto"/>
            <w:noWrap/>
            <w:vAlign w:val="center"/>
          </w:tcPr>
          <w:p w14:paraId="22AA1B38">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 xml:space="preserve">1.00 </w:t>
            </w:r>
          </w:p>
        </w:tc>
        <w:tc>
          <w:tcPr>
            <w:tcW w:w="939" w:type="dxa"/>
            <w:shd w:val="clear" w:color="auto" w:fill="auto"/>
            <w:vAlign w:val="center"/>
          </w:tcPr>
          <w:p w14:paraId="242BEE78">
            <w:pPr>
              <w:widowControl/>
              <w:adjustRightInd/>
              <w:snapToGrid/>
              <w:spacing w:line="240" w:lineRule="auto"/>
              <w:ind w:firstLine="0" w:firstLineChars="0"/>
              <w:jc w:val="center"/>
              <w:rPr>
                <w:rFonts w:eastAsia="楷体" w:cs="Times New Roman"/>
                <w:kern w:val="0"/>
                <w:sz w:val="21"/>
                <w:szCs w:val="21"/>
              </w:rPr>
            </w:pPr>
          </w:p>
        </w:tc>
      </w:tr>
      <w:tr w14:paraId="375FF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567" w:hRule="atLeast"/>
        </w:trPr>
        <w:tc>
          <w:tcPr>
            <w:tcW w:w="849" w:type="dxa"/>
            <w:shd w:val="clear" w:color="auto" w:fill="auto"/>
            <w:noWrap/>
            <w:vAlign w:val="center"/>
          </w:tcPr>
          <w:p w14:paraId="2758F88A">
            <w:pPr>
              <w:widowControl/>
              <w:adjustRightInd/>
              <w:snapToGrid/>
              <w:spacing w:line="240" w:lineRule="auto"/>
              <w:ind w:firstLine="0" w:firstLineChars="0"/>
              <w:jc w:val="left"/>
              <w:rPr>
                <w:rFonts w:ascii="楷体" w:hAnsi="楷体" w:eastAsia="楷体" w:cs="Times New Roman"/>
                <w:b/>
                <w:bCs/>
                <w:kern w:val="0"/>
                <w:sz w:val="21"/>
                <w:szCs w:val="21"/>
              </w:rPr>
            </w:pPr>
            <w:r>
              <w:rPr>
                <w:rFonts w:hint="eastAsia" w:ascii="楷体" w:hAnsi="楷体" w:eastAsia="楷体" w:cs="Times New Roman"/>
                <w:b/>
                <w:bCs/>
                <w:kern w:val="0"/>
                <w:sz w:val="21"/>
                <w:szCs w:val="21"/>
              </w:rPr>
              <w:t>（四）</w:t>
            </w:r>
          </w:p>
        </w:tc>
        <w:tc>
          <w:tcPr>
            <w:tcW w:w="4108" w:type="dxa"/>
            <w:shd w:val="clear" w:color="auto" w:fill="auto"/>
            <w:noWrap/>
            <w:vAlign w:val="center"/>
          </w:tcPr>
          <w:p w14:paraId="57D6A021">
            <w:pPr>
              <w:widowControl/>
              <w:adjustRightInd/>
              <w:snapToGrid/>
              <w:spacing w:line="240" w:lineRule="auto"/>
              <w:ind w:firstLine="0" w:firstLineChars="0"/>
              <w:jc w:val="left"/>
              <w:rPr>
                <w:rFonts w:ascii="楷体" w:hAnsi="楷体" w:eastAsia="楷体" w:cs="宋体"/>
                <w:b/>
                <w:bCs/>
                <w:kern w:val="0"/>
                <w:sz w:val="21"/>
                <w:szCs w:val="21"/>
              </w:rPr>
            </w:pPr>
            <w:r>
              <w:rPr>
                <w:rFonts w:hint="eastAsia" w:ascii="楷体" w:hAnsi="楷体" w:eastAsia="楷体" w:cs="宋体"/>
                <w:b/>
                <w:bCs/>
                <w:kern w:val="0"/>
                <w:sz w:val="21"/>
                <w:szCs w:val="21"/>
              </w:rPr>
              <w:t>高标准农田改造提升工程</w:t>
            </w:r>
          </w:p>
        </w:tc>
        <w:tc>
          <w:tcPr>
            <w:tcW w:w="8788" w:type="dxa"/>
            <w:shd w:val="clear" w:color="auto" w:fill="auto"/>
            <w:vAlign w:val="center"/>
          </w:tcPr>
          <w:p w14:paraId="56BD608F">
            <w:pPr>
              <w:widowControl/>
              <w:adjustRightInd/>
              <w:snapToGrid/>
              <w:spacing w:line="240" w:lineRule="auto"/>
              <w:ind w:firstLine="0" w:firstLineChars="0"/>
              <w:jc w:val="left"/>
              <w:rPr>
                <w:rFonts w:ascii="楷体" w:hAnsi="楷体" w:eastAsia="楷体" w:cs="Times New Roman"/>
                <w:kern w:val="0"/>
                <w:sz w:val="21"/>
                <w:szCs w:val="21"/>
              </w:rPr>
            </w:pPr>
            <w:r>
              <w:rPr>
                <w:rFonts w:ascii="楷体" w:hAnsi="楷体" w:eastAsia="楷体" w:cs="Times New Roman"/>
                <w:kern w:val="0"/>
                <w:sz w:val="21"/>
                <w:szCs w:val="21"/>
              </w:rPr>
              <w:t>改造提升高标准农田205.76万亩，其中新建高标准农田104.05万亩，改造提升高标准农田101.71万亩。主要建设内容包括灌溉和排水、土壤改良、田块整治、田间道路、管护利用等。</w:t>
            </w:r>
          </w:p>
        </w:tc>
        <w:tc>
          <w:tcPr>
            <w:tcW w:w="1276" w:type="dxa"/>
            <w:shd w:val="clear" w:color="auto" w:fill="auto"/>
            <w:vAlign w:val="center"/>
          </w:tcPr>
          <w:p w14:paraId="5D16A659">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2024-2035</w:t>
            </w:r>
          </w:p>
        </w:tc>
        <w:tc>
          <w:tcPr>
            <w:tcW w:w="1134" w:type="dxa"/>
            <w:shd w:val="clear" w:color="auto" w:fill="auto"/>
            <w:noWrap/>
            <w:vAlign w:val="center"/>
          </w:tcPr>
          <w:p w14:paraId="1C716A10">
            <w:pPr>
              <w:widowControl/>
              <w:adjustRightInd/>
              <w:snapToGrid/>
              <w:spacing w:line="240" w:lineRule="auto"/>
              <w:ind w:firstLine="0" w:firstLineChars="0"/>
              <w:jc w:val="center"/>
              <w:rPr>
                <w:rFonts w:eastAsia="楷体" w:cs="Times New Roman"/>
                <w:b/>
                <w:bCs/>
                <w:kern w:val="0"/>
                <w:sz w:val="21"/>
                <w:szCs w:val="21"/>
              </w:rPr>
            </w:pPr>
            <w:r>
              <w:rPr>
                <w:rFonts w:eastAsia="楷体" w:cs="Times New Roman"/>
                <w:b/>
                <w:bCs/>
                <w:kern w:val="0"/>
                <w:sz w:val="21"/>
                <w:szCs w:val="21"/>
              </w:rPr>
              <w:t xml:space="preserve">22.70 </w:t>
            </w:r>
          </w:p>
        </w:tc>
        <w:tc>
          <w:tcPr>
            <w:tcW w:w="1417" w:type="dxa"/>
            <w:shd w:val="clear" w:color="auto" w:fill="auto"/>
            <w:noWrap/>
            <w:vAlign w:val="center"/>
          </w:tcPr>
          <w:p w14:paraId="234BC11C">
            <w:pPr>
              <w:widowControl/>
              <w:adjustRightInd/>
              <w:snapToGrid/>
              <w:spacing w:line="240" w:lineRule="auto"/>
              <w:ind w:firstLine="0" w:firstLineChars="0"/>
              <w:jc w:val="center"/>
              <w:rPr>
                <w:rFonts w:eastAsia="楷体" w:cs="Times New Roman"/>
                <w:b/>
                <w:bCs/>
                <w:kern w:val="0"/>
                <w:sz w:val="21"/>
                <w:szCs w:val="21"/>
              </w:rPr>
            </w:pPr>
            <w:r>
              <w:rPr>
                <w:rFonts w:eastAsia="楷体" w:cs="Times New Roman"/>
                <w:b/>
                <w:bCs/>
                <w:kern w:val="0"/>
                <w:sz w:val="21"/>
                <w:szCs w:val="21"/>
              </w:rPr>
              <w:t xml:space="preserve">3.20 </w:t>
            </w:r>
          </w:p>
        </w:tc>
        <w:tc>
          <w:tcPr>
            <w:tcW w:w="1570" w:type="dxa"/>
            <w:shd w:val="clear" w:color="auto" w:fill="auto"/>
            <w:noWrap/>
            <w:vAlign w:val="center"/>
          </w:tcPr>
          <w:p w14:paraId="5BD9DBBE">
            <w:pPr>
              <w:widowControl/>
              <w:adjustRightInd/>
              <w:snapToGrid/>
              <w:spacing w:line="240" w:lineRule="auto"/>
              <w:ind w:firstLine="0" w:firstLineChars="0"/>
              <w:jc w:val="center"/>
              <w:rPr>
                <w:rFonts w:eastAsia="楷体" w:cs="Times New Roman"/>
                <w:b/>
                <w:bCs/>
                <w:kern w:val="0"/>
                <w:sz w:val="21"/>
                <w:szCs w:val="21"/>
              </w:rPr>
            </w:pPr>
            <w:r>
              <w:rPr>
                <w:rFonts w:eastAsia="楷体" w:cs="Times New Roman"/>
                <w:b/>
                <w:bCs/>
                <w:kern w:val="0"/>
                <w:sz w:val="21"/>
                <w:szCs w:val="21"/>
              </w:rPr>
              <w:t xml:space="preserve">7.49 </w:t>
            </w:r>
          </w:p>
        </w:tc>
        <w:tc>
          <w:tcPr>
            <w:tcW w:w="1276" w:type="dxa"/>
            <w:shd w:val="clear" w:color="auto" w:fill="auto"/>
            <w:noWrap/>
            <w:vAlign w:val="center"/>
          </w:tcPr>
          <w:p w14:paraId="7C25FDE8">
            <w:pPr>
              <w:widowControl/>
              <w:adjustRightInd/>
              <w:snapToGrid/>
              <w:spacing w:line="240" w:lineRule="auto"/>
              <w:ind w:firstLine="0" w:firstLineChars="0"/>
              <w:jc w:val="center"/>
              <w:rPr>
                <w:rFonts w:eastAsia="楷体" w:cs="Times New Roman"/>
                <w:b/>
                <w:bCs/>
                <w:kern w:val="0"/>
                <w:sz w:val="21"/>
                <w:szCs w:val="21"/>
              </w:rPr>
            </w:pPr>
            <w:r>
              <w:rPr>
                <w:rFonts w:eastAsia="楷体" w:cs="Times New Roman"/>
                <w:b/>
                <w:bCs/>
                <w:kern w:val="0"/>
                <w:sz w:val="21"/>
                <w:szCs w:val="21"/>
              </w:rPr>
              <w:t xml:space="preserve">12.01 </w:t>
            </w:r>
          </w:p>
        </w:tc>
        <w:tc>
          <w:tcPr>
            <w:tcW w:w="939" w:type="dxa"/>
            <w:shd w:val="clear" w:color="auto" w:fill="auto"/>
            <w:noWrap/>
            <w:vAlign w:val="center"/>
          </w:tcPr>
          <w:p w14:paraId="145E7628">
            <w:pPr>
              <w:widowControl/>
              <w:adjustRightInd/>
              <w:snapToGrid/>
              <w:spacing w:line="240" w:lineRule="auto"/>
              <w:ind w:firstLine="0" w:firstLineChars="0"/>
              <w:jc w:val="center"/>
              <w:rPr>
                <w:rFonts w:eastAsia="楷体" w:cs="Times New Roman"/>
                <w:b/>
                <w:bCs/>
                <w:kern w:val="0"/>
                <w:sz w:val="21"/>
                <w:szCs w:val="21"/>
              </w:rPr>
            </w:pPr>
          </w:p>
        </w:tc>
      </w:tr>
      <w:tr w14:paraId="44A42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567" w:hRule="atLeast"/>
        </w:trPr>
        <w:tc>
          <w:tcPr>
            <w:tcW w:w="849" w:type="dxa"/>
            <w:shd w:val="clear" w:color="000000" w:fill="E7E6E6"/>
            <w:vAlign w:val="center"/>
          </w:tcPr>
          <w:p w14:paraId="5B411853">
            <w:pPr>
              <w:widowControl/>
              <w:adjustRightInd/>
              <w:snapToGrid/>
              <w:spacing w:line="240" w:lineRule="auto"/>
              <w:ind w:firstLine="0" w:firstLineChars="0"/>
              <w:jc w:val="left"/>
              <w:rPr>
                <w:rFonts w:ascii="楷体" w:hAnsi="楷体" w:eastAsia="楷体" w:cs="Times New Roman"/>
                <w:b/>
                <w:bCs/>
                <w:kern w:val="0"/>
                <w:szCs w:val="21"/>
              </w:rPr>
            </w:pPr>
            <w:r>
              <w:rPr>
                <w:rFonts w:hint="eastAsia" w:ascii="楷体" w:hAnsi="楷体" w:eastAsia="楷体" w:cs="Times New Roman"/>
                <w:b/>
                <w:bCs/>
                <w:kern w:val="0"/>
                <w:szCs w:val="21"/>
              </w:rPr>
              <w:t>三</w:t>
            </w:r>
          </w:p>
        </w:tc>
        <w:tc>
          <w:tcPr>
            <w:tcW w:w="4108" w:type="dxa"/>
            <w:shd w:val="clear" w:color="000000" w:fill="E7E6E6"/>
            <w:vAlign w:val="center"/>
          </w:tcPr>
          <w:p w14:paraId="5EF628B7">
            <w:pPr>
              <w:widowControl/>
              <w:adjustRightInd/>
              <w:snapToGrid/>
              <w:spacing w:line="240" w:lineRule="auto"/>
              <w:ind w:firstLine="0" w:firstLineChars="0"/>
              <w:jc w:val="left"/>
              <w:rPr>
                <w:rFonts w:ascii="楷体" w:hAnsi="楷体" w:eastAsia="楷体" w:cs="宋体"/>
                <w:b/>
                <w:bCs/>
                <w:kern w:val="0"/>
                <w:szCs w:val="21"/>
              </w:rPr>
            </w:pPr>
            <w:r>
              <w:rPr>
                <w:rFonts w:hint="eastAsia" w:ascii="楷体" w:hAnsi="楷体" w:eastAsia="楷体" w:cs="宋体"/>
                <w:b/>
                <w:bCs/>
                <w:kern w:val="0"/>
                <w:szCs w:val="21"/>
              </w:rPr>
              <w:t>水生态保护与修复工程</w:t>
            </w:r>
          </w:p>
        </w:tc>
        <w:tc>
          <w:tcPr>
            <w:tcW w:w="8788" w:type="dxa"/>
            <w:shd w:val="clear" w:color="000000" w:fill="E7E6E6"/>
            <w:vAlign w:val="center"/>
          </w:tcPr>
          <w:p w14:paraId="57F2CF12">
            <w:pPr>
              <w:widowControl/>
              <w:adjustRightInd/>
              <w:snapToGrid/>
              <w:spacing w:line="240" w:lineRule="auto"/>
              <w:ind w:firstLine="0" w:firstLineChars="0"/>
              <w:jc w:val="left"/>
              <w:rPr>
                <w:rFonts w:ascii="楷体" w:hAnsi="楷体" w:eastAsia="楷体" w:cs="Times New Roman"/>
                <w:b/>
                <w:bCs/>
                <w:kern w:val="0"/>
                <w:szCs w:val="21"/>
              </w:rPr>
            </w:pPr>
          </w:p>
        </w:tc>
        <w:tc>
          <w:tcPr>
            <w:tcW w:w="1276" w:type="dxa"/>
            <w:shd w:val="clear" w:color="000000" w:fill="E7E6E6"/>
            <w:vAlign w:val="center"/>
          </w:tcPr>
          <w:p w14:paraId="21251647">
            <w:pPr>
              <w:widowControl/>
              <w:adjustRightInd/>
              <w:snapToGrid/>
              <w:spacing w:line="240" w:lineRule="auto"/>
              <w:ind w:firstLine="0" w:firstLineChars="0"/>
              <w:jc w:val="center"/>
              <w:rPr>
                <w:rFonts w:eastAsia="楷体" w:cs="Times New Roman"/>
                <w:b/>
                <w:bCs/>
                <w:kern w:val="0"/>
                <w:szCs w:val="21"/>
              </w:rPr>
            </w:pPr>
          </w:p>
        </w:tc>
        <w:tc>
          <w:tcPr>
            <w:tcW w:w="1134" w:type="dxa"/>
            <w:shd w:val="clear" w:color="000000" w:fill="E7E6E6"/>
            <w:vAlign w:val="center"/>
          </w:tcPr>
          <w:p w14:paraId="26D925C8">
            <w:pPr>
              <w:widowControl/>
              <w:adjustRightInd/>
              <w:snapToGrid/>
              <w:spacing w:line="240" w:lineRule="auto"/>
              <w:ind w:firstLine="0" w:firstLineChars="0"/>
              <w:jc w:val="center"/>
              <w:rPr>
                <w:rFonts w:eastAsia="楷体" w:cs="Times New Roman"/>
                <w:b/>
                <w:bCs/>
                <w:kern w:val="0"/>
                <w:szCs w:val="21"/>
              </w:rPr>
            </w:pPr>
            <w:r>
              <w:rPr>
                <w:rFonts w:eastAsia="楷体" w:cs="Times New Roman"/>
                <w:b/>
                <w:bCs/>
                <w:kern w:val="0"/>
                <w:szCs w:val="21"/>
              </w:rPr>
              <w:t xml:space="preserve">95.49 </w:t>
            </w:r>
          </w:p>
        </w:tc>
        <w:tc>
          <w:tcPr>
            <w:tcW w:w="1417" w:type="dxa"/>
            <w:shd w:val="clear" w:color="000000" w:fill="E7E6E6"/>
            <w:vAlign w:val="center"/>
          </w:tcPr>
          <w:p w14:paraId="2EBAAF5B">
            <w:pPr>
              <w:widowControl/>
              <w:adjustRightInd/>
              <w:snapToGrid/>
              <w:spacing w:line="240" w:lineRule="auto"/>
              <w:ind w:firstLine="0" w:firstLineChars="0"/>
              <w:jc w:val="center"/>
              <w:rPr>
                <w:rFonts w:eastAsia="楷体" w:cs="Times New Roman"/>
                <w:b/>
                <w:bCs/>
                <w:kern w:val="0"/>
                <w:szCs w:val="21"/>
              </w:rPr>
            </w:pPr>
            <w:r>
              <w:rPr>
                <w:rFonts w:eastAsia="楷体" w:cs="Times New Roman"/>
                <w:b/>
                <w:bCs/>
                <w:kern w:val="0"/>
                <w:szCs w:val="21"/>
              </w:rPr>
              <w:t xml:space="preserve">12.41 </w:t>
            </w:r>
          </w:p>
        </w:tc>
        <w:tc>
          <w:tcPr>
            <w:tcW w:w="1570" w:type="dxa"/>
            <w:shd w:val="clear" w:color="000000" w:fill="E7E6E6"/>
            <w:vAlign w:val="center"/>
          </w:tcPr>
          <w:p w14:paraId="5A41960D">
            <w:pPr>
              <w:widowControl/>
              <w:adjustRightInd/>
              <w:snapToGrid/>
              <w:spacing w:line="240" w:lineRule="auto"/>
              <w:ind w:firstLine="0" w:firstLineChars="0"/>
              <w:jc w:val="center"/>
              <w:rPr>
                <w:rFonts w:eastAsia="楷体" w:cs="Times New Roman"/>
                <w:b/>
                <w:bCs/>
                <w:kern w:val="0"/>
                <w:szCs w:val="21"/>
              </w:rPr>
            </w:pPr>
            <w:r>
              <w:rPr>
                <w:rFonts w:eastAsia="楷体" w:cs="Times New Roman"/>
                <w:b/>
                <w:bCs/>
                <w:kern w:val="0"/>
                <w:szCs w:val="21"/>
              </w:rPr>
              <w:t xml:space="preserve">40.76 </w:t>
            </w:r>
          </w:p>
        </w:tc>
        <w:tc>
          <w:tcPr>
            <w:tcW w:w="1276" w:type="dxa"/>
            <w:shd w:val="clear" w:color="000000" w:fill="E7E6E6"/>
            <w:vAlign w:val="center"/>
          </w:tcPr>
          <w:p w14:paraId="65504009">
            <w:pPr>
              <w:widowControl/>
              <w:adjustRightInd/>
              <w:snapToGrid/>
              <w:spacing w:line="240" w:lineRule="auto"/>
              <w:ind w:firstLine="0" w:firstLineChars="0"/>
              <w:jc w:val="center"/>
              <w:rPr>
                <w:rFonts w:eastAsia="楷体" w:cs="Times New Roman"/>
                <w:b/>
                <w:bCs/>
                <w:kern w:val="0"/>
                <w:szCs w:val="21"/>
              </w:rPr>
            </w:pPr>
            <w:r>
              <w:rPr>
                <w:rFonts w:eastAsia="楷体" w:cs="Times New Roman"/>
                <w:b/>
                <w:bCs/>
                <w:kern w:val="0"/>
                <w:szCs w:val="21"/>
              </w:rPr>
              <w:t xml:space="preserve">42.32 </w:t>
            </w:r>
          </w:p>
        </w:tc>
        <w:tc>
          <w:tcPr>
            <w:tcW w:w="939" w:type="dxa"/>
            <w:shd w:val="clear" w:color="000000" w:fill="E7E6E6"/>
            <w:vAlign w:val="center"/>
          </w:tcPr>
          <w:p w14:paraId="015BFA63">
            <w:pPr>
              <w:widowControl/>
              <w:adjustRightInd/>
              <w:snapToGrid/>
              <w:spacing w:line="240" w:lineRule="auto"/>
              <w:ind w:firstLine="0" w:firstLineChars="0"/>
              <w:jc w:val="center"/>
              <w:rPr>
                <w:rFonts w:eastAsia="楷体" w:cs="Times New Roman"/>
                <w:b/>
                <w:bCs/>
                <w:kern w:val="0"/>
                <w:szCs w:val="21"/>
              </w:rPr>
            </w:pPr>
            <w:r>
              <w:rPr>
                <w:rFonts w:eastAsia="楷体" w:cs="Times New Roman"/>
                <w:b/>
                <w:bCs/>
                <w:kern w:val="0"/>
                <w:szCs w:val="21"/>
              </w:rPr>
              <w:t>2191</w:t>
            </w:r>
          </w:p>
        </w:tc>
      </w:tr>
      <w:tr w14:paraId="62018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567" w:hRule="atLeast"/>
        </w:trPr>
        <w:tc>
          <w:tcPr>
            <w:tcW w:w="849" w:type="dxa"/>
            <w:shd w:val="clear" w:color="auto" w:fill="auto"/>
            <w:noWrap/>
            <w:vAlign w:val="center"/>
          </w:tcPr>
          <w:p w14:paraId="6A69E3BD">
            <w:pPr>
              <w:widowControl/>
              <w:adjustRightInd/>
              <w:snapToGrid/>
              <w:spacing w:line="240" w:lineRule="auto"/>
              <w:ind w:firstLine="0" w:firstLineChars="0"/>
              <w:jc w:val="left"/>
              <w:rPr>
                <w:rFonts w:ascii="楷体" w:hAnsi="楷体" w:eastAsia="楷体" w:cs="Times New Roman"/>
                <w:b/>
                <w:bCs/>
                <w:kern w:val="0"/>
                <w:sz w:val="21"/>
                <w:szCs w:val="21"/>
              </w:rPr>
            </w:pPr>
            <w:r>
              <w:rPr>
                <w:rFonts w:hint="eastAsia" w:ascii="楷体" w:hAnsi="楷体" w:eastAsia="楷体" w:cs="Times New Roman"/>
                <w:b/>
                <w:bCs/>
                <w:kern w:val="0"/>
                <w:sz w:val="21"/>
                <w:szCs w:val="21"/>
              </w:rPr>
              <w:t>（一）</w:t>
            </w:r>
          </w:p>
        </w:tc>
        <w:tc>
          <w:tcPr>
            <w:tcW w:w="4108" w:type="dxa"/>
            <w:shd w:val="clear" w:color="auto" w:fill="auto"/>
            <w:noWrap/>
            <w:vAlign w:val="center"/>
          </w:tcPr>
          <w:p w14:paraId="7819735F">
            <w:pPr>
              <w:widowControl/>
              <w:adjustRightInd/>
              <w:snapToGrid/>
              <w:spacing w:line="240" w:lineRule="auto"/>
              <w:ind w:firstLine="0" w:firstLineChars="0"/>
              <w:jc w:val="left"/>
              <w:rPr>
                <w:rFonts w:ascii="楷体" w:hAnsi="楷体" w:eastAsia="楷体" w:cs="宋体"/>
                <w:b/>
                <w:bCs/>
                <w:kern w:val="0"/>
                <w:sz w:val="21"/>
                <w:szCs w:val="21"/>
              </w:rPr>
            </w:pPr>
            <w:r>
              <w:rPr>
                <w:rFonts w:hint="eastAsia" w:ascii="楷体" w:hAnsi="楷体" w:eastAsia="楷体" w:cs="宋体"/>
                <w:b/>
                <w:bCs/>
                <w:kern w:val="0"/>
                <w:sz w:val="21"/>
                <w:szCs w:val="21"/>
              </w:rPr>
              <w:t>湖泊湖荡生态修复工程</w:t>
            </w:r>
          </w:p>
        </w:tc>
        <w:tc>
          <w:tcPr>
            <w:tcW w:w="8788" w:type="dxa"/>
            <w:shd w:val="clear" w:color="auto" w:fill="auto"/>
            <w:vAlign w:val="center"/>
          </w:tcPr>
          <w:p w14:paraId="0B1BEAFF">
            <w:pPr>
              <w:widowControl/>
              <w:adjustRightInd/>
              <w:snapToGrid/>
              <w:spacing w:line="240" w:lineRule="auto"/>
              <w:ind w:firstLine="0" w:firstLineChars="0"/>
              <w:jc w:val="left"/>
              <w:rPr>
                <w:rFonts w:ascii="楷体" w:hAnsi="楷体" w:eastAsia="楷体" w:cs="Times New Roman"/>
                <w:kern w:val="0"/>
                <w:sz w:val="21"/>
                <w:szCs w:val="21"/>
              </w:rPr>
            </w:pPr>
            <w:r>
              <w:rPr>
                <w:rFonts w:ascii="楷体" w:hAnsi="楷体" w:eastAsia="楷体" w:cs="Times New Roman"/>
                <w:kern w:val="0"/>
                <w:sz w:val="21"/>
                <w:szCs w:val="21"/>
              </w:rPr>
              <w:t>根据最新规划要求，对大纵湖、洋汊荡、得胜湖、菜花荡、蜈蚣湖、蜈蚣湖南荡、平旺湖、乌巾荡、耿家荡、东潭、林湖、癞子荡、沙沟南荡、郭正湖、花粉荡、官庄荡、兴盛荡、王庄荡、广洋湖、喜鹊湖、龙溪港、夏家汪22个湖泊湖荡实施生态修复、退圩（渔）还湖（湿），复苏湖泊湖荡生态环境，提高湖泊调蓄库容，工程涉及兴化、姜堰、海陵三地区。</w:t>
            </w:r>
          </w:p>
        </w:tc>
        <w:tc>
          <w:tcPr>
            <w:tcW w:w="1276" w:type="dxa"/>
            <w:shd w:val="clear" w:color="auto" w:fill="auto"/>
            <w:vAlign w:val="center"/>
          </w:tcPr>
          <w:p w14:paraId="1C7672E8">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2025-2035</w:t>
            </w:r>
          </w:p>
        </w:tc>
        <w:tc>
          <w:tcPr>
            <w:tcW w:w="1134" w:type="dxa"/>
            <w:shd w:val="clear" w:color="auto" w:fill="auto"/>
            <w:noWrap/>
            <w:vAlign w:val="center"/>
          </w:tcPr>
          <w:p w14:paraId="102B8B3F">
            <w:pPr>
              <w:widowControl/>
              <w:adjustRightInd/>
              <w:snapToGrid/>
              <w:spacing w:line="240" w:lineRule="auto"/>
              <w:ind w:firstLine="0" w:firstLineChars="0"/>
              <w:jc w:val="center"/>
              <w:rPr>
                <w:rFonts w:eastAsia="楷体" w:cs="Times New Roman"/>
                <w:b/>
                <w:bCs/>
                <w:kern w:val="0"/>
                <w:sz w:val="21"/>
                <w:szCs w:val="21"/>
              </w:rPr>
            </w:pPr>
            <w:r>
              <w:rPr>
                <w:rFonts w:eastAsia="楷体" w:cs="Times New Roman"/>
                <w:b/>
                <w:bCs/>
                <w:kern w:val="0"/>
                <w:sz w:val="21"/>
                <w:szCs w:val="21"/>
              </w:rPr>
              <w:t xml:space="preserve">22.00 </w:t>
            </w:r>
          </w:p>
        </w:tc>
        <w:tc>
          <w:tcPr>
            <w:tcW w:w="1417" w:type="dxa"/>
            <w:shd w:val="clear" w:color="auto" w:fill="auto"/>
            <w:noWrap/>
            <w:vAlign w:val="center"/>
          </w:tcPr>
          <w:p w14:paraId="4FDC98C9">
            <w:pPr>
              <w:widowControl/>
              <w:adjustRightInd/>
              <w:snapToGrid/>
              <w:spacing w:line="240" w:lineRule="auto"/>
              <w:ind w:firstLine="0" w:firstLineChars="0"/>
              <w:jc w:val="center"/>
              <w:rPr>
                <w:rFonts w:eastAsia="楷体" w:cs="Times New Roman"/>
                <w:b/>
                <w:bCs/>
                <w:kern w:val="0"/>
                <w:sz w:val="21"/>
                <w:szCs w:val="21"/>
              </w:rPr>
            </w:pPr>
            <w:r>
              <w:rPr>
                <w:rFonts w:eastAsia="楷体" w:cs="Times New Roman"/>
                <w:b/>
                <w:bCs/>
                <w:kern w:val="0"/>
                <w:sz w:val="21"/>
                <w:szCs w:val="21"/>
              </w:rPr>
              <w:t xml:space="preserve">1.70 </w:t>
            </w:r>
          </w:p>
        </w:tc>
        <w:tc>
          <w:tcPr>
            <w:tcW w:w="1570" w:type="dxa"/>
            <w:shd w:val="clear" w:color="auto" w:fill="auto"/>
            <w:noWrap/>
            <w:vAlign w:val="center"/>
          </w:tcPr>
          <w:p w14:paraId="44B37D8E">
            <w:pPr>
              <w:widowControl/>
              <w:adjustRightInd/>
              <w:snapToGrid/>
              <w:spacing w:line="240" w:lineRule="auto"/>
              <w:ind w:firstLine="0" w:firstLineChars="0"/>
              <w:jc w:val="center"/>
              <w:rPr>
                <w:rFonts w:eastAsia="楷体" w:cs="Times New Roman"/>
                <w:b/>
                <w:bCs/>
                <w:kern w:val="0"/>
                <w:sz w:val="21"/>
                <w:szCs w:val="21"/>
              </w:rPr>
            </w:pPr>
            <w:r>
              <w:rPr>
                <w:rFonts w:eastAsia="楷体" w:cs="Times New Roman"/>
                <w:b/>
                <w:bCs/>
                <w:kern w:val="0"/>
                <w:sz w:val="21"/>
                <w:szCs w:val="21"/>
              </w:rPr>
              <w:t xml:space="preserve">7.80 </w:t>
            </w:r>
          </w:p>
        </w:tc>
        <w:tc>
          <w:tcPr>
            <w:tcW w:w="1276" w:type="dxa"/>
            <w:shd w:val="clear" w:color="auto" w:fill="auto"/>
            <w:noWrap/>
            <w:vAlign w:val="center"/>
          </w:tcPr>
          <w:p w14:paraId="25B6D5D6">
            <w:pPr>
              <w:widowControl/>
              <w:adjustRightInd/>
              <w:snapToGrid/>
              <w:spacing w:line="240" w:lineRule="auto"/>
              <w:ind w:firstLine="0" w:firstLineChars="0"/>
              <w:jc w:val="center"/>
              <w:rPr>
                <w:rFonts w:eastAsia="楷体" w:cs="Times New Roman"/>
                <w:b/>
                <w:bCs/>
                <w:kern w:val="0"/>
                <w:sz w:val="21"/>
                <w:szCs w:val="21"/>
              </w:rPr>
            </w:pPr>
            <w:r>
              <w:rPr>
                <w:rFonts w:eastAsia="楷体" w:cs="Times New Roman"/>
                <w:b/>
                <w:bCs/>
                <w:kern w:val="0"/>
                <w:sz w:val="21"/>
                <w:szCs w:val="21"/>
              </w:rPr>
              <w:t xml:space="preserve">12.50 </w:t>
            </w:r>
          </w:p>
        </w:tc>
        <w:tc>
          <w:tcPr>
            <w:tcW w:w="939" w:type="dxa"/>
            <w:shd w:val="clear" w:color="auto" w:fill="auto"/>
            <w:vAlign w:val="center"/>
          </w:tcPr>
          <w:p w14:paraId="2E81ABFD">
            <w:pPr>
              <w:widowControl/>
              <w:adjustRightInd/>
              <w:snapToGrid/>
              <w:spacing w:line="240" w:lineRule="auto"/>
              <w:ind w:firstLine="0" w:firstLineChars="0"/>
              <w:jc w:val="center"/>
              <w:rPr>
                <w:rFonts w:eastAsia="楷体" w:cs="Times New Roman"/>
                <w:b/>
                <w:bCs/>
                <w:kern w:val="0"/>
                <w:sz w:val="21"/>
                <w:szCs w:val="21"/>
              </w:rPr>
            </w:pPr>
            <w:r>
              <w:rPr>
                <w:rFonts w:eastAsia="楷体" w:cs="Times New Roman"/>
                <w:b/>
                <w:bCs/>
                <w:kern w:val="0"/>
                <w:sz w:val="21"/>
                <w:szCs w:val="21"/>
              </w:rPr>
              <w:t xml:space="preserve">1253 </w:t>
            </w:r>
          </w:p>
        </w:tc>
      </w:tr>
      <w:tr w14:paraId="13CD9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567" w:hRule="atLeast"/>
        </w:trPr>
        <w:tc>
          <w:tcPr>
            <w:tcW w:w="849" w:type="dxa"/>
            <w:shd w:val="clear" w:color="auto" w:fill="auto"/>
            <w:noWrap/>
            <w:vAlign w:val="center"/>
          </w:tcPr>
          <w:p w14:paraId="6A1E37EE">
            <w:pPr>
              <w:widowControl/>
              <w:adjustRightInd/>
              <w:snapToGrid/>
              <w:spacing w:line="240" w:lineRule="auto"/>
              <w:ind w:firstLine="0" w:firstLineChars="0"/>
              <w:jc w:val="left"/>
              <w:rPr>
                <w:rFonts w:ascii="楷体" w:hAnsi="楷体" w:eastAsia="楷体" w:cs="Times New Roman"/>
                <w:b/>
                <w:bCs/>
                <w:kern w:val="0"/>
                <w:sz w:val="21"/>
                <w:szCs w:val="21"/>
              </w:rPr>
            </w:pPr>
            <w:r>
              <w:rPr>
                <w:rFonts w:hint="eastAsia" w:ascii="楷体" w:hAnsi="楷体" w:eastAsia="楷体" w:cs="Times New Roman"/>
                <w:b/>
                <w:bCs/>
                <w:kern w:val="0"/>
                <w:sz w:val="21"/>
                <w:szCs w:val="21"/>
              </w:rPr>
              <w:t>（二）</w:t>
            </w:r>
          </w:p>
        </w:tc>
        <w:tc>
          <w:tcPr>
            <w:tcW w:w="4108" w:type="dxa"/>
            <w:shd w:val="clear" w:color="auto" w:fill="auto"/>
            <w:noWrap/>
            <w:vAlign w:val="center"/>
          </w:tcPr>
          <w:p w14:paraId="698478F0">
            <w:pPr>
              <w:widowControl/>
              <w:adjustRightInd/>
              <w:snapToGrid/>
              <w:spacing w:line="240" w:lineRule="auto"/>
              <w:ind w:firstLine="0" w:firstLineChars="0"/>
              <w:jc w:val="left"/>
              <w:rPr>
                <w:rFonts w:ascii="楷体" w:hAnsi="楷体" w:eastAsia="楷体" w:cs="宋体"/>
                <w:b/>
                <w:bCs/>
                <w:kern w:val="0"/>
                <w:sz w:val="21"/>
                <w:szCs w:val="21"/>
              </w:rPr>
            </w:pPr>
            <w:r>
              <w:rPr>
                <w:rFonts w:hint="eastAsia" w:ascii="楷体" w:hAnsi="楷体" w:eastAsia="楷体" w:cs="宋体"/>
                <w:b/>
                <w:bCs/>
                <w:kern w:val="0"/>
                <w:sz w:val="21"/>
                <w:szCs w:val="21"/>
              </w:rPr>
              <w:t>幸福河湖建设工程</w:t>
            </w:r>
          </w:p>
        </w:tc>
        <w:tc>
          <w:tcPr>
            <w:tcW w:w="8788" w:type="dxa"/>
            <w:shd w:val="clear" w:color="auto" w:fill="auto"/>
            <w:vAlign w:val="center"/>
          </w:tcPr>
          <w:p w14:paraId="57D47A59">
            <w:pPr>
              <w:widowControl/>
              <w:adjustRightInd/>
              <w:snapToGrid/>
              <w:spacing w:line="240" w:lineRule="auto"/>
              <w:ind w:firstLine="0" w:firstLineChars="0"/>
              <w:jc w:val="left"/>
              <w:rPr>
                <w:rFonts w:ascii="楷体" w:hAnsi="楷体" w:eastAsia="楷体" w:cs="Times New Roman"/>
                <w:kern w:val="0"/>
                <w:sz w:val="21"/>
                <w:szCs w:val="21"/>
              </w:rPr>
            </w:pPr>
            <w:r>
              <w:rPr>
                <w:rFonts w:ascii="楷体" w:hAnsi="楷体" w:eastAsia="楷体" w:cs="Times New Roman"/>
                <w:kern w:val="0"/>
                <w:sz w:val="21"/>
                <w:szCs w:val="21"/>
              </w:rPr>
              <w:t>实施老通扬运河、南官河等2311条幸福河湖建设，到2035年全市河湖总体建成“河安湖晏、水清岸绿、鱼翔浅底、文昌人和”的幸福河湖。</w:t>
            </w:r>
          </w:p>
        </w:tc>
        <w:tc>
          <w:tcPr>
            <w:tcW w:w="1276" w:type="dxa"/>
            <w:shd w:val="clear" w:color="auto" w:fill="auto"/>
            <w:noWrap/>
            <w:vAlign w:val="center"/>
          </w:tcPr>
          <w:p w14:paraId="7D7E05EC">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2023-2035</w:t>
            </w:r>
          </w:p>
        </w:tc>
        <w:tc>
          <w:tcPr>
            <w:tcW w:w="1134" w:type="dxa"/>
            <w:shd w:val="clear" w:color="auto" w:fill="auto"/>
            <w:noWrap/>
            <w:vAlign w:val="center"/>
          </w:tcPr>
          <w:p w14:paraId="744C7503">
            <w:pPr>
              <w:widowControl/>
              <w:adjustRightInd/>
              <w:snapToGrid/>
              <w:spacing w:line="240" w:lineRule="auto"/>
              <w:ind w:firstLine="0" w:firstLineChars="0"/>
              <w:jc w:val="center"/>
              <w:rPr>
                <w:rFonts w:eastAsia="楷体" w:cs="Times New Roman"/>
                <w:b/>
                <w:bCs/>
                <w:kern w:val="0"/>
                <w:sz w:val="21"/>
                <w:szCs w:val="21"/>
              </w:rPr>
            </w:pPr>
            <w:r>
              <w:rPr>
                <w:rFonts w:eastAsia="楷体" w:cs="Times New Roman"/>
                <w:b/>
                <w:bCs/>
                <w:kern w:val="0"/>
                <w:sz w:val="21"/>
                <w:szCs w:val="21"/>
              </w:rPr>
              <w:t xml:space="preserve">26.75 </w:t>
            </w:r>
          </w:p>
        </w:tc>
        <w:tc>
          <w:tcPr>
            <w:tcW w:w="1417" w:type="dxa"/>
            <w:shd w:val="clear" w:color="auto" w:fill="auto"/>
            <w:noWrap/>
            <w:vAlign w:val="center"/>
          </w:tcPr>
          <w:p w14:paraId="69F734F3">
            <w:pPr>
              <w:widowControl/>
              <w:adjustRightInd/>
              <w:snapToGrid/>
              <w:spacing w:line="240" w:lineRule="auto"/>
              <w:ind w:firstLine="0" w:firstLineChars="0"/>
              <w:jc w:val="center"/>
              <w:rPr>
                <w:rFonts w:eastAsia="楷体" w:cs="Times New Roman"/>
                <w:b/>
                <w:bCs/>
                <w:kern w:val="0"/>
                <w:sz w:val="21"/>
                <w:szCs w:val="21"/>
              </w:rPr>
            </w:pPr>
            <w:r>
              <w:rPr>
                <w:rFonts w:eastAsia="楷体" w:cs="Times New Roman"/>
                <w:b/>
                <w:bCs/>
                <w:kern w:val="0"/>
                <w:sz w:val="21"/>
                <w:szCs w:val="21"/>
              </w:rPr>
              <w:t xml:space="preserve">6.56 </w:t>
            </w:r>
          </w:p>
        </w:tc>
        <w:tc>
          <w:tcPr>
            <w:tcW w:w="1570" w:type="dxa"/>
            <w:shd w:val="clear" w:color="auto" w:fill="auto"/>
            <w:noWrap/>
            <w:vAlign w:val="center"/>
          </w:tcPr>
          <w:p w14:paraId="526ACCCA">
            <w:pPr>
              <w:widowControl/>
              <w:adjustRightInd/>
              <w:snapToGrid/>
              <w:spacing w:line="240" w:lineRule="auto"/>
              <w:ind w:firstLine="0" w:firstLineChars="0"/>
              <w:jc w:val="center"/>
              <w:rPr>
                <w:rFonts w:eastAsia="楷体" w:cs="Times New Roman"/>
                <w:b/>
                <w:bCs/>
                <w:kern w:val="0"/>
                <w:sz w:val="21"/>
                <w:szCs w:val="21"/>
              </w:rPr>
            </w:pPr>
            <w:r>
              <w:rPr>
                <w:rFonts w:eastAsia="楷体" w:cs="Times New Roman"/>
                <w:b/>
                <w:bCs/>
                <w:kern w:val="0"/>
                <w:sz w:val="21"/>
                <w:szCs w:val="21"/>
              </w:rPr>
              <w:t xml:space="preserve">9.41 </w:t>
            </w:r>
          </w:p>
        </w:tc>
        <w:tc>
          <w:tcPr>
            <w:tcW w:w="1276" w:type="dxa"/>
            <w:shd w:val="clear" w:color="auto" w:fill="auto"/>
            <w:noWrap/>
            <w:vAlign w:val="center"/>
          </w:tcPr>
          <w:p w14:paraId="703AE1E8">
            <w:pPr>
              <w:widowControl/>
              <w:adjustRightInd/>
              <w:snapToGrid/>
              <w:spacing w:line="240" w:lineRule="auto"/>
              <w:ind w:firstLine="0" w:firstLineChars="0"/>
              <w:jc w:val="center"/>
              <w:rPr>
                <w:rFonts w:eastAsia="楷体" w:cs="Times New Roman"/>
                <w:b/>
                <w:bCs/>
                <w:kern w:val="0"/>
                <w:sz w:val="21"/>
                <w:szCs w:val="21"/>
              </w:rPr>
            </w:pPr>
            <w:r>
              <w:rPr>
                <w:rFonts w:eastAsia="楷体" w:cs="Times New Roman"/>
                <w:b/>
                <w:bCs/>
                <w:kern w:val="0"/>
                <w:sz w:val="21"/>
                <w:szCs w:val="21"/>
              </w:rPr>
              <w:t xml:space="preserve">10.78 </w:t>
            </w:r>
          </w:p>
        </w:tc>
        <w:tc>
          <w:tcPr>
            <w:tcW w:w="939" w:type="dxa"/>
            <w:shd w:val="clear" w:color="auto" w:fill="auto"/>
            <w:noWrap/>
            <w:vAlign w:val="center"/>
          </w:tcPr>
          <w:p w14:paraId="6D7EA7A2">
            <w:pPr>
              <w:widowControl/>
              <w:adjustRightInd/>
              <w:snapToGrid/>
              <w:spacing w:line="240" w:lineRule="auto"/>
              <w:ind w:firstLine="0" w:firstLineChars="0"/>
              <w:jc w:val="center"/>
              <w:rPr>
                <w:rFonts w:eastAsia="楷体" w:cs="Times New Roman"/>
                <w:b/>
                <w:bCs/>
                <w:kern w:val="0"/>
                <w:sz w:val="21"/>
                <w:szCs w:val="21"/>
              </w:rPr>
            </w:pPr>
            <w:r>
              <w:rPr>
                <w:rFonts w:eastAsia="楷体" w:cs="Times New Roman"/>
                <w:b/>
                <w:bCs/>
                <w:kern w:val="0"/>
                <w:sz w:val="21"/>
                <w:szCs w:val="21"/>
              </w:rPr>
              <w:t xml:space="preserve">132 </w:t>
            </w:r>
          </w:p>
        </w:tc>
      </w:tr>
      <w:tr w14:paraId="6EBF4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567" w:hRule="atLeast"/>
        </w:trPr>
        <w:tc>
          <w:tcPr>
            <w:tcW w:w="849" w:type="dxa"/>
            <w:shd w:val="clear" w:color="auto" w:fill="auto"/>
            <w:noWrap/>
            <w:vAlign w:val="center"/>
          </w:tcPr>
          <w:p w14:paraId="33570BF3">
            <w:pPr>
              <w:widowControl/>
              <w:adjustRightInd/>
              <w:snapToGrid/>
              <w:spacing w:line="240" w:lineRule="auto"/>
              <w:ind w:firstLine="0" w:firstLineChars="0"/>
              <w:jc w:val="left"/>
              <w:rPr>
                <w:rFonts w:ascii="楷体" w:hAnsi="楷体" w:eastAsia="楷体" w:cs="Times New Roman"/>
                <w:b/>
                <w:bCs/>
                <w:kern w:val="0"/>
                <w:sz w:val="21"/>
                <w:szCs w:val="21"/>
              </w:rPr>
            </w:pPr>
            <w:r>
              <w:rPr>
                <w:rFonts w:hint="eastAsia" w:ascii="楷体" w:hAnsi="楷体" w:eastAsia="楷体" w:cs="Times New Roman"/>
                <w:b/>
                <w:bCs/>
                <w:kern w:val="0"/>
                <w:sz w:val="21"/>
                <w:szCs w:val="21"/>
              </w:rPr>
              <w:t>（三）</w:t>
            </w:r>
          </w:p>
        </w:tc>
        <w:tc>
          <w:tcPr>
            <w:tcW w:w="4108" w:type="dxa"/>
            <w:shd w:val="clear" w:color="auto" w:fill="auto"/>
            <w:noWrap/>
            <w:vAlign w:val="center"/>
          </w:tcPr>
          <w:p w14:paraId="6EC32E14">
            <w:pPr>
              <w:widowControl/>
              <w:adjustRightInd/>
              <w:snapToGrid/>
              <w:spacing w:line="240" w:lineRule="auto"/>
              <w:ind w:firstLine="0" w:firstLineChars="0"/>
              <w:jc w:val="left"/>
              <w:rPr>
                <w:rFonts w:ascii="楷体" w:hAnsi="楷体" w:eastAsia="楷体" w:cs="宋体"/>
                <w:b/>
                <w:bCs/>
                <w:kern w:val="0"/>
                <w:sz w:val="21"/>
                <w:szCs w:val="21"/>
              </w:rPr>
            </w:pPr>
            <w:r>
              <w:rPr>
                <w:rFonts w:hint="eastAsia" w:ascii="楷体" w:hAnsi="楷体" w:eastAsia="楷体" w:cs="宋体"/>
                <w:b/>
                <w:bCs/>
                <w:kern w:val="0"/>
                <w:sz w:val="21"/>
                <w:szCs w:val="21"/>
              </w:rPr>
              <w:t>农村河道生态治理</w:t>
            </w:r>
          </w:p>
        </w:tc>
        <w:tc>
          <w:tcPr>
            <w:tcW w:w="8788" w:type="dxa"/>
            <w:shd w:val="clear" w:color="auto" w:fill="auto"/>
            <w:vAlign w:val="center"/>
          </w:tcPr>
          <w:p w14:paraId="23AE404B">
            <w:pPr>
              <w:widowControl/>
              <w:adjustRightInd/>
              <w:snapToGrid/>
              <w:spacing w:line="240" w:lineRule="auto"/>
              <w:ind w:firstLine="0" w:firstLineChars="0"/>
              <w:jc w:val="left"/>
              <w:rPr>
                <w:rFonts w:ascii="楷体" w:hAnsi="楷体" w:eastAsia="楷体" w:cs="Times New Roman"/>
                <w:kern w:val="0"/>
                <w:sz w:val="21"/>
                <w:szCs w:val="21"/>
              </w:rPr>
            </w:pPr>
            <w:r>
              <w:rPr>
                <w:rFonts w:hint="eastAsia" w:ascii="楷体" w:hAnsi="楷体" w:eastAsia="楷体" w:cs="Times New Roman"/>
                <w:kern w:val="0"/>
                <w:sz w:val="21"/>
                <w:szCs w:val="21"/>
              </w:rPr>
              <w:t>规划按照“河畅、水清、岸绿、景美”目标，持续推进农村生态河道建设，2024～2035年建设农村生态河道658条1</w:t>
            </w:r>
            <w:r>
              <w:rPr>
                <w:rFonts w:ascii="楷体" w:hAnsi="楷体" w:eastAsia="楷体" w:cs="Times New Roman"/>
                <w:kern w:val="0"/>
                <w:sz w:val="21"/>
                <w:szCs w:val="21"/>
              </w:rPr>
              <w:t>570km</w:t>
            </w:r>
            <w:r>
              <w:rPr>
                <w:rFonts w:hint="eastAsia" w:ascii="楷体" w:hAnsi="楷体" w:eastAsia="楷体" w:cs="Times New Roman"/>
                <w:kern w:val="0"/>
                <w:sz w:val="21"/>
                <w:szCs w:val="21"/>
              </w:rPr>
              <w:t>，并巩固已建成农村生态河道成效，至2035年农村生态河道覆盖率达80%以上。</w:t>
            </w:r>
          </w:p>
        </w:tc>
        <w:tc>
          <w:tcPr>
            <w:tcW w:w="1276" w:type="dxa"/>
            <w:shd w:val="clear" w:color="auto" w:fill="auto"/>
            <w:vAlign w:val="center"/>
          </w:tcPr>
          <w:p w14:paraId="44DC068D">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2023-2035</w:t>
            </w:r>
          </w:p>
        </w:tc>
        <w:tc>
          <w:tcPr>
            <w:tcW w:w="1134" w:type="dxa"/>
            <w:shd w:val="clear" w:color="auto" w:fill="auto"/>
            <w:noWrap/>
            <w:vAlign w:val="center"/>
          </w:tcPr>
          <w:p w14:paraId="72C3293F">
            <w:pPr>
              <w:widowControl/>
              <w:adjustRightInd/>
              <w:snapToGrid/>
              <w:spacing w:line="240" w:lineRule="auto"/>
              <w:ind w:firstLine="0" w:firstLineChars="0"/>
              <w:jc w:val="center"/>
              <w:rPr>
                <w:rFonts w:eastAsia="楷体" w:cs="Times New Roman"/>
                <w:b/>
                <w:bCs/>
                <w:kern w:val="0"/>
                <w:sz w:val="21"/>
                <w:szCs w:val="21"/>
              </w:rPr>
            </w:pPr>
            <w:r>
              <w:rPr>
                <w:rFonts w:eastAsia="楷体" w:cs="Times New Roman"/>
                <w:b/>
                <w:bCs/>
                <w:kern w:val="0"/>
                <w:sz w:val="21"/>
                <w:szCs w:val="21"/>
              </w:rPr>
              <w:t xml:space="preserve">22.46 </w:t>
            </w:r>
          </w:p>
        </w:tc>
        <w:tc>
          <w:tcPr>
            <w:tcW w:w="1417" w:type="dxa"/>
            <w:shd w:val="clear" w:color="auto" w:fill="auto"/>
            <w:noWrap/>
            <w:vAlign w:val="center"/>
          </w:tcPr>
          <w:p w14:paraId="2872048D">
            <w:pPr>
              <w:widowControl/>
              <w:adjustRightInd/>
              <w:snapToGrid/>
              <w:spacing w:line="240" w:lineRule="auto"/>
              <w:ind w:firstLine="0" w:firstLineChars="0"/>
              <w:jc w:val="center"/>
              <w:rPr>
                <w:rFonts w:eastAsia="楷体" w:cs="Times New Roman"/>
                <w:b/>
                <w:bCs/>
                <w:kern w:val="0"/>
                <w:sz w:val="21"/>
                <w:szCs w:val="21"/>
              </w:rPr>
            </w:pPr>
            <w:r>
              <w:rPr>
                <w:rFonts w:eastAsia="楷体" w:cs="Times New Roman"/>
                <w:b/>
                <w:bCs/>
                <w:kern w:val="0"/>
                <w:sz w:val="21"/>
                <w:szCs w:val="21"/>
              </w:rPr>
              <w:t xml:space="preserve">2.07 </w:t>
            </w:r>
          </w:p>
        </w:tc>
        <w:tc>
          <w:tcPr>
            <w:tcW w:w="1570" w:type="dxa"/>
            <w:shd w:val="clear" w:color="auto" w:fill="auto"/>
            <w:noWrap/>
            <w:vAlign w:val="center"/>
          </w:tcPr>
          <w:p w14:paraId="5C0890C8">
            <w:pPr>
              <w:widowControl/>
              <w:adjustRightInd/>
              <w:snapToGrid/>
              <w:spacing w:line="240" w:lineRule="auto"/>
              <w:ind w:firstLine="0" w:firstLineChars="0"/>
              <w:jc w:val="center"/>
              <w:rPr>
                <w:rFonts w:eastAsia="楷体" w:cs="Times New Roman"/>
                <w:b/>
                <w:bCs/>
                <w:kern w:val="0"/>
                <w:sz w:val="21"/>
                <w:szCs w:val="21"/>
              </w:rPr>
            </w:pPr>
            <w:r>
              <w:rPr>
                <w:rFonts w:eastAsia="楷体" w:cs="Times New Roman"/>
                <w:b/>
                <w:bCs/>
                <w:kern w:val="0"/>
                <w:sz w:val="21"/>
                <w:szCs w:val="21"/>
              </w:rPr>
              <w:t xml:space="preserve">12.13 </w:t>
            </w:r>
          </w:p>
        </w:tc>
        <w:tc>
          <w:tcPr>
            <w:tcW w:w="1276" w:type="dxa"/>
            <w:shd w:val="clear" w:color="auto" w:fill="auto"/>
            <w:noWrap/>
            <w:vAlign w:val="center"/>
          </w:tcPr>
          <w:p w14:paraId="52A280E0">
            <w:pPr>
              <w:widowControl/>
              <w:adjustRightInd/>
              <w:snapToGrid/>
              <w:spacing w:line="240" w:lineRule="auto"/>
              <w:ind w:firstLine="0" w:firstLineChars="0"/>
              <w:jc w:val="center"/>
              <w:rPr>
                <w:rFonts w:eastAsia="楷体" w:cs="Times New Roman"/>
                <w:b/>
                <w:bCs/>
                <w:kern w:val="0"/>
                <w:sz w:val="21"/>
                <w:szCs w:val="21"/>
              </w:rPr>
            </w:pPr>
            <w:r>
              <w:rPr>
                <w:rFonts w:eastAsia="楷体" w:cs="Times New Roman"/>
                <w:b/>
                <w:bCs/>
                <w:kern w:val="0"/>
                <w:sz w:val="21"/>
                <w:szCs w:val="21"/>
              </w:rPr>
              <w:t xml:space="preserve">8.25 </w:t>
            </w:r>
          </w:p>
        </w:tc>
        <w:tc>
          <w:tcPr>
            <w:tcW w:w="939" w:type="dxa"/>
            <w:shd w:val="clear" w:color="auto" w:fill="auto"/>
            <w:noWrap/>
            <w:vAlign w:val="center"/>
          </w:tcPr>
          <w:p w14:paraId="2D663885">
            <w:pPr>
              <w:widowControl/>
              <w:adjustRightInd/>
              <w:snapToGrid/>
              <w:spacing w:line="240" w:lineRule="auto"/>
              <w:ind w:firstLine="0" w:firstLineChars="0"/>
              <w:jc w:val="center"/>
              <w:rPr>
                <w:rFonts w:eastAsia="楷体" w:cs="Times New Roman"/>
                <w:b/>
                <w:bCs/>
                <w:kern w:val="0"/>
                <w:sz w:val="21"/>
                <w:szCs w:val="21"/>
              </w:rPr>
            </w:pPr>
            <w:r>
              <w:rPr>
                <w:rFonts w:eastAsia="楷体" w:cs="Times New Roman"/>
                <w:b/>
                <w:bCs/>
                <w:kern w:val="0"/>
                <w:sz w:val="21"/>
                <w:szCs w:val="21"/>
              </w:rPr>
              <w:t xml:space="preserve">50 </w:t>
            </w:r>
          </w:p>
        </w:tc>
      </w:tr>
      <w:tr w14:paraId="0DDC6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567" w:hRule="atLeast"/>
        </w:trPr>
        <w:tc>
          <w:tcPr>
            <w:tcW w:w="849" w:type="dxa"/>
            <w:shd w:val="clear" w:color="auto" w:fill="auto"/>
            <w:noWrap/>
            <w:vAlign w:val="center"/>
          </w:tcPr>
          <w:p w14:paraId="6DD8CED0">
            <w:pPr>
              <w:widowControl/>
              <w:adjustRightInd/>
              <w:snapToGrid/>
              <w:spacing w:line="240" w:lineRule="auto"/>
              <w:ind w:firstLine="0" w:firstLineChars="0"/>
              <w:jc w:val="left"/>
              <w:rPr>
                <w:rFonts w:ascii="楷体" w:hAnsi="楷体" w:eastAsia="楷体" w:cs="Times New Roman"/>
                <w:b/>
                <w:bCs/>
                <w:kern w:val="0"/>
                <w:sz w:val="21"/>
                <w:szCs w:val="21"/>
              </w:rPr>
            </w:pPr>
            <w:r>
              <w:rPr>
                <w:rFonts w:hint="eastAsia" w:ascii="楷体" w:hAnsi="楷体" w:eastAsia="楷体" w:cs="Times New Roman"/>
                <w:b/>
                <w:bCs/>
                <w:kern w:val="0"/>
                <w:sz w:val="21"/>
                <w:szCs w:val="21"/>
              </w:rPr>
              <w:t>（四）</w:t>
            </w:r>
          </w:p>
        </w:tc>
        <w:tc>
          <w:tcPr>
            <w:tcW w:w="4108" w:type="dxa"/>
            <w:shd w:val="clear" w:color="auto" w:fill="auto"/>
            <w:noWrap/>
            <w:vAlign w:val="center"/>
          </w:tcPr>
          <w:p w14:paraId="13372FA9">
            <w:pPr>
              <w:widowControl/>
              <w:adjustRightInd/>
              <w:snapToGrid/>
              <w:spacing w:line="240" w:lineRule="auto"/>
              <w:ind w:firstLine="0" w:firstLineChars="0"/>
              <w:jc w:val="left"/>
              <w:rPr>
                <w:rFonts w:ascii="楷体" w:hAnsi="楷体" w:eastAsia="楷体" w:cs="宋体"/>
                <w:b/>
                <w:bCs/>
                <w:kern w:val="0"/>
                <w:sz w:val="21"/>
                <w:szCs w:val="21"/>
              </w:rPr>
            </w:pPr>
            <w:r>
              <w:rPr>
                <w:rFonts w:hint="eastAsia" w:ascii="楷体" w:hAnsi="楷体" w:eastAsia="楷体" w:cs="宋体"/>
                <w:b/>
                <w:bCs/>
                <w:kern w:val="0"/>
                <w:sz w:val="21"/>
                <w:szCs w:val="21"/>
              </w:rPr>
              <w:t>水系连通工程</w:t>
            </w:r>
          </w:p>
        </w:tc>
        <w:tc>
          <w:tcPr>
            <w:tcW w:w="8788" w:type="dxa"/>
            <w:shd w:val="clear" w:color="auto" w:fill="auto"/>
            <w:vAlign w:val="center"/>
          </w:tcPr>
          <w:p w14:paraId="68C918BE">
            <w:pPr>
              <w:widowControl/>
              <w:adjustRightInd/>
              <w:snapToGrid/>
              <w:spacing w:line="240" w:lineRule="auto"/>
              <w:ind w:firstLine="0" w:firstLineChars="0"/>
              <w:jc w:val="left"/>
              <w:rPr>
                <w:rFonts w:ascii="楷体" w:hAnsi="楷体" w:eastAsia="楷体" w:cs="Times New Roman"/>
                <w:kern w:val="0"/>
                <w:sz w:val="21"/>
                <w:szCs w:val="21"/>
              </w:rPr>
            </w:pPr>
            <w:r>
              <w:rPr>
                <w:rFonts w:ascii="楷体" w:hAnsi="楷体" w:eastAsia="楷体" w:cs="Times New Roman"/>
                <w:kern w:val="0"/>
                <w:sz w:val="21"/>
                <w:szCs w:val="21"/>
              </w:rPr>
              <w:t>对凌家港、五七中沟、老南官河、西支河、香戴河、友谊中沟、姚庄中沟、肖陆河、友谊中沟等558条河道进行水系连通</w:t>
            </w:r>
          </w:p>
        </w:tc>
        <w:tc>
          <w:tcPr>
            <w:tcW w:w="1276" w:type="dxa"/>
            <w:shd w:val="clear" w:color="auto" w:fill="auto"/>
            <w:vAlign w:val="center"/>
          </w:tcPr>
          <w:p w14:paraId="72887ECF">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2023-2035</w:t>
            </w:r>
          </w:p>
        </w:tc>
        <w:tc>
          <w:tcPr>
            <w:tcW w:w="1134" w:type="dxa"/>
            <w:shd w:val="clear" w:color="auto" w:fill="auto"/>
            <w:noWrap/>
            <w:vAlign w:val="center"/>
          </w:tcPr>
          <w:p w14:paraId="67674547">
            <w:pPr>
              <w:widowControl/>
              <w:adjustRightInd/>
              <w:snapToGrid/>
              <w:spacing w:line="240" w:lineRule="auto"/>
              <w:ind w:firstLine="0" w:firstLineChars="0"/>
              <w:jc w:val="center"/>
              <w:rPr>
                <w:rFonts w:eastAsia="楷体" w:cs="Times New Roman"/>
                <w:b/>
                <w:bCs/>
                <w:kern w:val="0"/>
                <w:sz w:val="21"/>
                <w:szCs w:val="21"/>
              </w:rPr>
            </w:pPr>
            <w:r>
              <w:rPr>
                <w:rFonts w:eastAsia="楷体" w:cs="Times New Roman"/>
                <w:b/>
                <w:bCs/>
                <w:kern w:val="0"/>
                <w:sz w:val="21"/>
                <w:szCs w:val="21"/>
              </w:rPr>
              <w:t xml:space="preserve">18.41 </w:t>
            </w:r>
          </w:p>
        </w:tc>
        <w:tc>
          <w:tcPr>
            <w:tcW w:w="1417" w:type="dxa"/>
            <w:shd w:val="clear" w:color="auto" w:fill="auto"/>
            <w:noWrap/>
            <w:vAlign w:val="center"/>
          </w:tcPr>
          <w:p w14:paraId="4AB594D4">
            <w:pPr>
              <w:widowControl/>
              <w:adjustRightInd/>
              <w:snapToGrid/>
              <w:spacing w:line="240" w:lineRule="auto"/>
              <w:ind w:firstLine="0" w:firstLineChars="0"/>
              <w:jc w:val="center"/>
              <w:rPr>
                <w:rFonts w:eastAsia="楷体" w:cs="Times New Roman"/>
                <w:b/>
                <w:bCs/>
                <w:kern w:val="0"/>
                <w:sz w:val="21"/>
                <w:szCs w:val="21"/>
              </w:rPr>
            </w:pPr>
            <w:r>
              <w:rPr>
                <w:rFonts w:eastAsia="楷体" w:cs="Times New Roman"/>
                <w:b/>
                <w:bCs/>
                <w:kern w:val="0"/>
                <w:sz w:val="21"/>
                <w:szCs w:val="21"/>
              </w:rPr>
              <w:t xml:space="preserve">1.16 </w:t>
            </w:r>
          </w:p>
        </w:tc>
        <w:tc>
          <w:tcPr>
            <w:tcW w:w="1570" w:type="dxa"/>
            <w:shd w:val="clear" w:color="auto" w:fill="auto"/>
            <w:noWrap/>
            <w:vAlign w:val="center"/>
          </w:tcPr>
          <w:p w14:paraId="44DB39C6">
            <w:pPr>
              <w:widowControl/>
              <w:adjustRightInd/>
              <w:snapToGrid/>
              <w:spacing w:line="240" w:lineRule="auto"/>
              <w:ind w:firstLine="0" w:firstLineChars="0"/>
              <w:jc w:val="center"/>
              <w:rPr>
                <w:rFonts w:eastAsia="楷体" w:cs="Times New Roman"/>
                <w:b/>
                <w:bCs/>
                <w:kern w:val="0"/>
                <w:sz w:val="21"/>
                <w:szCs w:val="21"/>
              </w:rPr>
            </w:pPr>
            <w:r>
              <w:rPr>
                <w:rFonts w:eastAsia="楷体" w:cs="Times New Roman"/>
                <w:b/>
                <w:bCs/>
                <w:kern w:val="0"/>
                <w:sz w:val="21"/>
                <w:szCs w:val="21"/>
              </w:rPr>
              <w:t xml:space="preserve">8.19 </w:t>
            </w:r>
          </w:p>
        </w:tc>
        <w:tc>
          <w:tcPr>
            <w:tcW w:w="1276" w:type="dxa"/>
            <w:shd w:val="clear" w:color="auto" w:fill="auto"/>
            <w:noWrap/>
            <w:vAlign w:val="center"/>
          </w:tcPr>
          <w:p w14:paraId="66E8A482">
            <w:pPr>
              <w:widowControl/>
              <w:adjustRightInd/>
              <w:snapToGrid/>
              <w:spacing w:line="240" w:lineRule="auto"/>
              <w:ind w:firstLine="0" w:firstLineChars="0"/>
              <w:jc w:val="center"/>
              <w:rPr>
                <w:rFonts w:eastAsia="楷体" w:cs="Times New Roman"/>
                <w:b/>
                <w:bCs/>
                <w:kern w:val="0"/>
                <w:sz w:val="21"/>
                <w:szCs w:val="21"/>
              </w:rPr>
            </w:pPr>
            <w:r>
              <w:rPr>
                <w:rFonts w:eastAsia="楷体" w:cs="Times New Roman"/>
                <w:b/>
                <w:bCs/>
                <w:kern w:val="0"/>
                <w:sz w:val="21"/>
                <w:szCs w:val="21"/>
              </w:rPr>
              <w:t xml:space="preserve">9.06 </w:t>
            </w:r>
          </w:p>
        </w:tc>
        <w:tc>
          <w:tcPr>
            <w:tcW w:w="939" w:type="dxa"/>
            <w:shd w:val="clear" w:color="auto" w:fill="auto"/>
            <w:noWrap/>
            <w:vAlign w:val="center"/>
          </w:tcPr>
          <w:p w14:paraId="32967AED">
            <w:pPr>
              <w:widowControl/>
              <w:adjustRightInd/>
              <w:snapToGrid/>
              <w:spacing w:line="240" w:lineRule="auto"/>
              <w:ind w:firstLine="0" w:firstLineChars="0"/>
              <w:jc w:val="center"/>
              <w:rPr>
                <w:rFonts w:eastAsia="楷体" w:cs="Times New Roman"/>
                <w:b/>
                <w:bCs/>
                <w:kern w:val="0"/>
                <w:sz w:val="21"/>
                <w:szCs w:val="21"/>
              </w:rPr>
            </w:pPr>
            <w:r>
              <w:rPr>
                <w:rFonts w:eastAsia="楷体" w:cs="Times New Roman"/>
                <w:b/>
                <w:bCs/>
                <w:kern w:val="0"/>
                <w:sz w:val="21"/>
                <w:szCs w:val="21"/>
              </w:rPr>
              <w:t xml:space="preserve">665 </w:t>
            </w:r>
          </w:p>
        </w:tc>
      </w:tr>
      <w:tr w14:paraId="521D5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567" w:hRule="atLeast"/>
        </w:trPr>
        <w:tc>
          <w:tcPr>
            <w:tcW w:w="849" w:type="dxa"/>
            <w:shd w:val="clear" w:color="auto" w:fill="auto"/>
            <w:noWrap/>
            <w:vAlign w:val="center"/>
          </w:tcPr>
          <w:p w14:paraId="1702EFB8">
            <w:pPr>
              <w:widowControl/>
              <w:adjustRightInd/>
              <w:snapToGrid/>
              <w:spacing w:line="240" w:lineRule="auto"/>
              <w:ind w:firstLine="0" w:firstLineChars="0"/>
              <w:jc w:val="left"/>
              <w:rPr>
                <w:rFonts w:ascii="楷体" w:hAnsi="楷体" w:eastAsia="楷体" w:cs="Times New Roman"/>
                <w:b/>
                <w:bCs/>
                <w:kern w:val="0"/>
                <w:sz w:val="21"/>
                <w:szCs w:val="21"/>
              </w:rPr>
            </w:pPr>
            <w:r>
              <w:rPr>
                <w:rFonts w:hint="eastAsia" w:ascii="楷体" w:hAnsi="楷体" w:eastAsia="楷体" w:cs="Times New Roman"/>
                <w:b/>
                <w:bCs/>
                <w:kern w:val="0"/>
                <w:sz w:val="21"/>
                <w:szCs w:val="21"/>
              </w:rPr>
              <w:t>（五）</w:t>
            </w:r>
          </w:p>
        </w:tc>
        <w:tc>
          <w:tcPr>
            <w:tcW w:w="4108" w:type="dxa"/>
            <w:shd w:val="clear" w:color="auto" w:fill="auto"/>
            <w:noWrap/>
            <w:vAlign w:val="center"/>
          </w:tcPr>
          <w:p w14:paraId="73AC603D">
            <w:pPr>
              <w:widowControl/>
              <w:adjustRightInd/>
              <w:snapToGrid/>
              <w:spacing w:line="240" w:lineRule="auto"/>
              <w:ind w:firstLine="0" w:firstLineChars="0"/>
              <w:jc w:val="left"/>
              <w:rPr>
                <w:rFonts w:ascii="楷体" w:hAnsi="楷体" w:eastAsia="楷体" w:cs="宋体"/>
                <w:b/>
                <w:bCs/>
                <w:kern w:val="0"/>
                <w:sz w:val="21"/>
                <w:szCs w:val="21"/>
              </w:rPr>
            </w:pPr>
            <w:r>
              <w:rPr>
                <w:rFonts w:hint="eastAsia" w:ascii="楷体" w:hAnsi="楷体" w:eastAsia="楷体" w:cs="宋体"/>
                <w:b/>
                <w:bCs/>
                <w:kern w:val="0"/>
                <w:sz w:val="21"/>
                <w:szCs w:val="21"/>
              </w:rPr>
              <w:t>生态清洁小流域建设</w:t>
            </w:r>
          </w:p>
        </w:tc>
        <w:tc>
          <w:tcPr>
            <w:tcW w:w="8788" w:type="dxa"/>
            <w:shd w:val="clear" w:color="auto" w:fill="auto"/>
            <w:vAlign w:val="center"/>
          </w:tcPr>
          <w:p w14:paraId="3E3133DA">
            <w:pPr>
              <w:widowControl/>
              <w:adjustRightInd/>
              <w:snapToGrid/>
              <w:spacing w:line="240" w:lineRule="auto"/>
              <w:ind w:firstLine="0" w:firstLineChars="0"/>
              <w:jc w:val="left"/>
              <w:rPr>
                <w:rFonts w:ascii="楷体" w:hAnsi="楷体" w:eastAsia="楷体" w:cs="Times New Roman"/>
                <w:kern w:val="0"/>
                <w:sz w:val="21"/>
                <w:szCs w:val="21"/>
              </w:rPr>
            </w:pPr>
            <w:r>
              <w:rPr>
                <w:rFonts w:ascii="楷体" w:hAnsi="楷体" w:eastAsia="楷体" w:cs="Times New Roman"/>
                <w:kern w:val="0"/>
                <w:sz w:val="21"/>
                <w:szCs w:val="21"/>
              </w:rPr>
              <w:t>实施马甸小流域等50个清洁小流域建设，总面积1712km</w:t>
            </w:r>
            <w:r>
              <w:rPr>
                <w:rFonts w:ascii="Calibri" w:hAnsi="Calibri" w:eastAsia="楷体" w:cs="Calibri"/>
                <w:kern w:val="0"/>
                <w:sz w:val="21"/>
                <w:szCs w:val="21"/>
              </w:rPr>
              <w:t>²</w:t>
            </w:r>
            <w:r>
              <w:rPr>
                <w:rFonts w:ascii="楷体" w:hAnsi="楷体" w:eastAsia="楷体" w:cs="Times New Roman"/>
                <w:kern w:val="0"/>
                <w:sz w:val="21"/>
                <w:szCs w:val="21"/>
              </w:rPr>
              <w:t>，主要实施河道清淤、生态护岸、岸坡植物防护、保土耕作等工程。</w:t>
            </w:r>
          </w:p>
        </w:tc>
        <w:tc>
          <w:tcPr>
            <w:tcW w:w="1276" w:type="dxa"/>
            <w:shd w:val="clear" w:color="auto" w:fill="auto"/>
            <w:vAlign w:val="center"/>
          </w:tcPr>
          <w:p w14:paraId="1E86EE90">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2023-2035</w:t>
            </w:r>
          </w:p>
        </w:tc>
        <w:tc>
          <w:tcPr>
            <w:tcW w:w="1134" w:type="dxa"/>
            <w:shd w:val="clear" w:color="auto" w:fill="auto"/>
            <w:noWrap/>
            <w:vAlign w:val="center"/>
          </w:tcPr>
          <w:p w14:paraId="2695EDF4">
            <w:pPr>
              <w:widowControl/>
              <w:adjustRightInd/>
              <w:snapToGrid/>
              <w:spacing w:line="240" w:lineRule="auto"/>
              <w:ind w:firstLine="0" w:firstLineChars="0"/>
              <w:jc w:val="center"/>
              <w:rPr>
                <w:rFonts w:eastAsia="楷体" w:cs="Times New Roman"/>
                <w:b/>
                <w:bCs/>
                <w:kern w:val="0"/>
                <w:sz w:val="21"/>
                <w:szCs w:val="21"/>
              </w:rPr>
            </w:pPr>
            <w:r>
              <w:rPr>
                <w:rFonts w:eastAsia="楷体" w:cs="Times New Roman"/>
                <w:b/>
                <w:bCs/>
                <w:kern w:val="0"/>
                <w:sz w:val="21"/>
                <w:szCs w:val="21"/>
              </w:rPr>
              <w:t xml:space="preserve">0.67 </w:t>
            </w:r>
          </w:p>
        </w:tc>
        <w:tc>
          <w:tcPr>
            <w:tcW w:w="1417" w:type="dxa"/>
            <w:shd w:val="clear" w:color="auto" w:fill="auto"/>
            <w:vAlign w:val="center"/>
          </w:tcPr>
          <w:p w14:paraId="0052092C">
            <w:pPr>
              <w:widowControl/>
              <w:adjustRightInd/>
              <w:snapToGrid/>
              <w:spacing w:line="240" w:lineRule="auto"/>
              <w:ind w:firstLine="0" w:firstLineChars="0"/>
              <w:jc w:val="center"/>
              <w:rPr>
                <w:rFonts w:eastAsia="楷体" w:cs="Times New Roman"/>
                <w:b/>
                <w:bCs/>
                <w:kern w:val="0"/>
                <w:sz w:val="21"/>
                <w:szCs w:val="21"/>
              </w:rPr>
            </w:pPr>
            <w:r>
              <w:rPr>
                <w:rFonts w:eastAsia="楷体" w:cs="Times New Roman"/>
                <w:b/>
                <w:bCs/>
                <w:kern w:val="0"/>
                <w:sz w:val="21"/>
                <w:szCs w:val="21"/>
              </w:rPr>
              <w:t xml:space="preserve">0.11 </w:t>
            </w:r>
          </w:p>
        </w:tc>
        <w:tc>
          <w:tcPr>
            <w:tcW w:w="1570" w:type="dxa"/>
            <w:shd w:val="clear" w:color="auto" w:fill="auto"/>
            <w:vAlign w:val="center"/>
          </w:tcPr>
          <w:p w14:paraId="3FAB16F0">
            <w:pPr>
              <w:widowControl/>
              <w:adjustRightInd/>
              <w:snapToGrid/>
              <w:spacing w:line="240" w:lineRule="auto"/>
              <w:ind w:firstLine="0" w:firstLineChars="0"/>
              <w:jc w:val="center"/>
              <w:rPr>
                <w:rFonts w:eastAsia="楷体" w:cs="Times New Roman"/>
                <w:b/>
                <w:bCs/>
                <w:kern w:val="0"/>
                <w:sz w:val="21"/>
                <w:szCs w:val="21"/>
              </w:rPr>
            </w:pPr>
            <w:r>
              <w:rPr>
                <w:rFonts w:eastAsia="楷体" w:cs="Times New Roman"/>
                <w:b/>
                <w:bCs/>
                <w:kern w:val="0"/>
                <w:sz w:val="21"/>
                <w:szCs w:val="21"/>
              </w:rPr>
              <w:t xml:space="preserve">0.54 </w:t>
            </w:r>
          </w:p>
        </w:tc>
        <w:tc>
          <w:tcPr>
            <w:tcW w:w="1276" w:type="dxa"/>
            <w:shd w:val="clear" w:color="auto" w:fill="auto"/>
            <w:vAlign w:val="center"/>
          </w:tcPr>
          <w:p w14:paraId="19432614">
            <w:pPr>
              <w:widowControl/>
              <w:adjustRightInd/>
              <w:snapToGrid/>
              <w:spacing w:line="240" w:lineRule="auto"/>
              <w:ind w:firstLine="0" w:firstLineChars="0"/>
              <w:jc w:val="center"/>
              <w:rPr>
                <w:rFonts w:eastAsia="楷体" w:cs="Times New Roman"/>
                <w:b/>
                <w:bCs/>
                <w:kern w:val="0"/>
                <w:sz w:val="21"/>
                <w:szCs w:val="21"/>
              </w:rPr>
            </w:pPr>
            <w:r>
              <w:rPr>
                <w:rFonts w:eastAsia="楷体" w:cs="Times New Roman"/>
                <w:b/>
                <w:bCs/>
                <w:kern w:val="0"/>
                <w:sz w:val="21"/>
                <w:szCs w:val="21"/>
              </w:rPr>
              <w:t xml:space="preserve">0.02 </w:t>
            </w:r>
          </w:p>
        </w:tc>
        <w:tc>
          <w:tcPr>
            <w:tcW w:w="939" w:type="dxa"/>
            <w:shd w:val="clear" w:color="auto" w:fill="auto"/>
            <w:vAlign w:val="center"/>
          </w:tcPr>
          <w:p w14:paraId="083A093E">
            <w:pPr>
              <w:widowControl/>
              <w:adjustRightInd/>
              <w:snapToGrid/>
              <w:spacing w:line="240" w:lineRule="auto"/>
              <w:ind w:firstLine="0" w:firstLineChars="0"/>
              <w:jc w:val="center"/>
              <w:rPr>
                <w:rFonts w:eastAsia="楷体" w:cs="Times New Roman"/>
                <w:b/>
                <w:bCs/>
                <w:kern w:val="0"/>
                <w:sz w:val="21"/>
                <w:szCs w:val="21"/>
              </w:rPr>
            </w:pPr>
          </w:p>
        </w:tc>
      </w:tr>
      <w:tr w14:paraId="2AC0B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567" w:hRule="atLeast"/>
        </w:trPr>
        <w:tc>
          <w:tcPr>
            <w:tcW w:w="849" w:type="dxa"/>
            <w:shd w:val="clear" w:color="auto" w:fill="auto"/>
            <w:noWrap/>
            <w:vAlign w:val="center"/>
          </w:tcPr>
          <w:p w14:paraId="401ADE1D">
            <w:pPr>
              <w:widowControl/>
              <w:adjustRightInd/>
              <w:snapToGrid/>
              <w:spacing w:line="240" w:lineRule="auto"/>
              <w:ind w:firstLine="0" w:firstLineChars="0"/>
              <w:jc w:val="left"/>
              <w:rPr>
                <w:rFonts w:ascii="楷体" w:hAnsi="楷体" w:eastAsia="楷体" w:cs="Times New Roman"/>
                <w:b/>
                <w:bCs/>
                <w:kern w:val="0"/>
                <w:sz w:val="21"/>
                <w:szCs w:val="21"/>
              </w:rPr>
            </w:pPr>
            <w:r>
              <w:rPr>
                <w:rFonts w:hint="eastAsia" w:ascii="楷体" w:hAnsi="楷体" w:eastAsia="楷体" w:cs="Times New Roman"/>
                <w:b/>
                <w:bCs/>
                <w:kern w:val="0"/>
                <w:sz w:val="21"/>
                <w:szCs w:val="21"/>
              </w:rPr>
              <w:t>（六）</w:t>
            </w:r>
          </w:p>
        </w:tc>
        <w:tc>
          <w:tcPr>
            <w:tcW w:w="4108" w:type="dxa"/>
            <w:shd w:val="clear" w:color="auto" w:fill="auto"/>
            <w:noWrap/>
            <w:vAlign w:val="center"/>
          </w:tcPr>
          <w:p w14:paraId="71968864">
            <w:pPr>
              <w:widowControl/>
              <w:adjustRightInd/>
              <w:snapToGrid/>
              <w:spacing w:line="240" w:lineRule="auto"/>
              <w:ind w:firstLine="0" w:firstLineChars="0"/>
              <w:jc w:val="left"/>
              <w:rPr>
                <w:rFonts w:ascii="楷体" w:hAnsi="楷体" w:eastAsia="楷体" w:cs="宋体"/>
                <w:b/>
                <w:bCs/>
                <w:kern w:val="0"/>
                <w:sz w:val="21"/>
                <w:szCs w:val="21"/>
              </w:rPr>
            </w:pPr>
            <w:r>
              <w:rPr>
                <w:rFonts w:hint="eastAsia" w:ascii="楷体" w:hAnsi="楷体" w:eastAsia="楷体" w:cs="宋体"/>
                <w:b/>
                <w:bCs/>
                <w:kern w:val="0"/>
                <w:sz w:val="21"/>
                <w:szCs w:val="21"/>
              </w:rPr>
              <w:t>水土保持重点工程</w:t>
            </w:r>
          </w:p>
        </w:tc>
        <w:tc>
          <w:tcPr>
            <w:tcW w:w="8788" w:type="dxa"/>
            <w:shd w:val="clear" w:color="auto" w:fill="auto"/>
            <w:vAlign w:val="center"/>
          </w:tcPr>
          <w:p w14:paraId="2C21C23C">
            <w:pPr>
              <w:widowControl/>
              <w:adjustRightInd/>
              <w:snapToGrid/>
              <w:spacing w:line="240" w:lineRule="auto"/>
              <w:ind w:firstLine="0" w:firstLineChars="0"/>
              <w:jc w:val="left"/>
              <w:rPr>
                <w:rFonts w:ascii="楷体" w:hAnsi="楷体" w:eastAsia="楷体" w:cs="Times New Roman"/>
                <w:kern w:val="0"/>
                <w:sz w:val="21"/>
                <w:szCs w:val="21"/>
              </w:rPr>
            </w:pPr>
            <w:r>
              <w:rPr>
                <w:rFonts w:ascii="楷体" w:hAnsi="楷体" w:eastAsia="楷体" w:cs="Times New Roman"/>
                <w:kern w:val="0"/>
                <w:sz w:val="21"/>
                <w:szCs w:val="21"/>
              </w:rPr>
              <w:t>实施20个国家水土保持重点工程，新增水土流失重点预防面积18.36km</w:t>
            </w:r>
            <w:r>
              <w:rPr>
                <w:rFonts w:ascii="Calibri" w:hAnsi="Calibri" w:eastAsia="楷体" w:cs="Calibri"/>
                <w:kern w:val="0"/>
                <w:sz w:val="21"/>
                <w:szCs w:val="21"/>
              </w:rPr>
              <w:t>²</w:t>
            </w:r>
            <w:r>
              <w:rPr>
                <w:rFonts w:ascii="楷体" w:hAnsi="楷体" w:eastAsia="楷体" w:cs="Times New Roman"/>
                <w:kern w:val="0"/>
                <w:sz w:val="21"/>
                <w:szCs w:val="21"/>
              </w:rPr>
              <w:t>，新增水土流失综合治理52.63km</w:t>
            </w:r>
            <w:r>
              <w:rPr>
                <w:rFonts w:ascii="Calibri" w:hAnsi="Calibri" w:eastAsia="楷体" w:cs="Calibri"/>
                <w:kern w:val="0"/>
                <w:sz w:val="21"/>
                <w:szCs w:val="21"/>
              </w:rPr>
              <w:t>²</w:t>
            </w:r>
            <w:r>
              <w:rPr>
                <w:rFonts w:ascii="楷体" w:hAnsi="楷体" w:eastAsia="楷体" w:cs="Times New Roman"/>
                <w:kern w:val="0"/>
                <w:sz w:val="21"/>
                <w:szCs w:val="21"/>
              </w:rPr>
              <w:t>。</w:t>
            </w:r>
          </w:p>
        </w:tc>
        <w:tc>
          <w:tcPr>
            <w:tcW w:w="1276" w:type="dxa"/>
            <w:shd w:val="clear" w:color="auto" w:fill="auto"/>
            <w:vAlign w:val="center"/>
          </w:tcPr>
          <w:p w14:paraId="59756541">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2023-2035</w:t>
            </w:r>
          </w:p>
        </w:tc>
        <w:tc>
          <w:tcPr>
            <w:tcW w:w="1134" w:type="dxa"/>
            <w:shd w:val="clear" w:color="auto" w:fill="auto"/>
            <w:noWrap/>
            <w:vAlign w:val="center"/>
          </w:tcPr>
          <w:p w14:paraId="1E03CA96">
            <w:pPr>
              <w:widowControl/>
              <w:adjustRightInd/>
              <w:snapToGrid/>
              <w:spacing w:line="240" w:lineRule="auto"/>
              <w:ind w:firstLine="0" w:firstLineChars="0"/>
              <w:jc w:val="center"/>
              <w:rPr>
                <w:rFonts w:eastAsia="楷体" w:cs="Times New Roman"/>
                <w:b/>
                <w:bCs/>
                <w:kern w:val="0"/>
                <w:sz w:val="21"/>
                <w:szCs w:val="21"/>
              </w:rPr>
            </w:pPr>
            <w:r>
              <w:rPr>
                <w:rFonts w:eastAsia="楷体" w:cs="Times New Roman"/>
                <w:b/>
                <w:bCs/>
                <w:kern w:val="0"/>
                <w:sz w:val="21"/>
                <w:szCs w:val="21"/>
              </w:rPr>
              <w:t xml:space="preserve">3.41 </w:t>
            </w:r>
          </w:p>
        </w:tc>
        <w:tc>
          <w:tcPr>
            <w:tcW w:w="1417" w:type="dxa"/>
            <w:shd w:val="clear" w:color="auto" w:fill="auto"/>
            <w:vAlign w:val="center"/>
          </w:tcPr>
          <w:p w14:paraId="634390C0">
            <w:pPr>
              <w:widowControl/>
              <w:adjustRightInd/>
              <w:snapToGrid/>
              <w:spacing w:line="240" w:lineRule="auto"/>
              <w:ind w:firstLine="0" w:firstLineChars="0"/>
              <w:jc w:val="center"/>
              <w:rPr>
                <w:rFonts w:eastAsia="楷体" w:cs="Times New Roman"/>
                <w:b/>
                <w:bCs/>
                <w:kern w:val="0"/>
                <w:sz w:val="21"/>
                <w:szCs w:val="21"/>
              </w:rPr>
            </w:pPr>
            <w:r>
              <w:rPr>
                <w:rFonts w:eastAsia="楷体" w:cs="Times New Roman"/>
                <w:b/>
                <w:bCs/>
                <w:kern w:val="0"/>
                <w:sz w:val="21"/>
                <w:szCs w:val="21"/>
              </w:rPr>
              <w:t xml:space="preserve">0.75 </w:t>
            </w:r>
          </w:p>
        </w:tc>
        <w:tc>
          <w:tcPr>
            <w:tcW w:w="1570" w:type="dxa"/>
            <w:shd w:val="clear" w:color="auto" w:fill="auto"/>
            <w:vAlign w:val="center"/>
          </w:tcPr>
          <w:p w14:paraId="1BC3C08F">
            <w:pPr>
              <w:widowControl/>
              <w:adjustRightInd/>
              <w:snapToGrid/>
              <w:spacing w:line="240" w:lineRule="auto"/>
              <w:ind w:firstLine="0" w:firstLineChars="0"/>
              <w:jc w:val="center"/>
              <w:rPr>
                <w:rFonts w:eastAsia="楷体" w:cs="Times New Roman"/>
                <w:b/>
                <w:bCs/>
                <w:kern w:val="0"/>
                <w:sz w:val="21"/>
                <w:szCs w:val="21"/>
              </w:rPr>
            </w:pPr>
            <w:r>
              <w:rPr>
                <w:rFonts w:eastAsia="楷体" w:cs="Times New Roman"/>
                <w:b/>
                <w:bCs/>
                <w:kern w:val="0"/>
                <w:sz w:val="21"/>
                <w:szCs w:val="21"/>
              </w:rPr>
              <w:t xml:space="preserve">1.80 </w:t>
            </w:r>
          </w:p>
        </w:tc>
        <w:tc>
          <w:tcPr>
            <w:tcW w:w="1276" w:type="dxa"/>
            <w:shd w:val="clear" w:color="auto" w:fill="auto"/>
            <w:vAlign w:val="center"/>
          </w:tcPr>
          <w:p w14:paraId="784E0349">
            <w:pPr>
              <w:widowControl/>
              <w:adjustRightInd/>
              <w:snapToGrid/>
              <w:spacing w:line="240" w:lineRule="auto"/>
              <w:ind w:firstLine="0" w:firstLineChars="0"/>
              <w:jc w:val="center"/>
              <w:rPr>
                <w:rFonts w:eastAsia="楷体" w:cs="Times New Roman"/>
                <w:b/>
                <w:bCs/>
                <w:kern w:val="0"/>
                <w:sz w:val="21"/>
                <w:szCs w:val="21"/>
              </w:rPr>
            </w:pPr>
            <w:r>
              <w:rPr>
                <w:rFonts w:eastAsia="楷体" w:cs="Times New Roman"/>
                <w:b/>
                <w:bCs/>
                <w:kern w:val="0"/>
                <w:sz w:val="21"/>
                <w:szCs w:val="21"/>
              </w:rPr>
              <w:t xml:space="preserve">0.87 </w:t>
            </w:r>
          </w:p>
        </w:tc>
        <w:tc>
          <w:tcPr>
            <w:tcW w:w="939" w:type="dxa"/>
            <w:shd w:val="clear" w:color="auto" w:fill="auto"/>
            <w:vAlign w:val="center"/>
          </w:tcPr>
          <w:p w14:paraId="4DE34841">
            <w:pPr>
              <w:widowControl/>
              <w:adjustRightInd/>
              <w:snapToGrid/>
              <w:spacing w:line="240" w:lineRule="auto"/>
              <w:ind w:firstLine="0" w:firstLineChars="0"/>
              <w:jc w:val="center"/>
              <w:rPr>
                <w:rFonts w:eastAsia="楷体" w:cs="Times New Roman"/>
                <w:b/>
                <w:bCs/>
                <w:kern w:val="0"/>
                <w:sz w:val="21"/>
                <w:szCs w:val="21"/>
              </w:rPr>
            </w:pPr>
            <w:r>
              <w:rPr>
                <w:rFonts w:eastAsia="楷体" w:cs="Times New Roman"/>
                <w:b/>
                <w:bCs/>
                <w:kern w:val="0"/>
                <w:sz w:val="21"/>
                <w:szCs w:val="21"/>
              </w:rPr>
              <w:t xml:space="preserve">32 </w:t>
            </w:r>
          </w:p>
        </w:tc>
      </w:tr>
      <w:tr w14:paraId="39AA1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567" w:hRule="atLeast"/>
        </w:trPr>
        <w:tc>
          <w:tcPr>
            <w:tcW w:w="849" w:type="dxa"/>
            <w:shd w:val="clear" w:color="auto" w:fill="auto"/>
            <w:noWrap/>
            <w:vAlign w:val="center"/>
          </w:tcPr>
          <w:p w14:paraId="30737EFE">
            <w:pPr>
              <w:widowControl/>
              <w:adjustRightInd/>
              <w:snapToGrid/>
              <w:spacing w:line="240" w:lineRule="auto"/>
              <w:ind w:firstLine="0" w:firstLineChars="0"/>
              <w:jc w:val="left"/>
              <w:rPr>
                <w:rFonts w:ascii="楷体" w:hAnsi="楷体" w:eastAsia="楷体" w:cs="Times New Roman"/>
                <w:b/>
                <w:bCs/>
                <w:kern w:val="0"/>
                <w:sz w:val="21"/>
                <w:szCs w:val="21"/>
              </w:rPr>
            </w:pPr>
            <w:r>
              <w:rPr>
                <w:rFonts w:hint="eastAsia" w:ascii="楷体" w:hAnsi="楷体" w:eastAsia="楷体" w:cs="Times New Roman"/>
                <w:b/>
                <w:bCs/>
                <w:kern w:val="0"/>
                <w:sz w:val="21"/>
                <w:szCs w:val="21"/>
              </w:rPr>
              <w:t>（七）</w:t>
            </w:r>
          </w:p>
        </w:tc>
        <w:tc>
          <w:tcPr>
            <w:tcW w:w="4108" w:type="dxa"/>
            <w:shd w:val="clear" w:color="auto" w:fill="auto"/>
            <w:noWrap/>
            <w:vAlign w:val="center"/>
          </w:tcPr>
          <w:p w14:paraId="216A2578">
            <w:pPr>
              <w:widowControl/>
              <w:adjustRightInd/>
              <w:snapToGrid/>
              <w:spacing w:line="240" w:lineRule="auto"/>
              <w:ind w:firstLine="0" w:firstLineChars="0"/>
              <w:jc w:val="left"/>
              <w:rPr>
                <w:rFonts w:ascii="楷体" w:hAnsi="楷体" w:eastAsia="楷体" w:cs="宋体"/>
                <w:b/>
                <w:bCs/>
                <w:kern w:val="0"/>
                <w:sz w:val="21"/>
                <w:szCs w:val="21"/>
              </w:rPr>
            </w:pPr>
            <w:r>
              <w:rPr>
                <w:rFonts w:hint="eastAsia" w:ascii="楷体" w:hAnsi="楷体" w:eastAsia="楷体" w:cs="宋体"/>
                <w:b/>
                <w:bCs/>
                <w:kern w:val="0"/>
                <w:sz w:val="21"/>
                <w:szCs w:val="21"/>
              </w:rPr>
              <w:t>生态廊道建设</w:t>
            </w:r>
          </w:p>
        </w:tc>
        <w:tc>
          <w:tcPr>
            <w:tcW w:w="8788" w:type="dxa"/>
            <w:shd w:val="clear" w:color="auto" w:fill="auto"/>
            <w:vAlign w:val="center"/>
          </w:tcPr>
          <w:p w14:paraId="2A197898">
            <w:pPr>
              <w:widowControl/>
              <w:adjustRightInd/>
              <w:snapToGrid/>
              <w:spacing w:line="240" w:lineRule="auto"/>
              <w:ind w:firstLine="0" w:firstLineChars="0"/>
              <w:jc w:val="left"/>
              <w:rPr>
                <w:rFonts w:ascii="楷体" w:hAnsi="楷体" w:eastAsia="楷体" w:cs="Times New Roman"/>
                <w:kern w:val="0"/>
                <w:sz w:val="21"/>
                <w:szCs w:val="21"/>
              </w:rPr>
            </w:pPr>
            <w:r>
              <w:rPr>
                <w:rFonts w:ascii="楷体" w:hAnsi="楷体" w:eastAsia="楷体" w:cs="Times New Roman"/>
                <w:kern w:val="0"/>
                <w:sz w:val="21"/>
                <w:szCs w:val="21"/>
              </w:rPr>
              <w:t>重点打造长江水道生态涵养带，实施引江河-卤汀河、新通扬运河、泰东河水生态廊道。实施兴化城区至李中水上森林16km、李中水上森林至沙沟古镇李中河12km水环境、岸线整治及旅游项目建设，打造里下河兴化地区水上风情游览线。</w:t>
            </w:r>
          </w:p>
        </w:tc>
        <w:tc>
          <w:tcPr>
            <w:tcW w:w="1276" w:type="dxa"/>
            <w:shd w:val="clear" w:color="auto" w:fill="auto"/>
            <w:vAlign w:val="center"/>
          </w:tcPr>
          <w:p w14:paraId="1742B3E8">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2024-2035</w:t>
            </w:r>
          </w:p>
        </w:tc>
        <w:tc>
          <w:tcPr>
            <w:tcW w:w="1134" w:type="dxa"/>
            <w:shd w:val="clear" w:color="auto" w:fill="auto"/>
            <w:noWrap/>
            <w:vAlign w:val="center"/>
          </w:tcPr>
          <w:p w14:paraId="78DC0391">
            <w:pPr>
              <w:widowControl/>
              <w:adjustRightInd/>
              <w:snapToGrid/>
              <w:spacing w:line="240" w:lineRule="auto"/>
              <w:ind w:firstLine="0" w:firstLineChars="0"/>
              <w:jc w:val="center"/>
              <w:rPr>
                <w:rFonts w:eastAsia="楷体" w:cs="Times New Roman"/>
                <w:b/>
                <w:bCs/>
                <w:kern w:val="0"/>
                <w:sz w:val="21"/>
                <w:szCs w:val="21"/>
              </w:rPr>
            </w:pPr>
            <w:r>
              <w:rPr>
                <w:rFonts w:eastAsia="楷体" w:cs="Times New Roman"/>
                <w:b/>
                <w:bCs/>
                <w:kern w:val="0"/>
                <w:sz w:val="21"/>
                <w:szCs w:val="21"/>
              </w:rPr>
              <w:t xml:space="preserve">1.70 </w:t>
            </w:r>
          </w:p>
        </w:tc>
        <w:tc>
          <w:tcPr>
            <w:tcW w:w="1417" w:type="dxa"/>
            <w:shd w:val="clear" w:color="auto" w:fill="auto"/>
            <w:noWrap/>
            <w:vAlign w:val="center"/>
          </w:tcPr>
          <w:p w14:paraId="5905A778">
            <w:pPr>
              <w:widowControl/>
              <w:adjustRightInd/>
              <w:snapToGrid/>
              <w:spacing w:line="240" w:lineRule="auto"/>
              <w:ind w:firstLine="0" w:firstLineChars="0"/>
              <w:jc w:val="center"/>
              <w:rPr>
                <w:rFonts w:eastAsia="楷体" w:cs="Times New Roman"/>
                <w:b/>
                <w:bCs/>
                <w:kern w:val="0"/>
                <w:sz w:val="21"/>
                <w:szCs w:val="21"/>
              </w:rPr>
            </w:pPr>
            <w:r>
              <w:rPr>
                <w:rFonts w:eastAsia="楷体" w:cs="Times New Roman"/>
                <w:b/>
                <w:bCs/>
                <w:kern w:val="0"/>
                <w:sz w:val="21"/>
                <w:szCs w:val="21"/>
              </w:rPr>
              <w:t xml:space="preserve">0.05 </w:t>
            </w:r>
          </w:p>
        </w:tc>
        <w:tc>
          <w:tcPr>
            <w:tcW w:w="1570" w:type="dxa"/>
            <w:shd w:val="clear" w:color="auto" w:fill="auto"/>
            <w:noWrap/>
            <w:vAlign w:val="center"/>
          </w:tcPr>
          <w:p w14:paraId="1B3952BB">
            <w:pPr>
              <w:widowControl/>
              <w:adjustRightInd/>
              <w:snapToGrid/>
              <w:spacing w:line="240" w:lineRule="auto"/>
              <w:ind w:firstLine="0" w:firstLineChars="0"/>
              <w:jc w:val="center"/>
              <w:rPr>
                <w:rFonts w:eastAsia="楷体" w:cs="Times New Roman"/>
                <w:b/>
                <w:bCs/>
                <w:kern w:val="0"/>
                <w:sz w:val="21"/>
                <w:szCs w:val="21"/>
              </w:rPr>
            </w:pPr>
            <w:r>
              <w:rPr>
                <w:rFonts w:eastAsia="楷体" w:cs="Times New Roman"/>
                <w:b/>
                <w:bCs/>
                <w:kern w:val="0"/>
                <w:sz w:val="21"/>
                <w:szCs w:val="21"/>
              </w:rPr>
              <w:t xml:space="preserve">0.85 </w:t>
            </w:r>
          </w:p>
        </w:tc>
        <w:tc>
          <w:tcPr>
            <w:tcW w:w="1276" w:type="dxa"/>
            <w:shd w:val="clear" w:color="auto" w:fill="auto"/>
            <w:noWrap/>
            <w:vAlign w:val="center"/>
          </w:tcPr>
          <w:p w14:paraId="5C584015">
            <w:pPr>
              <w:widowControl/>
              <w:adjustRightInd/>
              <w:snapToGrid/>
              <w:spacing w:line="240" w:lineRule="auto"/>
              <w:ind w:firstLine="0" w:firstLineChars="0"/>
              <w:jc w:val="center"/>
              <w:rPr>
                <w:rFonts w:eastAsia="楷体" w:cs="Times New Roman"/>
                <w:b/>
                <w:bCs/>
                <w:kern w:val="0"/>
                <w:sz w:val="21"/>
                <w:szCs w:val="21"/>
              </w:rPr>
            </w:pPr>
            <w:r>
              <w:rPr>
                <w:rFonts w:eastAsia="楷体" w:cs="Times New Roman"/>
                <w:b/>
                <w:bCs/>
                <w:kern w:val="0"/>
                <w:sz w:val="21"/>
                <w:szCs w:val="21"/>
              </w:rPr>
              <w:t xml:space="preserve">0.80 </w:t>
            </w:r>
          </w:p>
        </w:tc>
        <w:tc>
          <w:tcPr>
            <w:tcW w:w="939" w:type="dxa"/>
            <w:shd w:val="clear" w:color="auto" w:fill="auto"/>
            <w:vAlign w:val="center"/>
          </w:tcPr>
          <w:p w14:paraId="79B6A5C0">
            <w:pPr>
              <w:widowControl/>
              <w:adjustRightInd/>
              <w:snapToGrid/>
              <w:spacing w:line="240" w:lineRule="auto"/>
              <w:ind w:firstLine="0" w:firstLineChars="0"/>
              <w:jc w:val="center"/>
              <w:rPr>
                <w:rFonts w:eastAsia="楷体" w:cs="Times New Roman"/>
                <w:b/>
                <w:bCs/>
                <w:kern w:val="0"/>
                <w:sz w:val="21"/>
                <w:szCs w:val="21"/>
              </w:rPr>
            </w:pPr>
            <w:r>
              <w:rPr>
                <w:rFonts w:eastAsia="楷体" w:cs="Times New Roman"/>
                <w:b/>
                <w:bCs/>
                <w:kern w:val="0"/>
                <w:sz w:val="21"/>
                <w:szCs w:val="21"/>
              </w:rPr>
              <w:t xml:space="preserve">58 </w:t>
            </w:r>
          </w:p>
        </w:tc>
      </w:tr>
      <w:tr w14:paraId="308CC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567" w:hRule="atLeast"/>
        </w:trPr>
        <w:tc>
          <w:tcPr>
            <w:tcW w:w="849" w:type="dxa"/>
            <w:shd w:val="clear" w:color="auto" w:fill="auto"/>
            <w:noWrap/>
            <w:vAlign w:val="center"/>
          </w:tcPr>
          <w:p w14:paraId="4F81849E">
            <w:pPr>
              <w:widowControl/>
              <w:adjustRightInd/>
              <w:snapToGrid/>
              <w:spacing w:line="240" w:lineRule="auto"/>
              <w:ind w:firstLine="0" w:firstLineChars="0"/>
              <w:jc w:val="left"/>
              <w:rPr>
                <w:rFonts w:ascii="楷体" w:hAnsi="楷体" w:eastAsia="楷体" w:cs="Times New Roman"/>
                <w:b/>
                <w:bCs/>
                <w:kern w:val="0"/>
                <w:sz w:val="21"/>
                <w:szCs w:val="21"/>
              </w:rPr>
            </w:pPr>
            <w:r>
              <w:rPr>
                <w:rFonts w:hint="eastAsia" w:ascii="楷体" w:hAnsi="楷体" w:eastAsia="楷体" w:cs="Times New Roman"/>
                <w:b/>
                <w:bCs/>
                <w:kern w:val="0"/>
                <w:sz w:val="21"/>
                <w:szCs w:val="21"/>
              </w:rPr>
              <w:t>（八）</w:t>
            </w:r>
          </w:p>
        </w:tc>
        <w:tc>
          <w:tcPr>
            <w:tcW w:w="4108" w:type="dxa"/>
            <w:shd w:val="clear" w:color="auto" w:fill="auto"/>
            <w:noWrap/>
            <w:vAlign w:val="center"/>
          </w:tcPr>
          <w:p w14:paraId="1ED33C5E">
            <w:pPr>
              <w:widowControl/>
              <w:adjustRightInd/>
              <w:snapToGrid/>
              <w:spacing w:line="240" w:lineRule="auto"/>
              <w:ind w:firstLine="0" w:firstLineChars="0"/>
              <w:jc w:val="left"/>
              <w:rPr>
                <w:rFonts w:ascii="楷体" w:hAnsi="楷体" w:eastAsia="楷体" w:cs="宋体"/>
                <w:b/>
                <w:bCs/>
                <w:kern w:val="0"/>
                <w:sz w:val="21"/>
                <w:szCs w:val="21"/>
              </w:rPr>
            </w:pPr>
            <w:r>
              <w:rPr>
                <w:rFonts w:hint="eastAsia" w:ascii="楷体" w:hAnsi="楷体" w:eastAsia="楷体" w:cs="宋体"/>
                <w:b/>
                <w:bCs/>
                <w:kern w:val="0"/>
                <w:sz w:val="21"/>
                <w:szCs w:val="21"/>
              </w:rPr>
              <w:t>水文化工程</w:t>
            </w:r>
          </w:p>
        </w:tc>
        <w:tc>
          <w:tcPr>
            <w:tcW w:w="8788" w:type="dxa"/>
            <w:shd w:val="clear" w:color="auto" w:fill="auto"/>
            <w:vAlign w:val="center"/>
          </w:tcPr>
          <w:p w14:paraId="7B6D17E5">
            <w:pPr>
              <w:widowControl/>
              <w:adjustRightInd/>
              <w:snapToGrid/>
              <w:spacing w:line="240" w:lineRule="auto"/>
              <w:ind w:firstLine="0" w:firstLineChars="0"/>
              <w:jc w:val="left"/>
              <w:rPr>
                <w:rFonts w:ascii="楷体" w:hAnsi="楷体" w:eastAsia="楷体" w:cs="Times New Roman"/>
                <w:kern w:val="0"/>
                <w:sz w:val="21"/>
                <w:szCs w:val="21"/>
              </w:rPr>
            </w:pPr>
            <w:r>
              <w:rPr>
                <w:rFonts w:ascii="楷体" w:hAnsi="楷体" w:eastAsia="楷体" w:cs="Times New Roman"/>
                <w:kern w:val="0"/>
                <w:sz w:val="21"/>
                <w:szCs w:val="21"/>
              </w:rPr>
              <w:t>挖掘打造长江文化带、运盐河文化带、“龟背腾蛇”、北水关、两泰官河历史文化、众安港历史文化等水文化景观节点。</w:t>
            </w:r>
          </w:p>
        </w:tc>
        <w:tc>
          <w:tcPr>
            <w:tcW w:w="1276" w:type="dxa"/>
            <w:shd w:val="clear" w:color="auto" w:fill="auto"/>
            <w:vAlign w:val="center"/>
          </w:tcPr>
          <w:p w14:paraId="6BCD5188">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2027~2035</w:t>
            </w:r>
          </w:p>
        </w:tc>
        <w:tc>
          <w:tcPr>
            <w:tcW w:w="1134" w:type="dxa"/>
            <w:shd w:val="clear" w:color="auto" w:fill="auto"/>
            <w:noWrap/>
            <w:vAlign w:val="center"/>
          </w:tcPr>
          <w:p w14:paraId="1448F9BA">
            <w:pPr>
              <w:widowControl/>
              <w:adjustRightInd/>
              <w:snapToGrid/>
              <w:spacing w:line="240" w:lineRule="auto"/>
              <w:ind w:firstLine="0" w:firstLineChars="0"/>
              <w:jc w:val="center"/>
              <w:rPr>
                <w:rFonts w:eastAsia="楷体" w:cs="Times New Roman"/>
                <w:b/>
                <w:bCs/>
                <w:kern w:val="0"/>
                <w:sz w:val="21"/>
                <w:szCs w:val="21"/>
              </w:rPr>
            </w:pPr>
            <w:r>
              <w:rPr>
                <w:rFonts w:eastAsia="楷体" w:cs="Times New Roman"/>
                <w:b/>
                <w:bCs/>
                <w:kern w:val="0"/>
                <w:sz w:val="21"/>
                <w:szCs w:val="21"/>
              </w:rPr>
              <w:t xml:space="preserve">0.08 </w:t>
            </w:r>
          </w:p>
        </w:tc>
        <w:tc>
          <w:tcPr>
            <w:tcW w:w="1417" w:type="dxa"/>
            <w:shd w:val="clear" w:color="auto" w:fill="auto"/>
            <w:noWrap/>
            <w:vAlign w:val="center"/>
          </w:tcPr>
          <w:p w14:paraId="3713AF49">
            <w:pPr>
              <w:widowControl/>
              <w:adjustRightInd/>
              <w:snapToGrid/>
              <w:spacing w:line="240" w:lineRule="auto"/>
              <w:ind w:firstLine="0" w:firstLineChars="0"/>
              <w:jc w:val="center"/>
              <w:rPr>
                <w:rFonts w:eastAsia="楷体" w:cs="Times New Roman"/>
                <w:b/>
                <w:bCs/>
                <w:kern w:val="0"/>
                <w:sz w:val="21"/>
                <w:szCs w:val="21"/>
              </w:rPr>
            </w:pPr>
          </w:p>
        </w:tc>
        <w:tc>
          <w:tcPr>
            <w:tcW w:w="1570" w:type="dxa"/>
            <w:shd w:val="clear" w:color="auto" w:fill="auto"/>
            <w:vAlign w:val="center"/>
          </w:tcPr>
          <w:p w14:paraId="605A04CE">
            <w:pPr>
              <w:widowControl/>
              <w:adjustRightInd/>
              <w:snapToGrid/>
              <w:spacing w:line="240" w:lineRule="auto"/>
              <w:ind w:firstLine="0" w:firstLineChars="0"/>
              <w:jc w:val="center"/>
              <w:rPr>
                <w:rFonts w:eastAsia="楷体" w:cs="Times New Roman"/>
                <w:b/>
                <w:bCs/>
                <w:kern w:val="0"/>
                <w:sz w:val="21"/>
                <w:szCs w:val="21"/>
              </w:rPr>
            </w:pPr>
            <w:r>
              <w:rPr>
                <w:rFonts w:eastAsia="楷体" w:cs="Times New Roman"/>
                <w:b/>
                <w:bCs/>
                <w:kern w:val="0"/>
                <w:sz w:val="21"/>
                <w:szCs w:val="21"/>
              </w:rPr>
              <w:t xml:space="preserve">0.04 </w:t>
            </w:r>
          </w:p>
        </w:tc>
        <w:tc>
          <w:tcPr>
            <w:tcW w:w="1276" w:type="dxa"/>
            <w:shd w:val="clear" w:color="auto" w:fill="auto"/>
            <w:vAlign w:val="center"/>
          </w:tcPr>
          <w:p w14:paraId="3FA92B61">
            <w:pPr>
              <w:widowControl/>
              <w:adjustRightInd/>
              <w:snapToGrid/>
              <w:spacing w:line="240" w:lineRule="auto"/>
              <w:ind w:firstLine="0" w:firstLineChars="0"/>
              <w:jc w:val="center"/>
              <w:rPr>
                <w:rFonts w:eastAsia="楷体" w:cs="Times New Roman"/>
                <w:b/>
                <w:bCs/>
                <w:kern w:val="0"/>
                <w:sz w:val="21"/>
                <w:szCs w:val="21"/>
              </w:rPr>
            </w:pPr>
            <w:r>
              <w:rPr>
                <w:rFonts w:eastAsia="楷体" w:cs="Times New Roman"/>
                <w:b/>
                <w:bCs/>
                <w:kern w:val="0"/>
                <w:sz w:val="21"/>
                <w:szCs w:val="21"/>
              </w:rPr>
              <w:t xml:space="preserve">0.04 </w:t>
            </w:r>
          </w:p>
        </w:tc>
        <w:tc>
          <w:tcPr>
            <w:tcW w:w="939" w:type="dxa"/>
            <w:shd w:val="clear" w:color="auto" w:fill="auto"/>
            <w:noWrap/>
            <w:vAlign w:val="center"/>
          </w:tcPr>
          <w:p w14:paraId="00CAF247">
            <w:pPr>
              <w:widowControl/>
              <w:adjustRightInd/>
              <w:snapToGrid/>
              <w:spacing w:line="240" w:lineRule="auto"/>
              <w:ind w:firstLine="0" w:firstLineChars="0"/>
              <w:jc w:val="center"/>
              <w:rPr>
                <w:rFonts w:eastAsia="楷体" w:cs="Times New Roman"/>
                <w:b/>
                <w:bCs/>
                <w:kern w:val="0"/>
                <w:sz w:val="21"/>
                <w:szCs w:val="21"/>
              </w:rPr>
            </w:pPr>
            <w:r>
              <w:rPr>
                <w:rFonts w:eastAsia="楷体" w:cs="Times New Roman"/>
                <w:b/>
                <w:bCs/>
                <w:kern w:val="0"/>
                <w:sz w:val="21"/>
                <w:szCs w:val="21"/>
              </w:rPr>
              <w:t xml:space="preserve">1 </w:t>
            </w:r>
          </w:p>
        </w:tc>
      </w:tr>
      <w:tr w14:paraId="6C26A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567" w:hRule="atLeast"/>
        </w:trPr>
        <w:tc>
          <w:tcPr>
            <w:tcW w:w="849" w:type="dxa"/>
            <w:shd w:val="clear" w:color="000000" w:fill="E7E6E6"/>
            <w:vAlign w:val="center"/>
          </w:tcPr>
          <w:p w14:paraId="04BD46C4">
            <w:pPr>
              <w:widowControl/>
              <w:adjustRightInd/>
              <w:snapToGrid/>
              <w:spacing w:line="240" w:lineRule="auto"/>
              <w:ind w:firstLine="0" w:firstLineChars="0"/>
              <w:jc w:val="left"/>
              <w:rPr>
                <w:rFonts w:ascii="楷体" w:hAnsi="楷体" w:eastAsia="楷体" w:cs="Times New Roman"/>
                <w:b/>
                <w:bCs/>
                <w:kern w:val="0"/>
                <w:szCs w:val="21"/>
              </w:rPr>
            </w:pPr>
            <w:r>
              <w:rPr>
                <w:rFonts w:hint="eastAsia" w:ascii="楷体" w:hAnsi="楷体" w:eastAsia="楷体" w:cs="Times New Roman"/>
                <w:b/>
                <w:bCs/>
                <w:kern w:val="0"/>
                <w:szCs w:val="21"/>
              </w:rPr>
              <w:t>四</w:t>
            </w:r>
          </w:p>
        </w:tc>
        <w:tc>
          <w:tcPr>
            <w:tcW w:w="4108" w:type="dxa"/>
            <w:shd w:val="clear" w:color="000000" w:fill="E7E6E6"/>
            <w:vAlign w:val="center"/>
          </w:tcPr>
          <w:p w14:paraId="408C3F0F">
            <w:pPr>
              <w:widowControl/>
              <w:adjustRightInd/>
              <w:snapToGrid/>
              <w:spacing w:line="240" w:lineRule="auto"/>
              <w:ind w:firstLine="0" w:firstLineChars="0"/>
              <w:jc w:val="left"/>
              <w:rPr>
                <w:rFonts w:ascii="楷体" w:hAnsi="楷体" w:eastAsia="楷体" w:cs="宋体"/>
                <w:b/>
                <w:bCs/>
                <w:kern w:val="0"/>
                <w:szCs w:val="21"/>
              </w:rPr>
            </w:pPr>
            <w:r>
              <w:rPr>
                <w:rFonts w:hint="eastAsia" w:ascii="楷体" w:hAnsi="楷体" w:eastAsia="楷体" w:cs="宋体"/>
                <w:b/>
                <w:bCs/>
                <w:kern w:val="0"/>
                <w:szCs w:val="21"/>
              </w:rPr>
              <w:t>水网智慧化工程</w:t>
            </w:r>
          </w:p>
        </w:tc>
        <w:tc>
          <w:tcPr>
            <w:tcW w:w="8788" w:type="dxa"/>
            <w:shd w:val="clear" w:color="000000" w:fill="E7E6E6"/>
            <w:vAlign w:val="center"/>
          </w:tcPr>
          <w:p w14:paraId="353196CD">
            <w:pPr>
              <w:widowControl/>
              <w:adjustRightInd/>
              <w:snapToGrid/>
              <w:spacing w:line="240" w:lineRule="auto"/>
              <w:ind w:firstLine="0" w:firstLineChars="0"/>
              <w:jc w:val="left"/>
              <w:rPr>
                <w:rFonts w:ascii="楷体" w:hAnsi="楷体" w:eastAsia="楷体" w:cs="Times New Roman"/>
                <w:b/>
                <w:bCs/>
                <w:kern w:val="0"/>
                <w:szCs w:val="21"/>
              </w:rPr>
            </w:pPr>
          </w:p>
        </w:tc>
        <w:tc>
          <w:tcPr>
            <w:tcW w:w="1276" w:type="dxa"/>
            <w:shd w:val="clear" w:color="000000" w:fill="E7E6E6"/>
            <w:vAlign w:val="center"/>
          </w:tcPr>
          <w:p w14:paraId="652287F0">
            <w:pPr>
              <w:widowControl/>
              <w:adjustRightInd/>
              <w:snapToGrid/>
              <w:spacing w:line="240" w:lineRule="auto"/>
              <w:ind w:firstLine="0" w:firstLineChars="0"/>
              <w:jc w:val="center"/>
              <w:rPr>
                <w:rFonts w:eastAsia="楷体" w:cs="Times New Roman"/>
                <w:b/>
                <w:bCs/>
                <w:kern w:val="0"/>
                <w:szCs w:val="21"/>
              </w:rPr>
            </w:pPr>
          </w:p>
        </w:tc>
        <w:tc>
          <w:tcPr>
            <w:tcW w:w="1134" w:type="dxa"/>
            <w:shd w:val="clear" w:color="000000" w:fill="E7E6E6"/>
            <w:vAlign w:val="center"/>
          </w:tcPr>
          <w:p w14:paraId="7E880F59">
            <w:pPr>
              <w:widowControl/>
              <w:adjustRightInd/>
              <w:snapToGrid/>
              <w:spacing w:line="240" w:lineRule="auto"/>
              <w:ind w:firstLine="0" w:firstLineChars="0"/>
              <w:jc w:val="center"/>
              <w:rPr>
                <w:rFonts w:eastAsia="楷体" w:cs="Times New Roman"/>
                <w:b/>
                <w:bCs/>
                <w:kern w:val="0"/>
                <w:sz w:val="28"/>
                <w:szCs w:val="21"/>
              </w:rPr>
            </w:pPr>
            <w:r>
              <w:rPr>
                <w:rFonts w:eastAsia="楷体" w:cs="Times New Roman"/>
                <w:b/>
                <w:bCs/>
                <w:kern w:val="0"/>
                <w:sz w:val="28"/>
                <w:szCs w:val="21"/>
              </w:rPr>
              <w:t>8.6</w:t>
            </w:r>
          </w:p>
        </w:tc>
        <w:tc>
          <w:tcPr>
            <w:tcW w:w="1417" w:type="dxa"/>
            <w:shd w:val="clear" w:color="000000" w:fill="E7E6E6"/>
            <w:vAlign w:val="center"/>
          </w:tcPr>
          <w:p w14:paraId="338D1E9F">
            <w:pPr>
              <w:widowControl/>
              <w:adjustRightInd/>
              <w:snapToGrid/>
              <w:spacing w:line="240" w:lineRule="auto"/>
              <w:ind w:firstLine="0" w:firstLineChars="0"/>
              <w:jc w:val="center"/>
              <w:rPr>
                <w:rFonts w:eastAsia="楷体" w:cs="Times New Roman"/>
                <w:b/>
                <w:bCs/>
                <w:kern w:val="0"/>
                <w:sz w:val="28"/>
                <w:szCs w:val="21"/>
              </w:rPr>
            </w:pPr>
            <w:r>
              <w:rPr>
                <w:rFonts w:eastAsia="楷体" w:cs="Times New Roman"/>
                <w:b/>
                <w:bCs/>
                <w:kern w:val="0"/>
                <w:sz w:val="28"/>
                <w:szCs w:val="21"/>
              </w:rPr>
              <w:t>3.2</w:t>
            </w:r>
          </w:p>
        </w:tc>
        <w:tc>
          <w:tcPr>
            <w:tcW w:w="1570" w:type="dxa"/>
            <w:shd w:val="clear" w:color="000000" w:fill="E7E6E6"/>
            <w:vAlign w:val="center"/>
          </w:tcPr>
          <w:p w14:paraId="0CDDAE90">
            <w:pPr>
              <w:widowControl/>
              <w:adjustRightInd/>
              <w:snapToGrid/>
              <w:spacing w:line="240" w:lineRule="auto"/>
              <w:ind w:firstLine="0" w:firstLineChars="0"/>
              <w:jc w:val="center"/>
              <w:rPr>
                <w:rFonts w:eastAsia="楷体" w:cs="Times New Roman"/>
                <w:b/>
                <w:bCs/>
                <w:kern w:val="0"/>
                <w:sz w:val="28"/>
                <w:szCs w:val="21"/>
              </w:rPr>
            </w:pPr>
            <w:r>
              <w:rPr>
                <w:rFonts w:eastAsia="楷体" w:cs="Times New Roman"/>
                <w:b/>
                <w:bCs/>
                <w:kern w:val="0"/>
                <w:sz w:val="28"/>
                <w:szCs w:val="21"/>
              </w:rPr>
              <w:t>3.9</w:t>
            </w:r>
          </w:p>
        </w:tc>
        <w:tc>
          <w:tcPr>
            <w:tcW w:w="1276" w:type="dxa"/>
            <w:shd w:val="clear" w:color="000000" w:fill="E7E6E6"/>
            <w:vAlign w:val="center"/>
          </w:tcPr>
          <w:p w14:paraId="60D8B4AA">
            <w:pPr>
              <w:widowControl/>
              <w:adjustRightInd/>
              <w:snapToGrid/>
              <w:spacing w:line="240" w:lineRule="auto"/>
              <w:ind w:firstLine="0" w:firstLineChars="0"/>
              <w:jc w:val="center"/>
              <w:rPr>
                <w:rFonts w:eastAsia="楷体" w:cs="Times New Roman"/>
                <w:b/>
                <w:bCs/>
                <w:kern w:val="0"/>
                <w:sz w:val="28"/>
                <w:szCs w:val="21"/>
              </w:rPr>
            </w:pPr>
            <w:r>
              <w:rPr>
                <w:rFonts w:eastAsia="楷体" w:cs="Times New Roman"/>
                <w:b/>
                <w:bCs/>
                <w:kern w:val="0"/>
                <w:sz w:val="28"/>
                <w:szCs w:val="21"/>
              </w:rPr>
              <w:t>1.5</w:t>
            </w:r>
          </w:p>
        </w:tc>
        <w:tc>
          <w:tcPr>
            <w:tcW w:w="939" w:type="dxa"/>
            <w:shd w:val="clear" w:color="000000" w:fill="E7E6E6"/>
            <w:vAlign w:val="center"/>
          </w:tcPr>
          <w:p w14:paraId="76E0FB04">
            <w:pPr>
              <w:widowControl/>
              <w:adjustRightInd/>
              <w:snapToGrid/>
              <w:spacing w:line="240" w:lineRule="auto"/>
              <w:ind w:firstLine="0" w:firstLineChars="0"/>
              <w:jc w:val="center"/>
              <w:rPr>
                <w:rFonts w:eastAsia="楷体" w:cs="Times New Roman"/>
                <w:b/>
                <w:bCs/>
                <w:kern w:val="0"/>
                <w:sz w:val="28"/>
                <w:szCs w:val="21"/>
              </w:rPr>
            </w:pPr>
            <w:r>
              <w:rPr>
                <w:rFonts w:eastAsia="楷体" w:cs="Times New Roman"/>
                <w:b/>
                <w:bCs/>
                <w:kern w:val="0"/>
                <w:sz w:val="28"/>
                <w:szCs w:val="21"/>
              </w:rPr>
              <w:t>0</w:t>
            </w:r>
          </w:p>
        </w:tc>
      </w:tr>
      <w:tr w14:paraId="0FF06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567" w:hRule="atLeast"/>
        </w:trPr>
        <w:tc>
          <w:tcPr>
            <w:tcW w:w="849" w:type="dxa"/>
            <w:shd w:val="clear" w:color="auto" w:fill="auto"/>
            <w:vAlign w:val="center"/>
          </w:tcPr>
          <w:p w14:paraId="53BB2B36">
            <w:pPr>
              <w:widowControl/>
              <w:adjustRightInd/>
              <w:snapToGrid/>
              <w:spacing w:line="240" w:lineRule="auto"/>
              <w:ind w:firstLine="0" w:firstLineChars="0"/>
              <w:jc w:val="left"/>
              <w:rPr>
                <w:rFonts w:ascii="楷体" w:hAnsi="楷体" w:eastAsia="楷体" w:cs="Times New Roman"/>
                <w:b/>
                <w:bCs/>
                <w:kern w:val="0"/>
                <w:sz w:val="21"/>
                <w:szCs w:val="21"/>
              </w:rPr>
            </w:pPr>
            <w:r>
              <w:rPr>
                <w:rFonts w:hint="eastAsia" w:ascii="楷体" w:hAnsi="楷体" w:eastAsia="楷体" w:cs="Times New Roman"/>
                <w:b/>
                <w:bCs/>
                <w:kern w:val="0"/>
                <w:sz w:val="21"/>
                <w:szCs w:val="21"/>
              </w:rPr>
              <w:t>（一）</w:t>
            </w:r>
          </w:p>
        </w:tc>
        <w:tc>
          <w:tcPr>
            <w:tcW w:w="4108" w:type="dxa"/>
            <w:shd w:val="clear" w:color="auto" w:fill="auto"/>
            <w:noWrap/>
            <w:vAlign w:val="center"/>
          </w:tcPr>
          <w:p w14:paraId="0547ED20">
            <w:pPr>
              <w:widowControl/>
              <w:adjustRightInd/>
              <w:snapToGrid/>
              <w:spacing w:line="240" w:lineRule="auto"/>
              <w:ind w:firstLine="0" w:firstLineChars="0"/>
              <w:jc w:val="left"/>
              <w:rPr>
                <w:rFonts w:ascii="楷体" w:hAnsi="楷体" w:eastAsia="楷体" w:cs="宋体"/>
                <w:b/>
                <w:bCs/>
                <w:kern w:val="0"/>
                <w:sz w:val="21"/>
                <w:szCs w:val="21"/>
              </w:rPr>
            </w:pPr>
            <w:r>
              <w:rPr>
                <w:rFonts w:hint="eastAsia" w:ascii="楷体" w:hAnsi="楷体" w:eastAsia="楷体" w:cs="宋体"/>
                <w:b/>
                <w:bCs/>
                <w:kern w:val="0"/>
                <w:sz w:val="21"/>
                <w:szCs w:val="21"/>
              </w:rPr>
              <w:t>泰州市水利信息化基础设施工程</w:t>
            </w:r>
          </w:p>
        </w:tc>
        <w:tc>
          <w:tcPr>
            <w:tcW w:w="8788" w:type="dxa"/>
            <w:shd w:val="clear" w:color="auto" w:fill="auto"/>
            <w:noWrap/>
            <w:vAlign w:val="center"/>
          </w:tcPr>
          <w:p w14:paraId="777AFDB4">
            <w:pPr>
              <w:widowControl/>
              <w:adjustRightInd/>
              <w:snapToGrid/>
              <w:spacing w:line="240" w:lineRule="auto"/>
              <w:ind w:firstLine="0" w:firstLineChars="0"/>
              <w:jc w:val="left"/>
              <w:rPr>
                <w:rFonts w:ascii="楷体" w:hAnsi="楷体" w:eastAsia="楷体" w:cs="Times New Roman"/>
                <w:kern w:val="0"/>
                <w:sz w:val="21"/>
                <w:szCs w:val="21"/>
              </w:rPr>
            </w:pPr>
            <w:r>
              <w:rPr>
                <w:rFonts w:ascii="楷体" w:hAnsi="楷体" w:eastAsia="楷体" w:cs="Times New Roman"/>
                <w:kern w:val="0"/>
                <w:sz w:val="21"/>
                <w:szCs w:val="21"/>
              </w:rPr>
              <w:t>新增建设气象、水文等感知终端30个，完善基础通讯网络、提升存储、计算、共享服务能力。</w:t>
            </w:r>
          </w:p>
        </w:tc>
        <w:tc>
          <w:tcPr>
            <w:tcW w:w="1276" w:type="dxa"/>
            <w:shd w:val="clear" w:color="auto" w:fill="auto"/>
            <w:vAlign w:val="center"/>
          </w:tcPr>
          <w:p w14:paraId="66611392">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2024-2025</w:t>
            </w:r>
          </w:p>
        </w:tc>
        <w:tc>
          <w:tcPr>
            <w:tcW w:w="1134" w:type="dxa"/>
            <w:shd w:val="clear" w:color="auto" w:fill="auto"/>
            <w:vAlign w:val="center"/>
          </w:tcPr>
          <w:p w14:paraId="53CC7664">
            <w:pPr>
              <w:widowControl/>
              <w:adjustRightInd/>
              <w:snapToGrid/>
              <w:spacing w:line="240" w:lineRule="auto"/>
              <w:ind w:firstLine="0" w:firstLineChars="0"/>
              <w:jc w:val="center"/>
              <w:rPr>
                <w:rFonts w:eastAsia="楷体" w:cs="Times New Roman"/>
                <w:b/>
                <w:bCs/>
                <w:kern w:val="0"/>
                <w:sz w:val="21"/>
                <w:szCs w:val="21"/>
              </w:rPr>
            </w:pPr>
            <w:r>
              <w:rPr>
                <w:rFonts w:eastAsia="楷体" w:cs="Times New Roman"/>
                <w:b/>
                <w:bCs/>
                <w:kern w:val="0"/>
                <w:sz w:val="21"/>
                <w:szCs w:val="21"/>
              </w:rPr>
              <w:t>0.8</w:t>
            </w:r>
          </w:p>
        </w:tc>
        <w:tc>
          <w:tcPr>
            <w:tcW w:w="1417" w:type="dxa"/>
            <w:shd w:val="clear" w:color="auto" w:fill="auto"/>
            <w:noWrap/>
            <w:vAlign w:val="center"/>
          </w:tcPr>
          <w:p w14:paraId="08F7D522">
            <w:pPr>
              <w:widowControl/>
              <w:adjustRightInd/>
              <w:snapToGrid/>
              <w:spacing w:line="240" w:lineRule="auto"/>
              <w:ind w:firstLine="0" w:firstLineChars="0"/>
              <w:jc w:val="center"/>
              <w:rPr>
                <w:rFonts w:eastAsia="楷体" w:cs="Times New Roman"/>
                <w:b/>
                <w:bCs/>
                <w:kern w:val="0"/>
                <w:sz w:val="21"/>
                <w:szCs w:val="21"/>
              </w:rPr>
            </w:pPr>
            <w:r>
              <w:rPr>
                <w:rFonts w:eastAsia="楷体" w:cs="Times New Roman"/>
                <w:b/>
                <w:bCs/>
                <w:kern w:val="0"/>
                <w:sz w:val="21"/>
                <w:szCs w:val="21"/>
              </w:rPr>
              <w:t>0.30</w:t>
            </w:r>
          </w:p>
        </w:tc>
        <w:tc>
          <w:tcPr>
            <w:tcW w:w="1570" w:type="dxa"/>
            <w:shd w:val="clear" w:color="auto" w:fill="auto"/>
            <w:noWrap/>
            <w:vAlign w:val="center"/>
          </w:tcPr>
          <w:p w14:paraId="29917F9A">
            <w:pPr>
              <w:widowControl/>
              <w:adjustRightInd/>
              <w:snapToGrid/>
              <w:spacing w:line="240" w:lineRule="auto"/>
              <w:ind w:firstLine="0" w:firstLineChars="0"/>
              <w:jc w:val="center"/>
              <w:rPr>
                <w:rFonts w:eastAsia="楷体" w:cs="Times New Roman"/>
                <w:b/>
                <w:bCs/>
                <w:kern w:val="0"/>
                <w:sz w:val="21"/>
                <w:szCs w:val="21"/>
              </w:rPr>
            </w:pPr>
            <w:r>
              <w:rPr>
                <w:rFonts w:eastAsia="楷体" w:cs="Times New Roman"/>
                <w:b/>
                <w:bCs/>
                <w:kern w:val="0"/>
                <w:sz w:val="21"/>
                <w:szCs w:val="21"/>
              </w:rPr>
              <w:t xml:space="preserve">0.30 </w:t>
            </w:r>
          </w:p>
        </w:tc>
        <w:tc>
          <w:tcPr>
            <w:tcW w:w="1276" w:type="dxa"/>
            <w:shd w:val="clear" w:color="auto" w:fill="auto"/>
            <w:noWrap/>
            <w:vAlign w:val="center"/>
          </w:tcPr>
          <w:p w14:paraId="63686046">
            <w:pPr>
              <w:widowControl/>
              <w:adjustRightInd/>
              <w:snapToGrid/>
              <w:spacing w:line="240" w:lineRule="auto"/>
              <w:ind w:firstLine="0" w:firstLineChars="0"/>
              <w:jc w:val="center"/>
              <w:rPr>
                <w:rFonts w:eastAsia="楷体" w:cs="Times New Roman"/>
                <w:b/>
                <w:bCs/>
                <w:kern w:val="0"/>
                <w:sz w:val="21"/>
                <w:szCs w:val="21"/>
              </w:rPr>
            </w:pPr>
            <w:r>
              <w:rPr>
                <w:rFonts w:eastAsia="楷体" w:cs="Times New Roman"/>
                <w:b/>
                <w:bCs/>
                <w:kern w:val="0"/>
                <w:sz w:val="21"/>
                <w:szCs w:val="21"/>
              </w:rPr>
              <w:t>0.2</w:t>
            </w:r>
          </w:p>
        </w:tc>
        <w:tc>
          <w:tcPr>
            <w:tcW w:w="939" w:type="dxa"/>
            <w:shd w:val="clear" w:color="auto" w:fill="auto"/>
            <w:noWrap/>
            <w:vAlign w:val="center"/>
          </w:tcPr>
          <w:p w14:paraId="60468712">
            <w:pPr>
              <w:widowControl/>
              <w:adjustRightInd/>
              <w:snapToGrid/>
              <w:spacing w:line="240" w:lineRule="auto"/>
              <w:ind w:firstLine="0" w:firstLineChars="0"/>
              <w:jc w:val="center"/>
              <w:rPr>
                <w:rFonts w:eastAsia="楷体" w:cs="Times New Roman"/>
                <w:b/>
                <w:bCs/>
                <w:kern w:val="0"/>
                <w:sz w:val="21"/>
                <w:szCs w:val="21"/>
              </w:rPr>
            </w:pPr>
          </w:p>
        </w:tc>
      </w:tr>
      <w:tr w14:paraId="06C83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567" w:hRule="atLeast"/>
        </w:trPr>
        <w:tc>
          <w:tcPr>
            <w:tcW w:w="849" w:type="dxa"/>
            <w:shd w:val="clear" w:color="auto" w:fill="auto"/>
            <w:vAlign w:val="center"/>
          </w:tcPr>
          <w:p w14:paraId="0463C5B0">
            <w:pPr>
              <w:widowControl/>
              <w:adjustRightInd/>
              <w:snapToGrid/>
              <w:spacing w:line="240" w:lineRule="auto"/>
              <w:ind w:firstLine="0" w:firstLineChars="0"/>
              <w:jc w:val="left"/>
              <w:rPr>
                <w:rFonts w:ascii="楷体" w:hAnsi="楷体" w:eastAsia="楷体" w:cs="Times New Roman"/>
                <w:b/>
                <w:bCs/>
                <w:kern w:val="0"/>
                <w:sz w:val="21"/>
                <w:szCs w:val="21"/>
              </w:rPr>
            </w:pPr>
            <w:r>
              <w:rPr>
                <w:rFonts w:hint="eastAsia" w:ascii="楷体" w:hAnsi="楷体" w:eastAsia="楷体" w:cs="Times New Roman"/>
                <w:b/>
                <w:bCs/>
                <w:kern w:val="0"/>
                <w:sz w:val="21"/>
                <w:szCs w:val="21"/>
              </w:rPr>
              <w:t>（二）</w:t>
            </w:r>
          </w:p>
        </w:tc>
        <w:tc>
          <w:tcPr>
            <w:tcW w:w="4108" w:type="dxa"/>
            <w:shd w:val="clear" w:color="auto" w:fill="auto"/>
            <w:vAlign w:val="center"/>
          </w:tcPr>
          <w:p w14:paraId="383964BF">
            <w:pPr>
              <w:widowControl/>
              <w:adjustRightInd/>
              <w:snapToGrid/>
              <w:spacing w:line="240" w:lineRule="auto"/>
              <w:ind w:firstLine="0" w:firstLineChars="0"/>
              <w:jc w:val="left"/>
              <w:rPr>
                <w:rFonts w:ascii="楷体" w:hAnsi="楷体" w:eastAsia="楷体" w:cs="宋体"/>
                <w:b/>
                <w:bCs/>
                <w:kern w:val="0"/>
                <w:sz w:val="21"/>
                <w:szCs w:val="21"/>
              </w:rPr>
            </w:pPr>
            <w:r>
              <w:rPr>
                <w:rFonts w:hint="eastAsia" w:ascii="楷体" w:hAnsi="楷体" w:eastAsia="楷体" w:cs="宋体"/>
                <w:b/>
                <w:bCs/>
                <w:kern w:val="0"/>
                <w:sz w:val="21"/>
                <w:szCs w:val="21"/>
              </w:rPr>
              <w:t>数字孪生基础平台建设工程</w:t>
            </w:r>
          </w:p>
        </w:tc>
        <w:tc>
          <w:tcPr>
            <w:tcW w:w="8788" w:type="dxa"/>
            <w:shd w:val="clear" w:color="auto" w:fill="auto"/>
            <w:vAlign w:val="center"/>
          </w:tcPr>
          <w:p w14:paraId="660211B5">
            <w:pPr>
              <w:widowControl/>
              <w:adjustRightInd/>
              <w:snapToGrid/>
              <w:spacing w:line="240" w:lineRule="auto"/>
              <w:ind w:firstLine="0" w:firstLineChars="0"/>
              <w:jc w:val="left"/>
              <w:rPr>
                <w:rFonts w:ascii="楷体" w:hAnsi="楷体" w:eastAsia="楷体" w:cs="Times New Roman"/>
                <w:kern w:val="0"/>
                <w:sz w:val="21"/>
                <w:szCs w:val="21"/>
              </w:rPr>
            </w:pPr>
            <w:r>
              <w:rPr>
                <w:rFonts w:ascii="楷体" w:hAnsi="楷体" w:eastAsia="楷体" w:cs="Times New Roman"/>
                <w:kern w:val="0"/>
                <w:sz w:val="21"/>
                <w:szCs w:val="21"/>
              </w:rPr>
              <w:t>重点区域、重要河段、重点水利工程进行L</w:t>
            </w:r>
            <w:r>
              <w:rPr>
                <w:rFonts w:hint="eastAsia" w:ascii="楷体" w:hAnsi="楷体" w:eastAsia="楷体" w:cs="Times New Roman"/>
                <w:kern w:val="0"/>
                <w:sz w:val="21"/>
                <w:szCs w:val="21"/>
              </w:rPr>
              <w:t>2</w:t>
            </w:r>
            <w:r>
              <w:rPr>
                <w:rFonts w:ascii="楷体" w:hAnsi="楷体" w:eastAsia="楷体" w:cs="Times New Roman"/>
                <w:kern w:val="0"/>
                <w:sz w:val="21"/>
                <w:szCs w:val="21"/>
              </w:rPr>
              <w:t>、</w:t>
            </w:r>
            <w:r>
              <w:rPr>
                <w:rFonts w:hint="eastAsia" w:ascii="楷体" w:hAnsi="楷体" w:eastAsia="楷体" w:cs="Times New Roman"/>
                <w:kern w:val="0"/>
                <w:sz w:val="21"/>
                <w:szCs w:val="21"/>
              </w:rPr>
              <w:t>L</w:t>
            </w:r>
            <w:r>
              <w:rPr>
                <w:rFonts w:ascii="楷体" w:hAnsi="楷体" w:eastAsia="楷体" w:cs="Times New Roman"/>
                <w:kern w:val="0"/>
                <w:sz w:val="21"/>
                <w:szCs w:val="21"/>
              </w:rPr>
              <w:t>3级数据底板建设。其中重点区域包括大纵湖、溱湖等二十多个湖泊湖荡（含里下河滞涝圩），海陵、兴化等六个县区</w:t>
            </w:r>
            <w:r>
              <w:rPr>
                <w:rFonts w:hint="eastAsia" w:ascii="楷体" w:hAnsi="楷体" w:eastAsia="楷体" w:cs="Times New Roman"/>
                <w:kern w:val="0"/>
                <w:sz w:val="21"/>
                <w:szCs w:val="21"/>
              </w:rPr>
              <w:t>中心</w:t>
            </w:r>
            <w:r>
              <w:rPr>
                <w:rFonts w:ascii="楷体" w:hAnsi="楷体" w:eastAsia="楷体" w:cs="Times New Roman"/>
                <w:kern w:val="0"/>
                <w:sz w:val="21"/>
                <w:szCs w:val="21"/>
              </w:rPr>
              <w:t>城区；重点河道包括长江、泰州引江河、通扬运河、卤汀河、上官河、如泰运河等；重要水利工程包括天星港闸等沿江、沿老328国道闸站，县级以上水源地、水文站、雨量站；5级以上堤防等。每年新增建设视频监控点不少于200处；新建和完善水位水质监测站点20处，城区易涝监控监测站点40处；实施30座闸站工程信息化提升工程；实施20处智慧工地应用系统建设工程。</w:t>
            </w:r>
          </w:p>
        </w:tc>
        <w:tc>
          <w:tcPr>
            <w:tcW w:w="1276" w:type="dxa"/>
            <w:shd w:val="clear" w:color="auto" w:fill="auto"/>
            <w:vAlign w:val="center"/>
          </w:tcPr>
          <w:p w14:paraId="08E58DC2">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2024-2025</w:t>
            </w:r>
          </w:p>
        </w:tc>
        <w:tc>
          <w:tcPr>
            <w:tcW w:w="1134" w:type="dxa"/>
            <w:shd w:val="clear" w:color="auto" w:fill="auto"/>
            <w:vAlign w:val="center"/>
          </w:tcPr>
          <w:p w14:paraId="1E1F4B08">
            <w:pPr>
              <w:widowControl/>
              <w:adjustRightInd/>
              <w:snapToGrid/>
              <w:spacing w:line="240" w:lineRule="auto"/>
              <w:ind w:firstLine="0" w:firstLineChars="0"/>
              <w:jc w:val="center"/>
              <w:rPr>
                <w:rFonts w:eastAsia="楷体" w:cs="Times New Roman"/>
                <w:b/>
                <w:bCs/>
                <w:kern w:val="0"/>
                <w:sz w:val="21"/>
                <w:szCs w:val="21"/>
              </w:rPr>
            </w:pPr>
            <w:r>
              <w:rPr>
                <w:rFonts w:eastAsia="楷体" w:cs="Times New Roman"/>
                <w:b/>
                <w:bCs/>
                <w:kern w:val="0"/>
                <w:sz w:val="21"/>
                <w:szCs w:val="21"/>
              </w:rPr>
              <w:t>0.8</w:t>
            </w:r>
          </w:p>
        </w:tc>
        <w:tc>
          <w:tcPr>
            <w:tcW w:w="1417" w:type="dxa"/>
            <w:shd w:val="clear" w:color="auto" w:fill="auto"/>
            <w:noWrap/>
            <w:vAlign w:val="center"/>
          </w:tcPr>
          <w:p w14:paraId="44F0BFCC">
            <w:pPr>
              <w:widowControl/>
              <w:adjustRightInd/>
              <w:snapToGrid/>
              <w:spacing w:line="240" w:lineRule="auto"/>
              <w:ind w:firstLine="0" w:firstLineChars="0"/>
              <w:jc w:val="center"/>
              <w:rPr>
                <w:rFonts w:eastAsia="楷体" w:cs="Times New Roman"/>
                <w:b/>
                <w:bCs/>
                <w:kern w:val="0"/>
                <w:sz w:val="21"/>
                <w:szCs w:val="21"/>
              </w:rPr>
            </w:pPr>
            <w:r>
              <w:rPr>
                <w:rFonts w:eastAsia="楷体" w:cs="Times New Roman"/>
                <w:b/>
                <w:bCs/>
                <w:kern w:val="0"/>
                <w:sz w:val="21"/>
                <w:szCs w:val="21"/>
              </w:rPr>
              <w:t>0.30</w:t>
            </w:r>
          </w:p>
        </w:tc>
        <w:tc>
          <w:tcPr>
            <w:tcW w:w="1570" w:type="dxa"/>
            <w:shd w:val="clear" w:color="auto" w:fill="auto"/>
            <w:noWrap/>
            <w:vAlign w:val="center"/>
          </w:tcPr>
          <w:p w14:paraId="1A8A3841">
            <w:pPr>
              <w:widowControl/>
              <w:adjustRightInd/>
              <w:snapToGrid/>
              <w:spacing w:line="240" w:lineRule="auto"/>
              <w:ind w:firstLine="0" w:firstLineChars="0"/>
              <w:jc w:val="center"/>
              <w:rPr>
                <w:rFonts w:eastAsia="楷体" w:cs="Times New Roman"/>
                <w:b/>
                <w:bCs/>
                <w:kern w:val="0"/>
                <w:sz w:val="21"/>
                <w:szCs w:val="21"/>
              </w:rPr>
            </w:pPr>
            <w:r>
              <w:rPr>
                <w:rFonts w:eastAsia="楷体" w:cs="Times New Roman"/>
                <w:b/>
                <w:bCs/>
                <w:kern w:val="0"/>
                <w:sz w:val="21"/>
                <w:szCs w:val="21"/>
              </w:rPr>
              <w:t xml:space="preserve">0.30 </w:t>
            </w:r>
          </w:p>
        </w:tc>
        <w:tc>
          <w:tcPr>
            <w:tcW w:w="1276" w:type="dxa"/>
            <w:shd w:val="clear" w:color="auto" w:fill="auto"/>
            <w:noWrap/>
            <w:vAlign w:val="center"/>
          </w:tcPr>
          <w:p w14:paraId="4C5E7D26">
            <w:pPr>
              <w:widowControl/>
              <w:adjustRightInd/>
              <w:snapToGrid/>
              <w:spacing w:line="240" w:lineRule="auto"/>
              <w:ind w:firstLine="0" w:firstLineChars="0"/>
              <w:jc w:val="center"/>
              <w:rPr>
                <w:rFonts w:eastAsia="楷体" w:cs="Times New Roman"/>
                <w:b/>
                <w:bCs/>
                <w:kern w:val="0"/>
                <w:sz w:val="21"/>
                <w:szCs w:val="21"/>
              </w:rPr>
            </w:pPr>
            <w:r>
              <w:rPr>
                <w:rFonts w:eastAsia="楷体" w:cs="Times New Roman"/>
                <w:b/>
                <w:bCs/>
                <w:kern w:val="0"/>
                <w:sz w:val="21"/>
                <w:szCs w:val="21"/>
              </w:rPr>
              <w:t>0.2</w:t>
            </w:r>
          </w:p>
        </w:tc>
        <w:tc>
          <w:tcPr>
            <w:tcW w:w="939" w:type="dxa"/>
            <w:shd w:val="clear" w:color="auto" w:fill="auto"/>
            <w:noWrap/>
            <w:vAlign w:val="center"/>
          </w:tcPr>
          <w:p w14:paraId="61EDDF52">
            <w:pPr>
              <w:widowControl/>
              <w:adjustRightInd/>
              <w:snapToGrid/>
              <w:spacing w:line="240" w:lineRule="auto"/>
              <w:ind w:firstLine="0" w:firstLineChars="0"/>
              <w:jc w:val="center"/>
              <w:rPr>
                <w:rFonts w:eastAsia="楷体" w:cs="Times New Roman"/>
                <w:b/>
                <w:bCs/>
                <w:kern w:val="0"/>
                <w:sz w:val="21"/>
                <w:szCs w:val="21"/>
              </w:rPr>
            </w:pPr>
          </w:p>
        </w:tc>
      </w:tr>
      <w:tr w14:paraId="18EAB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567" w:hRule="atLeast"/>
        </w:trPr>
        <w:tc>
          <w:tcPr>
            <w:tcW w:w="849" w:type="dxa"/>
            <w:shd w:val="clear" w:color="auto" w:fill="auto"/>
            <w:vAlign w:val="center"/>
          </w:tcPr>
          <w:p w14:paraId="56941939">
            <w:pPr>
              <w:widowControl/>
              <w:adjustRightInd/>
              <w:snapToGrid/>
              <w:spacing w:line="240" w:lineRule="auto"/>
              <w:ind w:firstLine="0" w:firstLineChars="0"/>
              <w:jc w:val="left"/>
              <w:rPr>
                <w:rFonts w:ascii="楷体" w:hAnsi="楷体" w:eastAsia="楷体" w:cs="Times New Roman"/>
                <w:b/>
                <w:bCs/>
                <w:kern w:val="0"/>
                <w:sz w:val="21"/>
                <w:szCs w:val="21"/>
              </w:rPr>
            </w:pPr>
            <w:r>
              <w:rPr>
                <w:rFonts w:hint="eastAsia" w:ascii="楷体" w:hAnsi="楷体" w:eastAsia="楷体" w:cs="Times New Roman"/>
                <w:b/>
                <w:bCs/>
                <w:kern w:val="0"/>
                <w:sz w:val="21"/>
                <w:szCs w:val="21"/>
              </w:rPr>
              <w:t>（三）</w:t>
            </w:r>
          </w:p>
        </w:tc>
        <w:tc>
          <w:tcPr>
            <w:tcW w:w="4108" w:type="dxa"/>
            <w:shd w:val="clear" w:color="auto" w:fill="auto"/>
            <w:vAlign w:val="center"/>
          </w:tcPr>
          <w:p w14:paraId="4FFF4722">
            <w:pPr>
              <w:widowControl/>
              <w:adjustRightInd/>
              <w:snapToGrid/>
              <w:spacing w:line="240" w:lineRule="auto"/>
              <w:ind w:firstLine="0" w:firstLineChars="0"/>
              <w:jc w:val="left"/>
              <w:rPr>
                <w:rFonts w:ascii="楷体" w:hAnsi="楷体" w:eastAsia="楷体" w:cs="宋体"/>
                <w:b/>
                <w:bCs/>
                <w:kern w:val="0"/>
                <w:sz w:val="21"/>
                <w:szCs w:val="21"/>
              </w:rPr>
            </w:pPr>
            <w:r>
              <w:rPr>
                <w:rFonts w:hint="eastAsia" w:ascii="楷体" w:hAnsi="楷体" w:eastAsia="楷体" w:cs="宋体"/>
                <w:b/>
                <w:bCs/>
                <w:kern w:val="0"/>
                <w:sz w:val="21"/>
                <w:szCs w:val="21"/>
              </w:rPr>
              <w:t>数字孪生水网应用工程</w:t>
            </w:r>
          </w:p>
        </w:tc>
        <w:tc>
          <w:tcPr>
            <w:tcW w:w="8788" w:type="dxa"/>
            <w:shd w:val="clear" w:color="auto" w:fill="auto"/>
            <w:vAlign w:val="center"/>
          </w:tcPr>
          <w:p w14:paraId="11FE30B9">
            <w:pPr>
              <w:widowControl/>
              <w:adjustRightInd/>
              <w:snapToGrid/>
              <w:spacing w:line="240" w:lineRule="auto"/>
              <w:ind w:firstLine="0" w:firstLineChars="0"/>
              <w:jc w:val="left"/>
              <w:rPr>
                <w:rFonts w:ascii="楷体" w:hAnsi="楷体" w:eastAsia="楷体" w:cs="Times New Roman"/>
                <w:kern w:val="0"/>
                <w:sz w:val="21"/>
                <w:szCs w:val="21"/>
              </w:rPr>
            </w:pPr>
          </w:p>
        </w:tc>
        <w:tc>
          <w:tcPr>
            <w:tcW w:w="1276" w:type="dxa"/>
            <w:shd w:val="clear" w:color="auto" w:fill="auto"/>
            <w:vAlign w:val="center"/>
          </w:tcPr>
          <w:p w14:paraId="7FB341BB">
            <w:pPr>
              <w:widowControl/>
              <w:adjustRightInd/>
              <w:snapToGrid/>
              <w:spacing w:line="240" w:lineRule="auto"/>
              <w:ind w:firstLine="0" w:firstLineChars="0"/>
              <w:jc w:val="center"/>
              <w:rPr>
                <w:rFonts w:eastAsia="楷体" w:cs="Times New Roman"/>
                <w:kern w:val="0"/>
                <w:sz w:val="21"/>
                <w:szCs w:val="21"/>
              </w:rPr>
            </w:pPr>
          </w:p>
        </w:tc>
        <w:tc>
          <w:tcPr>
            <w:tcW w:w="1134" w:type="dxa"/>
            <w:shd w:val="clear" w:color="auto" w:fill="auto"/>
            <w:vAlign w:val="center"/>
          </w:tcPr>
          <w:p w14:paraId="50BA884D">
            <w:pPr>
              <w:widowControl/>
              <w:adjustRightInd/>
              <w:snapToGrid/>
              <w:spacing w:line="240" w:lineRule="auto"/>
              <w:ind w:firstLine="0" w:firstLineChars="0"/>
              <w:jc w:val="center"/>
              <w:rPr>
                <w:rFonts w:eastAsia="楷体" w:cs="Times New Roman"/>
                <w:b/>
                <w:bCs/>
                <w:kern w:val="0"/>
                <w:sz w:val="21"/>
                <w:szCs w:val="21"/>
              </w:rPr>
            </w:pPr>
            <w:r>
              <w:rPr>
                <w:rFonts w:hint="eastAsia" w:eastAsia="楷体" w:cs="Times New Roman"/>
                <w:b/>
                <w:bCs/>
                <w:kern w:val="0"/>
                <w:sz w:val="21"/>
                <w:szCs w:val="21"/>
              </w:rPr>
              <w:t>7</w:t>
            </w:r>
          </w:p>
        </w:tc>
        <w:tc>
          <w:tcPr>
            <w:tcW w:w="1417" w:type="dxa"/>
            <w:shd w:val="clear" w:color="auto" w:fill="auto"/>
            <w:noWrap/>
            <w:vAlign w:val="center"/>
          </w:tcPr>
          <w:p w14:paraId="51C70EA1">
            <w:pPr>
              <w:widowControl/>
              <w:adjustRightInd/>
              <w:snapToGrid/>
              <w:spacing w:line="240" w:lineRule="auto"/>
              <w:ind w:firstLine="0" w:firstLineChars="0"/>
              <w:jc w:val="center"/>
              <w:rPr>
                <w:rFonts w:eastAsia="楷体" w:cs="Times New Roman"/>
                <w:b/>
                <w:bCs/>
                <w:kern w:val="0"/>
                <w:sz w:val="21"/>
                <w:szCs w:val="21"/>
              </w:rPr>
            </w:pPr>
            <w:r>
              <w:rPr>
                <w:rFonts w:hint="eastAsia" w:eastAsia="楷体" w:cs="Times New Roman"/>
                <w:b/>
                <w:bCs/>
                <w:kern w:val="0"/>
                <w:sz w:val="21"/>
                <w:szCs w:val="21"/>
              </w:rPr>
              <w:t>2.6</w:t>
            </w:r>
          </w:p>
        </w:tc>
        <w:tc>
          <w:tcPr>
            <w:tcW w:w="1570" w:type="dxa"/>
            <w:shd w:val="clear" w:color="auto" w:fill="auto"/>
            <w:noWrap/>
            <w:vAlign w:val="center"/>
          </w:tcPr>
          <w:p w14:paraId="7FCCDBBA">
            <w:pPr>
              <w:widowControl/>
              <w:adjustRightInd/>
              <w:snapToGrid/>
              <w:spacing w:line="240" w:lineRule="auto"/>
              <w:ind w:firstLine="0" w:firstLineChars="0"/>
              <w:jc w:val="center"/>
              <w:rPr>
                <w:rFonts w:eastAsia="楷体" w:cs="Times New Roman"/>
                <w:b/>
                <w:bCs/>
                <w:kern w:val="0"/>
                <w:sz w:val="21"/>
                <w:szCs w:val="21"/>
              </w:rPr>
            </w:pPr>
            <w:r>
              <w:rPr>
                <w:rFonts w:hint="eastAsia" w:eastAsia="楷体" w:cs="Times New Roman"/>
                <w:b/>
                <w:bCs/>
                <w:kern w:val="0"/>
                <w:sz w:val="21"/>
                <w:szCs w:val="21"/>
              </w:rPr>
              <w:t>3.3</w:t>
            </w:r>
          </w:p>
        </w:tc>
        <w:tc>
          <w:tcPr>
            <w:tcW w:w="1276" w:type="dxa"/>
            <w:shd w:val="clear" w:color="auto" w:fill="auto"/>
            <w:noWrap/>
            <w:vAlign w:val="center"/>
          </w:tcPr>
          <w:p w14:paraId="4A8F61DB">
            <w:pPr>
              <w:widowControl/>
              <w:adjustRightInd/>
              <w:snapToGrid/>
              <w:spacing w:line="240" w:lineRule="auto"/>
              <w:ind w:firstLine="0" w:firstLineChars="0"/>
              <w:jc w:val="center"/>
              <w:rPr>
                <w:rFonts w:eastAsia="楷体" w:cs="Times New Roman"/>
                <w:b/>
                <w:bCs/>
                <w:kern w:val="0"/>
                <w:sz w:val="21"/>
                <w:szCs w:val="21"/>
              </w:rPr>
            </w:pPr>
            <w:r>
              <w:rPr>
                <w:rFonts w:hint="eastAsia" w:eastAsia="楷体" w:cs="Times New Roman"/>
                <w:b/>
                <w:bCs/>
                <w:kern w:val="0"/>
                <w:sz w:val="21"/>
                <w:szCs w:val="21"/>
              </w:rPr>
              <w:t>1.1</w:t>
            </w:r>
          </w:p>
        </w:tc>
        <w:tc>
          <w:tcPr>
            <w:tcW w:w="939" w:type="dxa"/>
            <w:shd w:val="clear" w:color="auto" w:fill="auto"/>
            <w:noWrap/>
            <w:vAlign w:val="center"/>
          </w:tcPr>
          <w:p w14:paraId="1715417A">
            <w:pPr>
              <w:widowControl/>
              <w:adjustRightInd/>
              <w:snapToGrid/>
              <w:spacing w:line="240" w:lineRule="auto"/>
              <w:ind w:firstLine="0" w:firstLineChars="0"/>
              <w:jc w:val="center"/>
              <w:rPr>
                <w:rFonts w:eastAsia="楷体" w:cs="Times New Roman"/>
                <w:b/>
                <w:bCs/>
                <w:kern w:val="0"/>
                <w:sz w:val="21"/>
                <w:szCs w:val="21"/>
              </w:rPr>
            </w:pPr>
          </w:p>
        </w:tc>
      </w:tr>
      <w:tr w14:paraId="148CF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567" w:hRule="atLeast"/>
        </w:trPr>
        <w:tc>
          <w:tcPr>
            <w:tcW w:w="849" w:type="dxa"/>
            <w:shd w:val="clear" w:color="auto" w:fill="auto"/>
            <w:vAlign w:val="center"/>
          </w:tcPr>
          <w:p w14:paraId="26CE3EAE">
            <w:pPr>
              <w:widowControl/>
              <w:adjustRightInd/>
              <w:snapToGrid/>
              <w:spacing w:line="240" w:lineRule="auto"/>
              <w:ind w:firstLine="0" w:firstLineChars="0"/>
              <w:jc w:val="left"/>
              <w:rPr>
                <w:rFonts w:ascii="楷体" w:hAnsi="楷体" w:eastAsia="楷体" w:cs="Times New Roman"/>
                <w:kern w:val="0"/>
                <w:sz w:val="21"/>
                <w:szCs w:val="21"/>
              </w:rPr>
            </w:pPr>
            <w:r>
              <w:rPr>
                <w:rFonts w:hint="eastAsia" w:ascii="楷体" w:hAnsi="楷体" w:eastAsia="楷体" w:cs="Times New Roman"/>
                <w:kern w:val="0"/>
                <w:sz w:val="21"/>
                <w:szCs w:val="21"/>
              </w:rPr>
              <w:t>（</w:t>
            </w:r>
            <w:r>
              <w:rPr>
                <w:rFonts w:ascii="楷体" w:hAnsi="楷体" w:eastAsia="楷体" w:cs="Times New Roman"/>
                <w:kern w:val="0"/>
                <w:sz w:val="21"/>
                <w:szCs w:val="21"/>
              </w:rPr>
              <w:t>1</w:t>
            </w:r>
            <w:r>
              <w:rPr>
                <w:rFonts w:hint="eastAsia" w:ascii="楷体" w:hAnsi="楷体" w:eastAsia="楷体" w:cs="Times New Roman"/>
                <w:kern w:val="0"/>
                <w:sz w:val="21"/>
                <w:szCs w:val="21"/>
              </w:rPr>
              <w:t>）</w:t>
            </w:r>
          </w:p>
        </w:tc>
        <w:tc>
          <w:tcPr>
            <w:tcW w:w="4108" w:type="dxa"/>
            <w:shd w:val="clear" w:color="auto" w:fill="auto"/>
            <w:vAlign w:val="center"/>
          </w:tcPr>
          <w:p w14:paraId="72C4E3D1">
            <w:pPr>
              <w:widowControl/>
              <w:adjustRightInd/>
              <w:snapToGrid/>
              <w:spacing w:line="240" w:lineRule="auto"/>
              <w:ind w:firstLine="0" w:firstLineChars="0"/>
              <w:jc w:val="left"/>
              <w:rPr>
                <w:rFonts w:ascii="楷体" w:hAnsi="楷体" w:eastAsia="楷体" w:cs="宋体"/>
                <w:kern w:val="0"/>
                <w:sz w:val="21"/>
                <w:szCs w:val="21"/>
              </w:rPr>
            </w:pPr>
            <w:r>
              <w:rPr>
                <w:rFonts w:hint="eastAsia" w:ascii="楷体" w:hAnsi="楷体" w:eastAsia="楷体" w:cs="宋体"/>
                <w:kern w:val="0"/>
                <w:sz w:val="21"/>
                <w:szCs w:val="21"/>
              </w:rPr>
              <w:t>通南片区平原河网数字孪生工程</w:t>
            </w:r>
          </w:p>
        </w:tc>
        <w:tc>
          <w:tcPr>
            <w:tcW w:w="8788" w:type="dxa"/>
            <w:shd w:val="clear" w:color="auto" w:fill="auto"/>
            <w:vAlign w:val="center"/>
          </w:tcPr>
          <w:p w14:paraId="1FDC8D1E">
            <w:pPr>
              <w:widowControl/>
              <w:adjustRightInd/>
              <w:snapToGrid/>
              <w:spacing w:line="240" w:lineRule="auto"/>
              <w:ind w:firstLine="0" w:firstLineChars="0"/>
              <w:jc w:val="left"/>
              <w:rPr>
                <w:rFonts w:ascii="楷体" w:hAnsi="楷体" w:eastAsia="楷体" w:cs="Times New Roman"/>
                <w:kern w:val="0"/>
                <w:sz w:val="21"/>
                <w:szCs w:val="21"/>
              </w:rPr>
            </w:pPr>
            <w:r>
              <w:rPr>
                <w:rFonts w:ascii="楷体" w:hAnsi="楷体" w:eastAsia="楷体" w:cs="Times New Roman"/>
                <w:kern w:val="0"/>
                <w:sz w:val="21"/>
                <w:szCs w:val="21"/>
              </w:rPr>
              <w:t>建立通南片水文水动力水质一维及二维耦合数学模型；建立水位及雨量监测站各10座；构建流量观测及水位、流量智能率定模块；拓展防汛及水环境调度模块，实现全域洪涝调度模拟。</w:t>
            </w:r>
          </w:p>
        </w:tc>
        <w:tc>
          <w:tcPr>
            <w:tcW w:w="1276" w:type="dxa"/>
            <w:shd w:val="clear" w:color="auto" w:fill="auto"/>
            <w:vAlign w:val="center"/>
          </w:tcPr>
          <w:p w14:paraId="0CB71634">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2024-2035</w:t>
            </w:r>
          </w:p>
        </w:tc>
        <w:tc>
          <w:tcPr>
            <w:tcW w:w="1134" w:type="dxa"/>
            <w:shd w:val="clear" w:color="auto" w:fill="auto"/>
            <w:vAlign w:val="center"/>
          </w:tcPr>
          <w:p w14:paraId="7ECB15A0">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 xml:space="preserve">1.00 </w:t>
            </w:r>
          </w:p>
        </w:tc>
        <w:tc>
          <w:tcPr>
            <w:tcW w:w="1417" w:type="dxa"/>
            <w:shd w:val="clear" w:color="auto" w:fill="auto"/>
            <w:vAlign w:val="center"/>
          </w:tcPr>
          <w:p w14:paraId="168CB604">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0.4</w:t>
            </w:r>
          </w:p>
        </w:tc>
        <w:tc>
          <w:tcPr>
            <w:tcW w:w="1570" w:type="dxa"/>
            <w:shd w:val="clear" w:color="auto" w:fill="auto"/>
            <w:noWrap/>
            <w:vAlign w:val="center"/>
          </w:tcPr>
          <w:p w14:paraId="4C1E9370">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0.6</w:t>
            </w:r>
          </w:p>
        </w:tc>
        <w:tc>
          <w:tcPr>
            <w:tcW w:w="1276" w:type="dxa"/>
            <w:shd w:val="clear" w:color="auto" w:fill="auto"/>
            <w:noWrap/>
            <w:vAlign w:val="center"/>
          </w:tcPr>
          <w:p w14:paraId="1BB21F35">
            <w:pPr>
              <w:widowControl/>
              <w:adjustRightInd/>
              <w:snapToGrid/>
              <w:spacing w:line="240" w:lineRule="auto"/>
              <w:ind w:firstLine="0" w:firstLineChars="0"/>
              <w:jc w:val="center"/>
              <w:rPr>
                <w:rFonts w:eastAsia="楷体" w:cs="Times New Roman"/>
                <w:kern w:val="0"/>
                <w:sz w:val="21"/>
                <w:szCs w:val="21"/>
              </w:rPr>
            </w:pPr>
          </w:p>
        </w:tc>
        <w:tc>
          <w:tcPr>
            <w:tcW w:w="939" w:type="dxa"/>
            <w:shd w:val="clear" w:color="auto" w:fill="auto"/>
            <w:noWrap/>
            <w:vAlign w:val="center"/>
          </w:tcPr>
          <w:p w14:paraId="1F8D648D">
            <w:pPr>
              <w:widowControl/>
              <w:adjustRightInd/>
              <w:snapToGrid/>
              <w:spacing w:line="240" w:lineRule="auto"/>
              <w:ind w:firstLine="0" w:firstLineChars="0"/>
              <w:jc w:val="center"/>
              <w:rPr>
                <w:rFonts w:eastAsia="楷体" w:cs="Times New Roman"/>
                <w:kern w:val="0"/>
                <w:sz w:val="21"/>
                <w:szCs w:val="21"/>
              </w:rPr>
            </w:pPr>
          </w:p>
        </w:tc>
      </w:tr>
      <w:tr w14:paraId="7FACD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567" w:hRule="atLeast"/>
        </w:trPr>
        <w:tc>
          <w:tcPr>
            <w:tcW w:w="849" w:type="dxa"/>
            <w:shd w:val="clear" w:color="auto" w:fill="auto"/>
            <w:vAlign w:val="center"/>
          </w:tcPr>
          <w:p w14:paraId="172F702E">
            <w:pPr>
              <w:widowControl/>
              <w:adjustRightInd/>
              <w:snapToGrid/>
              <w:spacing w:line="240" w:lineRule="auto"/>
              <w:ind w:firstLine="0" w:firstLineChars="0"/>
              <w:jc w:val="left"/>
              <w:rPr>
                <w:rFonts w:ascii="楷体" w:hAnsi="楷体" w:eastAsia="楷体" w:cs="Times New Roman"/>
                <w:kern w:val="0"/>
                <w:sz w:val="21"/>
                <w:szCs w:val="21"/>
              </w:rPr>
            </w:pPr>
            <w:r>
              <w:rPr>
                <w:rFonts w:hint="eastAsia" w:ascii="楷体" w:hAnsi="楷体" w:eastAsia="楷体" w:cs="Times New Roman"/>
                <w:kern w:val="0"/>
                <w:sz w:val="21"/>
                <w:szCs w:val="21"/>
              </w:rPr>
              <w:t>（</w:t>
            </w:r>
            <w:r>
              <w:rPr>
                <w:rFonts w:ascii="楷体" w:hAnsi="楷体" w:eastAsia="楷体" w:cs="Times New Roman"/>
                <w:kern w:val="0"/>
                <w:sz w:val="21"/>
                <w:szCs w:val="21"/>
              </w:rPr>
              <w:t>2</w:t>
            </w:r>
            <w:r>
              <w:rPr>
                <w:rFonts w:hint="eastAsia" w:ascii="楷体" w:hAnsi="楷体" w:eastAsia="楷体" w:cs="Times New Roman"/>
                <w:kern w:val="0"/>
                <w:sz w:val="21"/>
                <w:szCs w:val="21"/>
              </w:rPr>
              <w:t>）</w:t>
            </w:r>
          </w:p>
        </w:tc>
        <w:tc>
          <w:tcPr>
            <w:tcW w:w="4108" w:type="dxa"/>
            <w:shd w:val="clear" w:color="auto" w:fill="auto"/>
            <w:vAlign w:val="center"/>
          </w:tcPr>
          <w:p w14:paraId="2B384B6B">
            <w:pPr>
              <w:widowControl/>
              <w:adjustRightInd/>
              <w:snapToGrid/>
              <w:spacing w:line="240" w:lineRule="auto"/>
              <w:ind w:firstLine="0" w:firstLineChars="0"/>
              <w:jc w:val="left"/>
              <w:rPr>
                <w:rFonts w:ascii="楷体" w:hAnsi="楷体" w:eastAsia="楷体" w:cs="宋体"/>
                <w:kern w:val="0"/>
                <w:sz w:val="21"/>
                <w:szCs w:val="21"/>
              </w:rPr>
            </w:pPr>
            <w:r>
              <w:rPr>
                <w:rFonts w:hint="eastAsia" w:ascii="楷体" w:hAnsi="楷体" w:eastAsia="楷体" w:cs="宋体"/>
                <w:kern w:val="0"/>
                <w:sz w:val="21"/>
                <w:szCs w:val="21"/>
              </w:rPr>
              <w:t>拓展里下河水旱灾害防御智慧决策系统</w:t>
            </w:r>
          </w:p>
        </w:tc>
        <w:tc>
          <w:tcPr>
            <w:tcW w:w="8788" w:type="dxa"/>
            <w:shd w:val="clear" w:color="auto" w:fill="auto"/>
            <w:vAlign w:val="center"/>
          </w:tcPr>
          <w:p w14:paraId="3C260213">
            <w:pPr>
              <w:widowControl/>
              <w:adjustRightInd/>
              <w:snapToGrid/>
              <w:spacing w:line="240" w:lineRule="auto"/>
              <w:ind w:firstLine="0" w:firstLineChars="0"/>
              <w:jc w:val="left"/>
              <w:rPr>
                <w:rFonts w:ascii="楷体" w:hAnsi="楷体" w:eastAsia="楷体" w:cs="Times New Roman"/>
                <w:kern w:val="0"/>
                <w:sz w:val="21"/>
                <w:szCs w:val="21"/>
              </w:rPr>
            </w:pPr>
            <w:r>
              <w:rPr>
                <w:rFonts w:ascii="楷体" w:hAnsi="楷体" w:eastAsia="楷体" w:cs="Times New Roman"/>
                <w:kern w:val="0"/>
                <w:sz w:val="21"/>
                <w:szCs w:val="21"/>
              </w:rPr>
              <w:t>基于省“5+5+3”平台，衔接并拓展里下河水旱灾害防御智慧决策系统。</w:t>
            </w:r>
          </w:p>
        </w:tc>
        <w:tc>
          <w:tcPr>
            <w:tcW w:w="1276" w:type="dxa"/>
            <w:shd w:val="clear" w:color="auto" w:fill="auto"/>
            <w:vAlign w:val="center"/>
          </w:tcPr>
          <w:p w14:paraId="2C1BF9EA">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2024-2035</w:t>
            </w:r>
          </w:p>
        </w:tc>
        <w:tc>
          <w:tcPr>
            <w:tcW w:w="1134" w:type="dxa"/>
            <w:shd w:val="clear" w:color="auto" w:fill="auto"/>
            <w:vAlign w:val="center"/>
          </w:tcPr>
          <w:p w14:paraId="79092F4C">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0.5</w:t>
            </w:r>
          </w:p>
        </w:tc>
        <w:tc>
          <w:tcPr>
            <w:tcW w:w="1417" w:type="dxa"/>
            <w:shd w:val="clear" w:color="auto" w:fill="auto"/>
            <w:vAlign w:val="center"/>
          </w:tcPr>
          <w:p w14:paraId="21A8735C">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 xml:space="preserve">0.20 </w:t>
            </w:r>
          </w:p>
        </w:tc>
        <w:tc>
          <w:tcPr>
            <w:tcW w:w="1570" w:type="dxa"/>
            <w:shd w:val="clear" w:color="auto" w:fill="auto"/>
            <w:vAlign w:val="center"/>
          </w:tcPr>
          <w:p w14:paraId="4BC5D610">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0.2</w:t>
            </w:r>
          </w:p>
        </w:tc>
        <w:tc>
          <w:tcPr>
            <w:tcW w:w="1276" w:type="dxa"/>
            <w:shd w:val="clear" w:color="auto" w:fill="auto"/>
            <w:vAlign w:val="center"/>
          </w:tcPr>
          <w:p w14:paraId="01820097">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0.1</w:t>
            </w:r>
          </w:p>
        </w:tc>
        <w:tc>
          <w:tcPr>
            <w:tcW w:w="939" w:type="dxa"/>
            <w:shd w:val="clear" w:color="auto" w:fill="auto"/>
            <w:vAlign w:val="center"/>
          </w:tcPr>
          <w:p w14:paraId="7738D047">
            <w:pPr>
              <w:widowControl/>
              <w:adjustRightInd/>
              <w:snapToGrid/>
              <w:spacing w:line="240" w:lineRule="auto"/>
              <w:ind w:firstLine="0" w:firstLineChars="0"/>
              <w:jc w:val="center"/>
              <w:rPr>
                <w:rFonts w:eastAsia="楷体" w:cs="Times New Roman"/>
                <w:kern w:val="0"/>
                <w:sz w:val="21"/>
                <w:szCs w:val="21"/>
              </w:rPr>
            </w:pPr>
          </w:p>
        </w:tc>
      </w:tr>
      <w:tr w14:paraId="350AB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567" w:hRule="atLeast"/>
        </w:trPr>
        <w:tc>
          <w:tcPr>
            <w:tcW w:w="849" w:type="dxa"/>
            <w:shd w:val="clear" w:color="auto" w:fill="auto"/>
            <w:vAlign w:val="center"/>
          </w:tcPr>
          <w:p w14:paraId="6A9F731F">
            <w:pPr>
              <w:widowControl/>
              <w:adjustRightInd/>
              <w:snapToGrid/>
              <w:spacing w:line="240" w:lineRule="auto"/>
              <w:ind w:firstLine="0" w:firstLineChars="0"/>
              <w:jc w:val="left"/>
              <w:rPr>
                <w:rFonts w:ascii="楷体" w:hAnsi="楷体" w:eastAsia="楷体" w:cs="Times New Roman"/>
                <w:kern w:val="0"/>
                <w:sz w:val="21"/>
                <w:szCs w:val="21"/>
              </w:rPr>
            </w:pPr>
            <w:r>
              <w:rPr>
                <w:rFonts w:hint="eastAsia" w:ascii="楷体" w:hAnsi="楷体" w:eastAsia="楷体" w:cs="Times New Roman"/>
                <w:kern w:val="0"/>
                <w:sz w:val="21"/>
                <w:szCs w:val="21"/>
              </w:rPr>
              <w:t>（</w:t>
            </w:r>
            <w:r>
              <w:rPr>
                <w:rFonts w:ascii="楷体" w:hAnsi="楷体" w:eastAsia="楷体" w:cs="Times New Roman"/>
                <w:kern w:val="0"/>
                <w:sz w:val="21"/>
                <w:szCs w:val="21"/>
              </w:rPr>
              <w:t>3</w:t>
            </w:r>
            <w:r>
              <w:rPr>
                <w:rFonts w:hint="eastAsia" w:ascii="楷体" w:hAnsi="楷体" w:eastAsia="楷体" w:cs="Times New Roman"/>
                <w:kern w:val="0"/>
                <w:sz w:val="21"/>
                <w:szCs w:val="21"/>
              </w:rPr>
              <w:t>）</w:t>
            </w:r>
          </w:p>
        </w:tc>
        <w:tc>
          <w:tcPr>
            <w:tcW w:w="4108" w:type="dxa"/>
            <w:shd w:val="clear" w:color="auto" w:fill="auto"/>
            <w:vAlign w:val="center"/>
          </w:tcPr>
          <w:p w14:paraId="609E34F8">
            <w:pPr>
              <w:widowControl/>
              <w:adjustRightInd/>
              <w:snapToGrid/>
              <w:spacing w:line="240" w:lineRule="auto"/>
              <w:ind w:firstLine="0" w:firstLineChars="0"/>
              <w:jc w:val="left"/>
              <w:rPr>
                <w:rFonts w:ascii="楷体" w:hAnsi="楷体" w:eastAsia="楷体" w:cs="宋体"/>
                <w:kern w:val="0"/>
                <w:sz w:val="21"/>
                <w:szCs w:val="21"/>
              </w:rPr>
            </w:pPr>
            <w:r>
              <w:rPr>
                <w:rFonts w:hint="eastAsia" w:ascii="楷体" w:hAnsi="楷体" w:eastAsia="楷体" w:cs="宋体"/>
                <w:kern w:val="0"/>
                <w:sz w:val="21"/>
                <w:szCs w:val="21"/>
              </w:rPr>
              <w:t>长江崩岸监测与数字孪生长江系统</w:t>
            </w:r>
          </w:p>
        </w:tc>
        <w:tc>
          <w:tcPr>
            <w:tcW w:w="8788" w:type="dxa"/>
            <w:shd w:val="clear" w:color="auto" w:fill="auto"/>
            <w:vAlign w:val="center"/>
          </w:tcPr>
          <w:p w14:paraId="328828CF">
            <w:pPr>
              <w:widowControl/>
              <w:adjustRightInd/>
              <w:snapToGrid/>
              <w:spacing w:line="240" w:lineRule="auto"/>
              <w:ind w:firstLine="0" w:firstLineChars="0"/>
              <w:jc w:val="left"/>
              <w:rPr>
                <w:rFonts w:ascii="楷体" w:hAnsi="楷体" w:eastAsia="楷体" w:cs="Times New Roman"/>
                <w:kern w:val="0"/>
                <w:sz w:val="21"/>
                <w:szCs w:val="21"/>
              </w:rPr>
            </w:pPr>
            <w:r>
              <w:rPr>
                <w:rFonts w:ascii="楷体" w:hAnsi="楷体" w:eastAsia="楷体" w:cs="Times New Roman"/>
                <w:kern w:val="0"/>
                <w:sz w:val="21"/>
                <w:szCs w:val="21"/>
              </w:rPr>
              <w:t>基于省“5+5+3”平台，衔接并拓展长江崩岸监测系统，构建数字孪生长江。</w:t>
            </w:r>
          </w:p>
        </w:tc>
        <w:tc>
          <w:tcPr>
            <w:tcW w:w="1276" w:type="dxa"/>
            <w:shd w:val="clear" w:color="auto" w:fill="auto"/>
            <w:vAlign w:val="center"/>
          </w:tcPr>
          <w:p w14:paraId="365372A1">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2024-2035</w:t>
            </w:r>
          </w:p>
        </w:tc>
        <w:tc>
          <w:tcPr>
            <w:tcW w:w="1134" w:type="dxa"/>
            <w:shd w:val="clear" w:color="auto" w:fill="auto"/>
            <w:vAlign w:val="center"/>
          </w:tcPr>
          <w:p w14:paraId="15D43EC9">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0.5</w:t>
            </w:r>
          </w:p>
        </w:tc>
        <w:tc>
          <w:tcPr>
            <w:tcW w:w="1417" w:type="dxa"/>
            <w:shd w:val="clear" w:color="auto" w:fill="auto"/>
            <w:noWrap/>
            <w:vAlign w:val="center"/>
          </w:tcPr>
          <w:p w14:paraId="6CF565C8">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 xml:space="preserve">0.20 </w:t>
            </w:r>
          </w:p>
        </w:tc>
        <w:tc>
          <w:tcPr>
            <w:tcW w:w="1570" w:type="dxa"/>
            <w:shd w:val="clear" w:color="auto" w:fill="auto"/>
            <w:vAlign w:val="center"/>
          </w:tcPr>
          <w:p w14:paraId="07E20507">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0.2</w:t>
            </w:r>
          </w:p>
        </w:tc>
        <w:tc>
          <w:tcPr>
            <w:tcW w:w="1276" w:type="dxa"/>
            <w:shd w:val="clear" w:color="auto" w:fill="auto"/>
            <w:noWrap/>
            <w:vAlign w:val="center"/>
          </w:tcPr>
          <w:p w14:paraId="17136632">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0.1</w:t>
            </w:r>
          </w:p>
        </w:tc>
        <w:tc>
          <w:tcPr>
            <w:tcW w:w="939" w:type="dxa"/>
            <w:shd w:val="clear" w:color="auto" w:fill="auto"/>
            <w:noWrap/>
            <w:vAlign w:val="center"/>
          </w:tcPr>
          <w:p w14:paraId="1481817C">
            <w:pPr>
              <w:widowControl/>
              <w:adjustRightInd/>
              <w:snapToGrid/>
              <w:spacing w:line="240" w:lineRule="auto"/>
              <w:ind w:firstLine="0" w:firstLineChars="0"/>
              <w:jc w:val="center"/>
              <w:rPr>
                <w:rFonts w:eastAsia="楷体" w:cs="Times New Roman"/>
                <w:kern w:val="0"/>
                <w:sz w:val="21"/>
                <w:szCs w:val="21"/>
              </w:rPr>
            </w:pPr>
          </w:p>
        </w:tc>
      </w:tr>
      <w:tr w14:paraId="68567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567" w:hRule="atLeast"/>
        </w:trPr>
        <w:tc>
          <w:tcPr>
            <w:tcW w:w="849" w:type="dxa"/>
            <w:shd w:val="clear" w:color="auto" w:fill="auto"/>
            <w:vAlign w:val="center"/>
          </w:tcPr>
          <w:p w14:paraId="4C3D57C3">
            <w:pPr>
              <w:widowControl/>
              <w:adjustRightInd/>
              <w:snapToGrid/>
              <w:spacing w:line="240" w:lineRule="auto"/>
              <w:ind w:firstLine="0" w:firstLineChars="0"/>
              <w:jc w:val="left"/>
              <w:rPr>
                <w:rFonts w:ascii="楷体" w:hAnsi="楷体" w:eastAsia="楷体" w:cs="Times New Roman"/>
                <w:kern w:val="0"/>
                <w:sz w:val="21"/>
                <w:szCs w:val="21"/>
              </w:rPr>
            </w:pPr>
            <w:r>
              <w:rPr>
                <w:rFonts w:hint="eastAsia" w:ascii="楷体" w:hAnsi="楷体" w:eastAsia="楷体" w:cs="Times New Roman"/>
                <w:kern w:val="0"/>
                <w:sz w:val="21"/>
                <w:szCs w:val="21"/>
              </w:rPr>
              <w:t>（</w:t>
            </w:r>
            <w:r>
              <w:rPr>
                <w:rFonts w:ascii="楷体" w:hAnsi="楷体" w:eastAsia="楷体" w:cs="Times New Roman"/>
                <w:kern w:val="0"/>
                <w:sz w:val="21"/>
                <w:szCs w:val="21"/>
              </w:rPr>
              <w:t>4</w:t>
            </w:r>
            <w:r>
              <w:rPr>
                <w:rFonts w:hint="eastAsia" w:ascii="楷体" w:hAnsi="楷体" w:eastAsia="楷体" w:cs="Times New Roman"/>
                <w:kern w:val="0"/>
                <w:sz w:val="21"/>
                <w:szCs w:val="21"/>
              </w:rPr>
              <w:t>）</w:t>
            </w:r>
          </w:p>
        </w:tc>
        <w:tc>
          <w:tcPr>
            <w:tcW w:w="4108" w:type="dxa"/>
            <w:shd w:val="clear" w:color="auto" w:fill="auto"/>
            <w:vAlign w:val="center"/>
          </w:tcPr>
          <w:p w14:paraId="71FB8DB6">
            <w:pPr>
              <w:widowControl/>
              <w:adjustRightInd/>
              <w:snapToGrid/>
              <w:spacing w:line="240" w:lineRule="auto"/>
              <w:ind w:firstLine="0" w:firstLineChars="0"/>
              <w:jc w:val="left"/>
              <w:rPr>
                <w:rFonts w:ascii="楷体" w:hAnsi="楷体" w:eastAsia="楷体" w:cs="宋体"/>
                <w:kern w:val="0"/>
                <w:sz w:val="21"/>
                <w:szCs w:val="21"/>
              </w:rPr>
            </w:pPr>
            <w:r>
              <w:rPr>
                <w:rFonts w:hint="eastAsia" w:ascii="楷体" w:hAnsi="楷体" w:eastAsia="楷体" w:cs="宋体"/>
                <w:kern w:val="0"/>
                <w:sz w:val="21"/>
                <w:szCs w:val="21"/>
              </w:rPr>
              <w:t>泰州市城市建成区水网全域物理模拟及数字孪生</w:t>
            </w:r>
          </w:p>
        </w:tc>
        <w:tc>
          <w:tcPr>
            <w:tcW w:w="8788" w:type="dxa"/>
            <w:shd w:val="clear" w:color="auto" w:fill="auto"/>
            <w:vAlign w:val="center"/>
          </w:tcPr>
          <w:p w14:paraId="7D89A11D">
            <w:pPr>
              <w:widowControl/>
              <w:adjustRightInd/>
              <w:snapToGrid/>
              <w:spacing w:line="240" w:lineRule="auto"/>
              <w:ind w:firstLine="0" w:firstLineChars="0"/>
              <w:jc w:val="left"/>
              <w:rPr>
                <w:rFonts w:ascii="楷体" w:hAnsi="楷体" w:eastAsia="楷体" w:cs="Times New Roman"/>
                <w:kern w:val="0"/>
                <w:sz w:val="21"/>
                <w:szCs w:val="21"/>
              </w:rPr>
            </w:pPr>
            <w:r>
              <w:rPr>
                <w:rFonts w:ascii="楷体" w:hAnsi="楷体" w:eastAsia="楷体" w:cs="Times New Roman"/>
                <w:kern w:val="0"/>
                <w:sz w:val="21"/>
                <w:szCs w:val="21"/>
              </w:rPr>
              <w:t>以九龙片区为基础，构建城市建成区基础数据L3底板、城市建成区中小型控水建筑物单体模型和基于物理模型与数学模型交互预报的“四预”功能。</w:t>
            </w:r>
          </w:p>
        </w:tc>
        <w:tc>
          <w:tcPr>
            <w:tcW w:w="1276" w:type="dxa"/>
            <w:shd w:val="clear" w:color="auto" w:fill="auto"/>
            <w:vAlign w:val="center"/>
          </w:tcPr>
          <w:p w14:paraId="27BD565A">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 xml:space="preserve">2024 </w:t>
            </w:r>
          </w:p>
        </w:tc>
        <w:tc>
          <w:tcPr>
            <w:tcW w:w="1134" w:type="dxa"/>
            <w:shd w:val="clear" w:color="auto" w:fill="auto"/>
            <w:vAlign w:val="center"/>
          </w:tcPr>
          <w:p w14:paraId="4D6087C8">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 xml:space="preserve">1.00 </w:t>
            </w:r>
          </w:p>
        </w:tc>
        <w:tc>
          <w:tcPr>
            <w:tcW w:w="1417" w:type="dxa"/>
            <w:shd w:val="clear" w:color="auto" w:fill="auto"/>
            <w:vAlign w:val="center"/>
          </w:tcPr>
          <w:p w14:paraId="07FB18DC">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 xml:space="preserve">1.00 </w:t>
            </w:r>
          </w:p>
        </w:tc>
        <w:tc>
          <w:tcPr>
            <w:tcW w:w="1570" w:type="dxa"/>
            <w:shd w:val="clear" w:color="auto" w:fill="auto"/>
            <w:noWrap/>
            <w:vAlign w:val="center"/>
          </w:tcPr>
          <w:p w14:paraId="2AD9FAD5">
            <w:pPr>
              <w:widowControl/>
              <w:adjustRightInd/>
              <w:snapToGrid/>
              <w:spacing w:line="240" w:lineRule="auto"/>
              <w:ind w:firstLine="0" w:firstLineChars="0"/>
              <w:jc w:val="center"/>
              <w:rPr>
                <w:rFonts w:eastAsia="楷体" w:cs="Times New Roman"/>
                <w:kern w:val="0"/>
                <w:sz w:val="21"/>
                <w:szCs w:val="21"/>
              </w:rPr>
            </w:pPr>
          </w:p>
        </w:tc>
        <w:tc>
          <w:tcPr>
            <w:tcW w:w="1276" w:type="dxa"/>
            <w:shd w:val="clear" w:color="auto" w:fill="auto"/>
            <w:noWrap/>
            <w:vAlign w:val="center"/>
          </w:tcPr>
          <w:p w14:paraId="6AD40396">
            <w:pPr>
              <w:widowControl/>
              <w:adjustRightInd/>
              <w:snapToGrid/>
              <w:spacing w:line="240" w:lineRule="auto"/>
              <w:ind w:firstLine="0" w:firstLineChars="0"/>
              <w:jc w:val="center"/>
              <w:rPr>
                <w:rFonts w:eastAsia="楷体" w:cs="Times New Roman"/>
                <w:kern w:val="0"/>
                <w:sz w:val="21"/>
                <w:szCs w:val="21"/>
              </w:rPr>
            </w:pPr>
          </w:p>
        </w:tc>
        <w:tc>
          <w:tcPr>
            <w:tcW w:w="939" w:type="dxa"/>
            <w:shd w:val="clear" w:color="auto" w:fill="auto"/>
            <w:noWrap/>
            <w:vAlign w:val="center"/>
          </w:tcPr>
          <w:p w14:paraId="70229545">
            <w:pPr>
              <w:widowControl/>
              <w:adjustRightInd/>
              <w:snapToGrid/>
              <w:spacing w:line="240" w:lineRule="auto"/>
              <w:ind w:firstLine="0" w:firstLineChars="0"/>
              <w:jc w:val="center"/>
              <w:rPr>
                <w:rFonts w:eastAsia="楷体" w:cs="Times New Roman"/>
                <w:kern w:val="0"/>
                <w:sz w:val="21"/>
                <w:szCs w:val="21"/>
              </w:rPr>
            </w:pPr>
          </w:p>
        </w:tc>
      </w:tr>
      <w:tr w14:paraId="5D15A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567" w:hRule="atLeast"/>
        </w:trPr>
        <w:tc>
          <w:tcPr>
            <w:tcW w:w="849" w:type="dxa"/>
            <w:shd w:val="clear" w:color="auto" w:fill="auto"/>
            <w:vAlign w:val="center"/>
          </w:tcPr>
          <w:p w14:paraId="39475204">
            <w:pPr>
              <w:widowControl/>
              <w:adjustRightInd/>
              <w:snapToGrid/>
              <w:spacing w:line="240" w:lineRule="auto"/>
              <w:ind w:firstLine="0" w:firstLineChars="0"/>
              <w:jc w:val="left"/>
              <w:rPr>
                <w:rFonts w:ascii="楷体" w:hAnsi="楷体" w:eastAsia="楷体" w:cs="Times New Roman"/>
                <w:kern w:val="0"/>
                <w:sz w:val="21"/>
                <w:szCs w:val="21"/>
              </w:rPr>
            </w:pPr>
            <w:r>
              <w:rPr>
                <w:rFonts w:hint="eastAsia" w:ascii="楷体" w:hAnsi="楷体" w:eastAsia="楷体" w:cs="Times New Roman"/>
                <w:kern w:val="0"/>
                <w:sz w:val="21"/>
                <w:szCs w:val="21"/>
              </w:rPr>
              <w:t>（</w:t>
            </w:r>
            <w:r>
              <w:rPr>
                <w:rFonts w:ascii="楷体" w:hAnsi="楷体" w:eastAsia="楷体" w:cs="Times New Roman"/>
                <w:kern w:val="0"/>
                <w:sz w:val="21"/>
                <w:szCs w:val="21"/>
              </w:rPr>
              <w:t>5</w:t>
            </w:r>
            <w:r>
              <w:rPr>
                <w:rFonts w:hint="eastAsia" w:ascii="楷体" w:hAnsi="楷体" w:eastAsia="楷体" w:cs="Times New Roman"/>
                <w:kern w:val="0"/>
                <w:sz w:val="21"/>
                <w:szCs w:val="21"/>
              </w:rPr>
              <w:t>）</w:t>
            </w:r>
          </w:p>
        </w:tc>
        <w:tc>
          <w:tcPr>
            <w:tcW w:w="4108" w:type="dxa"/>
            <w:shd w:val="clear" w:color="auto" w:fill="auto"/>
            <w:noWrap/>
            <w:vAlign w:val="center"/>
          </w:tcPr>
          <w:p w14:paraId="684D72EA">
            <w:pPr>
              <w:widowControl/>
              <w:adjustRightInd/>
              <w:snapToGrid/>
              <w:spacing w:line="240" w:lineRule="auto"/>
              <w:ind w:firstLine="0" w:firstLineChars="0"/>
              <w:jc w:val="left"/>
              <w:rPr>
                <w:rFonts w:ascii="楷体" w:hAnsi="楷体" w:eastAsia="楷体" w:cs="宋体"/>
                <w:kern w:val="0"/>
                <w:sz w:val="21"/>
                <w:szCs w:val="21"/>
              </w:rPr>
            </w:pPr>
            <w:r>
              <w:rPr>
                <w:rFonts w:hint="eastAsia" w:ascii="楷体" w:hAnsi="楷体" w:eastAsia="楷体" w:cs="宋体"/>
                <w:kern w:val="0"/>
                <w:sz w:val="21"/>
                <w:szCs w:val="21"/>
              </w:rPr>
              <w:t>泰州重点河湖数字孪生应用软件系统建设工程</w:t>
            </w:r>
          </w:p>
        </w:tc>
        <w:tc>
          <w:tcPr>
            <w:tcW w:w="8788" w:type="dxa"/>
            <w:shd w:val="clear" w:color="auto" w:fill="auto"/>
            <w:vAlign w:val="center"/>
          </w:tcPr>
          <w:p w14:paraId="0EA49CA6">
            <w:pPr>
              <w:widowControl/>
              <w:adjustRightInd/>
              <w:snapToGrid/>
              <w:spacing w:line="240" w:lineRule="auto"/>
              <w:ind w:firstLine="0" w:firstLineChars="0"/>
              <w:jc w:val="left"/>
              <w:rPr>
                <w:rFonts w:ascii="楷体" w:hAnsi="楷体" w:eastAsia="楷体" w:cs="Times New Roman"/>
                <w:kern w:val="0"/>
                <w:sz w:val="21"/>
                <w:szCs w:val="21"/>
              </w:rPr>
            </w:pPr>
            <w:r>
              <w:rPr>
                <w:rFonts w:ascii="楷体" w:hAnsi="楷体" w:eastAsia="楷体" w:cs="Times New Roman"/>
                <w:kern w:val="0"/>
                <w:sz w:val="21"/>
                <w:szCs w:val="21"/>
              </w:rPr>
              <w:t>充分利用已建业务系统（平台），融合建设泰兴市</w:t>
            </w:r>
            <w:r>
              <w:rPr>
                <w:rFonts w:hint="eastAsia" w:ascii="楷体" w:hAnsi="楷体" w:eastAsia="楷体" w:cs="Times New Roman"/>
                <w:kern w:val="0"/>
                <w:sz w:val="21"/>
                <w:szCs w:val="21"/>
              </w:rPr>
              <w:t>中心</w:t>
            </w:r>
            <w:r>
              <w:rPr>
                <w:rFonts w:ascii="楷体" w:hAnsi="楷体" w:eastAsia="楷体" w:cs="Times New Roman"/>
                <w:kern w:val="0"/>
                <w:sz w:val="21"/>
                <w:szCs w:val="21"/>
              </w:rPr>
              <w:t>城区智慧水网平台，建设高效科学的水灾害综合防御体系，基本实现水灾害智慧应用服务的集约化建设和管理。补充重点区域河网监测站点，建设配套的计算资源以及安全保障体系等。</w:t>
            </w:r>
          </w:p>
        </w:tc>
        <w:tc>
          <w:tcPr>
            <w:tcW w:w="1276" w:type="dxa"/>
            <w:shd w:val="clear" w:color="auto" w:fill="auto"/>
            <w:noWrap/>
            <w:vAlign w:val="center"/>
          </w:tcPr>
          <w:p w14:paraId="4723E255">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2027~2035</w:t>
            </w:r>
          </w:p>
        </w:tc>
        <w:tc>
          <w:tcPr>
            <w:tcW w:w="1134" w:type="dxa"/>
            <w:shd w:val="clear" w:color="auto" w:fill="auto"/>
            <w:vAlign w:val="center"/>
          </w:tcPr>
          <w:p w14:paraId="2F70FE9E">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1.0</w:t>
            </w:r>
          </w:p>
        </w:tc>
        <w:tc>
          <w:tcPr>
            <w:tcW w:w="1417" w:type="dxa"/>
            <w:shd w:val="clear" w:color="auto" w:fill="auto"/>
            <w:noWrap/>
            <w:vAlign w:val="center"/>
          </w:tcPr>
          <w:p w14:paraId="4E9C7438">
            <w:pPr>
              <w:widowControl/>
              <w:adjustRightInd/>
              <w:snapToGrid/>
              <w:spacing w:line="240" w:lineRule="auto"/>
              <w:ind w:firstLine="0" w:firstLineChars="0"/>
              <w:jc w:val="center"/>
              <w:rPr>
                <w:rFonts w:eastAsia="楷体" w:cs="Times New Roman"/>
                <w:kern w:val="0"/>
                <w:sz w:val="21"/>
                <w:szCs w:val="21"/>
              </w:rPr>
            </w:pPr>
          </w:p>
        </w:tc>
        <w:tc>
          <w:tcPr>
            <w:tcW w:w="1570" w:type="dxa"/>
            <w:shd w:val="clear" w:color="auto" w:fill="auto"/>
            <w:noWrap/>
            <w:vAlign w:val="center"/>
          </w:tcPr>
          <w:p w14:paraId="7E1C40B9">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0.5</w:t>
            </w:r>
          </w:p>
        </w:tc>
        <w:tc>
          <w:tcPr>
            <w:tcW w:w="1276" w:type="dxa"/>
            <w:shd w:val="clear" w:color="auto" w:fill="auto"/>
            <w:noWrap/>
            <w:vAlign w:val="center"/>
          </w:tcPr>
          <w:p w14:paraId="6E226924">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0.5</w:t>
            </w:r>
          </w:p>
        </w:tc>
        <w:tc>
          <w:tcPr>
            <w:tcW w:w="939" w:type="dxa"/>
            <w:shd w:val="clear" w:color="auto" w:fill="auto"/>
            <w:noWrap/>
            <w:vAlign w:val="center"/>
          </w:tcPr>
          <w:p w14:paraId="30F7BE0C">
            <w:pPr>
              <w:widowControl/>
              <w:adjustRightInd/>
              <w:snapToGrid/>
              <w:spacing w:line="240" w:lineRule="auto"/>
              <w:ind w:firstLine="0" w:firstLineChars="0"/>
              <w:jc w:val="center"/>
              <w:rPr>
                <w:rFonts w:eastAsia="楷体" w:cs="Times New Roman"/>
                <w:kern w:val="0"/>
                <w:sz w:val="21"/>
                <w:szCs w:val="21"/>
              </w:rPr>
            </w:pPr>
          </w:p>
        </w:tc>
      </w:tr>
      <w:tr w14:paraId="4577D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567" w:hRule="atLeast"/>
        </w:trPr>
        <w:tc>
          <w:tcPr>
            <w:tcW w:w="849" w:type="dxa"/>
            <w:shd w:val="clear" w:color="auto" w:fill="auto"/>
            <w:vAlign w:val="center"/>
          </w:tcPr>
          <w:p w14:paraId="063C8220">
            <w:pPr>
              <w:widowControl/>
              <w:adjustRightInd/>
              <w:snapToGrid/>
              <w:spacing w:line="240" w:lineRule="auto"/>
              <w:ind w:firstLine="0" w:firstLineChars="0"/>
              <w:jc w:val="left"/>
              <w:rPr>
                <w:rFonts w:ascii="楷体" w:hAnsi="楷体" w:eastAsia="楷体" w:cs="Times New Roman"/>
                <w:kern w:val="0"/>
                <w:sz w:val="21"/>
                <w:szCs w:val="21"/>
              </w:rPr>
            </w:pPr>
            <w:r>
              <w:rPr>
                <w:rFonts w:hint="eastAsia" w:ascii="楷体" w:hAnsi="楷体" w:eastAsia="楷体" w:cs="Times New Roman"/>
                <w:kern w:val="0"/>
                <w:sz w:val="21"/>
                <w:szCs w:val="21"/>
              </w:rPr>
              <w:t>（</w:t>
            </w:r>
            <w:r>
              <w:rPr>
                <w:rFonts w:ascii="楷体" w:hAnsi="楷体" w:eastAsia="楷体" w:cs="Times New Roman"/>
                <w:kern w:val="0"/>
                <w:sz w:val="21"/>
                <w:szCs w:val="21"/>
              </w:rPr>
              <w:t>6</w:t>
            </w:r>
            <w:r>
              <w:rPr>
                <w:rFonts w:hint="eastAsia" w:ascii="楷体" w:hAnsi="楷体" w:eastAsia="楷体" w:cs="Times New Roman"/>
                <w:kern w:val="0"/>
                <w:sz w:val="21"/>
                <w:szCs w:val="21"/>
              </w:rPr>
              <w:t>）</w:t>
            </w:r>
          </w:p>
        </w:tc>
        <w:tc>
          <w:tcPr>
            <w:tcW w:w="4108" w:type="dxa"/>
            <w:shd w:val="clear" w:color="auto" w:fill="auto"/>
            <w:noWrap/>
            <w:vAlign w:val="center"/>
          </w:tcPr>
          <w:p w14:paraId="4155F38D">
            <w:pPr>
              <w:widowControl/>
              <w:adjustRightInd/>
              <w:snapToGrid/>
              <w:spacing w:line="240" w:lineRule="auto"/>
              <w:ind w:firstLine="0" w:firstLineChars="0"/>
              <w:jc w:val="left"/>
              <w:rPr>
                <w:rFonts w:ascii="楷体" w:hAnsi="楷体" w:eastAsia="楷体" w:cs="宋体"/>
                <w:kern w:val="0"/>
                <w:sz w:val="21"/>
                <w:szCs w:val="21"/>
              </w:rPr>
            </w:pPr>
            <w:r>
              <w:rPr>
                <w:rFonts w:hint="eastAsia" w:ascii="楷体" w:hAnsi="楷体" w:eastAsia="楷体" w:cs="宋体"/>
                <w:kern w:val="0"/>
                <w:sz w:val="21"/>
                <w:szCs w:val="21"/>
              </w:rPr>
              <w:t>城区大暴雨调度辅助决策系统</w:t>
            </w:r>
          </w:p>
        </w:tc>
        <w:tc>
          <w:tcPr>
            <w:tcW w:w="8788" w:type="dxa"/>
            <w:shd w:val="clear" w:color="auto" w:fill="auto"/>
            <w:vAlign w:val="center"/>
          </w:tcPr>
          <w:p w14:paraId="2771B580">
            <w:pPr>
              <w:widowControl/>
              <w:adjustRightInd/>
              <w:snapToGrid/>
              <w:spacing w:line="240" w:lineRule="auto"/>
              <w:ind w:firstLine="0" w:firstLineChars="0"/>
              <w:jc w:val="left"/>
              <w:rPr>
                <w:rFonts w:ascii="楷体" w:hAnsi="楷体" w:eastAsia="楷体" w:cs="Times New Roman"/>
                <w:kern w:val="0"/>
                <w:sz w:val="21"/>
                <w:szCs w:val="21"/>
              </w:rPr>
            </w:pPr>
            <w:r>
              <w:rPr>
                <w:rFonts w:ascii="楷体" w:hAnsi="楷体" w:eastAsia="楷体" w:cs="Times New Roman"/>
                <w:kern w:val="0"/>
                <w:sz w:val="21"/>
                <w:szCs w:val="21"/>
              </w:rPr>
              <w:t>对城区泵站或水闸建设城区联排联调及特大暴雨调度辅助决策系统，实现水位、水量、水质、排口状态实时监测、智能监控、灾害预警等功能，对全线泵站、闸门实行统一联合调度。</w:t>
            </w:r>
          </w:p>
        </w:tc>
        <w:tc>
          <w:tcPr>
            <w:tcW w:w="1276" w:type="dxa"/>
            <w:shd w:val="clear" w:color="auto" w:fill="auto"/>
            <w:vAlign w:val="center"/>
          </w:tcPr>
          <w:p w14:paraId="4AF12235">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2026-2030</w:t>
            </w:r>
          </w:p>
        </w:tc>
        <w:tc>
          <w:tcPr>
            <w:tcW w:w="1134" w:type="dxa"/>
            <w:shd w:val="clear" w:color="auto" w:fill="auto"/>
            <w:vAlign w:val="center"/>
          </w:tcPr>
          <w:p w14:paraId="4124EB74">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 xml:space="preserve">1.00 </w:t>
            </w:r>
          </w:p>
        </w:tc>
        <w:tc>
          <w:tcPr>
            <w:tcW w:w="1417" w:type="dxa"/>
            <w:shd w:val="clear" w:color="auto" w:fill="auto"/>
            <w:noWrap/>
            <w:vAlign w:val="center"/>
          </w:tcPr>
          <w:p w14:paraId="6049409E">
            <w:pPr>
              <w:widowControl/>
              <w:adjustRightInd/>
              <w:snapToGrid/>
              <w:spacing w:line="240" w:lineRule="auto"/>
              <w:ind w:firstLine="0" w:firstLineChars="0"/>
              <w:jc w:val="center"/>
              <w:rPr>
                <w:rFonts w:eastAsia="楷体" w:cs="Times New Roman"/>
                <w:kern w:val="0"/>
                <w:sz w:val="21"/>
                <w:szCs w:val="21"/>
              </w:rPr>
            </w:pPr>
          </w:p>
        </w:tc>
        <w:tc>
          <w:tcPr>
            <w:tcW w:w="1570" w:type="dxa"/>
            <w:shd w:val="clear" w:color="auto" w:fill="auto"/>
            <w:vAlign w:val="center"/>
          </w:tcPr>
          <w:p w14:paraId="363F51BD">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0.8</w:t>
            </w:r>
          </w:p>
        </w:tc>
        <w:tc>
          <w:tcPr>
            <w:tcW w:w="1276" w:type="dxa"/>
            <w:shd w:val="clear" w:color="auto" w:fill="auto"/>
            <w:noWrap/>
            <w:vAlign w:val="center"/>
          </w:tcPr>
          <w:p w14:paraId="3BC14CCA">
            <w:pPr>
              <w:widowControl/>
              <w:adjustRightInd/>
              <w:snapToGrid/>
              <w:spacing w:line="240" w:lineRule="auto"/>
              <w:ind w:firstLine="0" w:firstLineChars="0"/>
              <w:jc w:val="center"/>
              <w:rPr>
                <w:rFonts w:eastAsia="楷体" w:cs="Times New Roman"/>
                <w:kern w:val="0"/>
                <w:sz w:val="21"/>
                <w:szCs w:val="21"/>
              </w:rPr>
            </w:pPr>
            <w:r>
              <w:rPr>
                <w:rFonts w:hint="eastAsia" w:eastAsia="楷体" w:cs="Times New Roman"/>
                <w:kern w:val="0"/>
                <w:sz w:val="21"/>
                <w:szCs w:val="21"/>
              </w:rPr>
              <w:t>0</w:t>
            </w:r>
            <w:r>
              <w:rPr>
                <w:rFonts w:eastAsia="楷体" w:cs="Times New Roman"/>
                <w:kern w:val="0"/>
                <w:sz w:val="21"/>
                <w:szCs w:val="21"/>
              </w:rPr>
              <w:t>.2</w:t>
            </w:r>
          </w:p>
        </w:tc>
        <w:tc>
          <w:tcPr>
            <w:tcW w:w="939" w:type="dxa"/>
            <w:shd w:val="clear" w:color="auto" w:fill="auto"/>
            <w:noWrap/>
            <w:vAlign w:val="center"/>
          </w:tcPr>
          <w:p w14:paraId="6DAD8767">
            <w:pPr>
              <w:widowControl/>
              <w:adjustRightInd/>
              <w:snapToGrid/>
              <w:spacing w:line="240" w:lineRule="auto"/>
              <w:ind w:firstLine="0" w:firstLineChars="0"/>
              <w:jc w:val="center"/>
              <w:rPr>
                <w:rFonts w:eastAsia="楷体" w:cs="Times New Roman"/>
                <w:kern w:val="0"/>
                <w:sz w:val="21"/>
                <w:szCs w:val="21"/>
              </w:rPr>
            </w:pPr>
          </w:p>
        </w:tc>
      </w:tr>
      <w:tr w14:paraId="770A6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567" w:hRule="atLeast"/>
        </w:trPr>
        <w:tc>
          <w:tcPr>
            <w:tcW w:w="849" w:type="dxa"/>
            <w:shd w:val="clear" w:color="auto" w:fill="auto"/>
            <w:vAlign w:val="center"/>
          </w:tcPr>
          <w:p w14:paraId="44C6E6CD">
            <w:pPr>
              <w:widowControl/>
              <w:adjustRightInd/>
              <w:snapToGrid/>
              <w:spacing w:line="240" w:lineRule="auto"/>
              <w:ind w:firstLine="0" w:firstLineChars="0"/>
              <w:jc w:val="left"/>
              <w:rPr>
                <w:rFonts w:ascii="楷体" w:hAnsi="楷体" w:eastAsia="楷体" w:cs="Times New Roman"/>
                <w:kern w:val="0"/>
                <w:sz w:val="21"/>
                <w:szCs w:val="21"/>
              </w:rPr>
            </w:pPr>
            <w:r>
              <w:rPr>
                <w:rFonts w:hint="eastAsia" w:ascii="楷体" w:hAnsi="楷体" w:eastAsia="楷体" w:cs="Times New Roman"/>
                <w:kern w:val="0"/>
                <w:sz w:val="21"/>
                <w:szCs w:val="21"/>
              </w:rPr>
              <w:t>（</w:t>
            </w:r>
            <w:r>
              <w:rPr>
                <w:rFonts w:ascii="楷体" w:hAnsi="楷体" w:eastAsia="楷体" w:cs="Times New Roman"/>
                <w:kern w:val="0"/>
                <w:sz w:val="21"/>
                <w:szCs w:val="21"/>
              </w:rPr>
              <w:t>7</w:t>
            </w:r>
            <w:r>
              <w:rPr>
                <w:rFonts w:hint="eastAsia" w:ascii="楷体" w:hAnsi="楷体" w:eastAsia="楷体" w:cs="Times New Roman"/>
                <w:kern w:val="0"/>
                <w:sz w:val="21"/>
                <w:szCs w:val="21"/>
              </w:rPr>
              <w:t>）</w:t>
            </w:r>
          </w:p>
        </w:tc>
        <w:tc>
          <w:tcPr>
            <w:tcW w:w="4108" w:type="dxa"/>
            <w:shd w:val="clear" w:color="auto" w:fill="auto"/>
            <w:vAlign w:val="center"/>
          </w:tcPr>
          <w:p w14:paraId="3EAD52B4">
            <w:pPr>
              <w:widowControl/>
              <w:adjustRightInd/>
              <w:snapToGrid/>
              <w:spacing w:line="240" w:lineRule="auto"/>
              <w:ind w:firstLine="0" w:firstLineChars="0"/>
              <w:jc w:val="left"/>
              <w:rPr>
                <w:rFonts w:ascii="楷体" w:hAnsi="楷体" w:eastAsia="楷体" w:cs="宋体"/>
                <w:kern w:val="0"/>
                <w:sz w:val="21"/>
                <w:szCs w:val="21"/>
              </w:rPr>
            </w:pPr>
            <w:r>
              <w:rPr>
                <w:rFonts w:hint="eastAsia" w:ascii="楷体" w:hAnsi="楷体" w:eastAsia="楷体" w:cs="宋体"/>
                <w:kern w:val="0"/>
                <w:sz w:val="21"/>
                <w:szCs w:val="21"/>
              </w:rPr>
              <w:t>大中型灌区渠首智慧改造工程</w:t>
            </w:r>
          </w:p>
        </w:tc>
        <w:tc>
          <w:tcPr>
            <w:tcW w:w="8788" w:type="dxa"/>
            <w:shd w:val="clear" w:color="auto" w:fill="auto"/>
            <w:vAlign w:val="center"/>
          </w:tcPr>
          <w:p w14:paraId="313EBC8F">
            <w:pPr>
              <w:widowControl/>
              <w:adjustRightInd/>
              <w:snapToGrid/>
              <w:spacing w:line="240" w:lineRule="auto"/>
              <w:ind w:firstLine="0" w:firstLineChars="0"/>
              <w:jc w:val="left"/>
              <w:rPr>
                <w:rFonts w:ascii="楷体" w:hAnsi="楷体" w:eastAsia="楷体" w:cs="Times New Roman"/>
                <w:kern w:val="0"/>
                <w:sz w:val="21"/>
                <w:szCs w:val="21"/>
              </w:rPr>
            </w:pPr>
            <w:r>
              <w:rPr>
                <w:rFonts w:ascii="楷体" w:hAnsi="楷体" w:eastAsia="楷体" w:cs="Times New Roman"/>
                <w:kern w:val="0"/>
                <w:sz w:val="21"/>
                <w:szCs w:val="21"/>
              </w:rPr>
              <w:t>新建（购）100台智能终端、200套超声波计量，实现大中型灌区用水实时监测。</w:t>
            </w:r>
          </w:p>
        </w:tc>
        <w:tc>
          <w:tcPr>
            <w:tcW w:w="1276" w:type="dxa"/>
            <w:shd w:val="clear" w:color="auto" w:fill="auto"/>
            <w:vAlign w:val="center"/>
          </w:tcPr>
          <w:p w14:paraId="5E579C74">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2024-2025</w:t>
            </w:r>
          </w:p>
        </w:tc>
        <w:tc>
          <w:tcPr>
            <w:tcW w:w="1134" w:type="dxa"/>
            <w:shd w:val="clear" w:color="auto" w:fill="auto"/>
            <w:vAlign w:val="center"/>
          </w:tcPr>
          <w:p w14:paraId="7C621AF9">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 xml:space="preserve">1.00 </w:t>
            </w:r>
          </w:p>
        </w:tc>
        <w:tc>
          <w:tcPr>
            <w:tcW w:w="1417" w:type="dxa"/>
            <w:shd w:val="clear" w:color="auto" w:fill="auto"/>
            <w:noWrap/>
            <w:vAlign w:val="center"/>
          </w:tcPr>
          <w:p w14:paraId="5DA26A92">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0.8</w:t>
            </w:r>
          </w:p>
        </w:tc>
        <w:tc>
          <w:tcPr>
            <w:tcW w:w="1570" w:type="dxa"/>
            <w:shd w:val="clear" w:color="auto" w:fill="auto"/>
            <w:noWrap/>
            <w:vAlign w:val="center"/>
          </w:tcPr>
          <w:p w14:paraId="6A9DE40D">
            <w:pPr>
              <w:widowControl/>
              <w:adjustRightInd/>
              <w:snapToGrid/>
              <w:spacing w:line="240" w:lineRule="auto"/>
              <w:ind w:firstLine="0" w:firstLineChars="0"/>
              <w:jc w:val="center"/>
              <w:rPr>
                <w:rFonts w:eastAsia="楷体" w:cs="Times New Roman"/>
                <w:kern w:val="0"/>
                <w:sz w:val="21"/>
                <w:szCs w:val="21"/>
              </w:rPr>
            </w:pPr>
            <w:r>
              <w:rPr>
                <w:rFonts w:hint="eastAsia" w:eastAsia="楷体" w:cs="Times New Roman"/>
                <w:kern w:val="0"/>
                <w:sz w:val="21"/>
                <w:szCs w:val="21"/>
              </w:rPr>
              <w:t>0</w:t>
            </w:r>
            <w:r>
              <w:rPr>
                <w:rFonts w:eastAsia="楷体" w:cs="Times New Roman"/>
                <w:kern w:val="0"/>
                <w:sz w:val="21"/>
                <w:szCs w:val="21"/>
              </w:rPr>
              <w:t>.2</w:t>
            </w:r>
          </w:p>
        </w:tc>
        <w:tc>
          <w:tcPr>
            <w:tcW w:w="1276" w:type="dxa"/>
            <w:shd w:val="clear" w:color="auto" w:fill="auto"/>
            <w:noWrap/>
            <w:vAlign w:val="center"/>
          </w:tcPr>
          <w:p w14:paraId="6925F031">
            <w:pPr>
              <w:widowControl/>
              <w:adjustRightInd/>
              <w:snapToGrid/>
              <w:spacing w:line="240" w:lineRule="auto"/>
              <w:ind w:firstLine="0" w:firstLineChars="0"/>
              <w:jc w:val="center"/>
              <w:rPr>
                <w:rFonts w:eastAsia="楷体" w:cs="Times New Roman"/>
                <w:kern w:val="0"/>
                <w:sz w:val="21"/>
                <w:szCs w:val="21"/>
              </w:rPr>
            </w:pPr>
          </w:p>
        </w:tc>
        <w:tc>
          <w:tcPr>
            <w:tcW w:w="939" w:type="dxa"/>
            <w:shd w:val="clear" w:color="auto" w:fill="auto"/>
            <w:noWrap/>
            <w:vAlign w:val="center"/>
          </w:tcPr>
          <w:p w14:paraId="0C0FF8D8">
            <w:pPr>
              <w:widowControl/>
              <w:adjustRightInd/>
              <w:snapToGrid/>
              <w:spacing w:line="240" w:lineRule="auto"/>
              <w:ind w:firstLine="0" w:firstLineChars="0"/>
              <w:jc w:val="center"/>
              <w:rPr>
                <w:rFonts w:eastAsia="楷体" w:cs="Times New Roman"/>
                <w:kern w:val="0"/>
                <w:sz w:val="21"/>
                <w:szCs w:val="21"/>
              </w:rPr>
            </w:pPr>
          </w:p>
        </w:tc>
      </w:tr>
      <w:tr w14:paraId="7792F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567" w:hRule="atLeast"/>
        </w:trPr>
        <w:tc>
          <w:tcPr>
            <w:tcW w:w="849" w:type="dxa"/>
            <w:shd w:val="clear" w:color="auto" w:fill="auto"/>
            <w:vAlign w:val="center"/>
          </w:tcPr>
          <w:p w14:paraId="2F5AA988">
            <w:pPr>
              <w:widowControl/>
              <w:adjustRightInd/>
              <w:snapToGrid/>
              <w:spacing w:line="240" w:lineRule="auto"/>
              <w:ind w:firstLine="0" w:firstLineChars="0"/>
              <w:jc w:val="left"/>
              <w:rPr>
                <w:rFonts w:ascii="楷体" w:hAnsi="楷体" w:eastAsia="楷体" w:cs="Times New Roman"/>
                <w:kern w:val="0"/>
                <w:sz w:val="21"/>
                <w:szCs w:val="21"/>
              </w:rPr>
            </w:pPr>
            <w:r>
              <w:rPr>
                <w:rFonts w:hint="eastAsia" w:ascii="楷体" w:hAnsi="楷体" w:eastAsia="楷体" w:cs="Times New Roman"/>
                <w:kern w:val="0"/>
                <w:sz w:val="21"/>
                <w:szCs w:val="21"/>
              </w:rPr>
              <w:t>（</w:t>
            </w:r>
            <w:r>
              <w:rPr>
                <w:rFonts w:ascii="楷体" w:hAnsi="楷体" w:eastAsia="楷体" w:cs="Times New Roman"/>
                <w:kern w:val="0"/>
                <w:sz w:val="21"/>
                <w:szCs w:val="21"/>
              </w:rPr>
              <w:t>8</w:t>
            </w:r>
            <w:r>
              <w:rPr>
                <w:rFonts w:hint="eastAsia" w:ascii="楷体" w:hAnsi="楷体" w:eastAsia="楷体" w:cs="Times New Roman"/>
                <w:kern w:val="0"/>
                <w:sz w:val="21"/>
                <w:szCs w:val="21"/>
              </w:rPr>
              <w:t>）</w:t>
            </w:r>
          </w:p>
        </w:tc>
        <w:tc>
          <w:tcPr>
            <w:tcW w:w="4108" w:type="dxa"/>
            <w:shd w:val="clear" w:color="auto" w:fill="auto"/>
            <w:vAlign w:val="center"/>
          </w:tcPr>
          <w:p w14:paraId="592D934B">
            <w:pPr>
              <w:widowControl/>
              <w:adjustRightInd/>
              <w:snapToGrid/>
              <w:spacing w:line="240" w:lineRule="auto"/>
              <w:ind w:firstLine="0" w:firstLineChars="0"/>
              <w:jc w:val="left"/>
              <w:rPr>
                <w:rFonts w:ascii="楷体" w:hAnsi="楷体" w:eastAsia="楷体" w:cs="宋体"/>
                <w:kern w:val="0"/>
                <w:sz w:val="21"/>
                <w:szCs w:val="21"/>
              </w:rPr>
            </w:pPr>
            <w:r>
              <w:rPr>
                <w:rFonts w:hint="eastAsia" w:ascii="楷体" w:hAnsi="楷体" w:eastAsia="楷体" w:cs="宋体"/>
                <w:kern w:val="0"/>
                <w:sz w:val="21"/>
                <w:szCs w:val="21"/>
              </w:rPr>
              <w:t>河湖生态监管系统</w:t>
            </w:r>
          </w:p>
        </w:tc>
        <w:tc>
          <w:tcPr>
            <w:tcW w:w="8788" w:type="dxa"/>
            <w:shd w:val="clear" w:color="auto" w:fill="auto"/>
            <w:vAlign w:val="center"/>
          </w:tcPr>
          <w:p w14:paraId="7E0E59A6">
            <w:pPr>
              <w:widowControl/>
              <w:adjustRightInd/>
              <w:snapToGrid/>
              <w:spacing w:line="240" w:lineRule="auto"/>
              <w:ind w:firstLine="0" w:firstLineChars="0"/>
              <w:jc w:val="left"/>
              <w:rPr>
                <w:rFonts w:ascii="楷体" w:hAnsi="楷体" w:eastAsia="楷体" w:cs="Times New Roman"/>
                <w:kern w:val="0"/>
                <w:sz w:val="21"/>
                <w:szCs w:val="21"/>
              </w:rPr>
            </w:pPr>
            <w:r>
              <w:rPr>
                <w:rFonts w:ascii="楷体" w:hAnsi="楷体" w:eastAsia="楷体" w:cs="Times New Roman"/>
                <w:kern w:val="0"/>
                <w:sz w:val="21"/>
                <w:szCs w:val="21"/>
              </w:rPr>
              <w:t>对25处市级以上湖泊湖荡实施水量、水质、水生态、水空间、水环境全要素监测。提升湖泊湖荡监管水平。</w:t>
            </w:r>
          </w:p>
        </w:tc>
        <w:tc>
          <w:tcPr>
            <w:tcW w:w="1276" w:type="dxa"/>
            <w:shd w:val="clear" w:color="auto" w:fill="auto"/>
            <w:vAlign w:val="center"/>
          </w:tcPr>
          <w:p w14:paraId="1142E857">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2026-2030</w:t>
            </w:r>
          </w:p>
        </w:tc>
        <w:tc>
          <w:tcPr>
            <w:tcW w:w="1134" w:type="dxa"/>
            <w:shd w:val="clear" w:color="auto" w:fill="auto"/>
            <w:vAlign w:val="center"/>
          </w:tcPr>
          <w:p w14:paraId="60D7CC71">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 xml:space="preserve">1.00 </w:t>
            </w:r>
          </w:p>
        </w:tc>
        <w:tc>
          <w:tcPr>
            <w:tcW w:w="1417" w:type="dxa"/>
            <w:shd w:val="clear" w:color="auto" w:fill="auto"/>
            <w:noWrap/>
            <w:vAlign w:val="center"/>
          </w:tcPr>
          <w:p w14:paraId="5EE8AF9B">
            <w:pPr>
              <w:widowControl/>
              <w:adjustRightInd/>
              <w:snapToGrid/>
              <w:spacing w:line="240" w:lineRule="auto"/>
              <w:ind w:firstLine="0" w:firstLineChars="0"/>
              <w:jc w:val="center"/>
              <w:rPr>
                <w:rFonts w:eastAsia="楷体" w:cs="Times New Roman"/>
                <w:kern w:val="0"/>
                <w:sz w:val="21"/>
                <w:szCs w:val="21"/>
              </w:rPr>
            </w:pPr>
          </w:p>
        </w:tc>
        <w:tc>
          <w:tcPr>
            <w:tcW w:w="1570" w:type="dxa"/>
            <w:shd w:val="clear" w:color="auto" w:fill="auto"/>
            <w:noWrap/>
            <w:vAlign w:val="center"/>
          </w:tcPr>
          <w:p w14:paraId="06BEADA0">
            <w:pPr>
              <w:widowControl/>
              <w:adjustRightInd/>
              <w:snapToGrid/>
              <w:spacing w:line="240" w:lineRule="auto"/>
              <w:ind w:firstLine="0" w:firstLineChars="0"/>
              <w:jc w:val="center"/>
              <w:rPr>
                <w:rFonts w:eastAsia="楷体" w:cs="Times New Roman"/>
                <w:kern w:val="0"/>
                <w:sz w:val="21"/>
                <w:szCs w:val="21"/>
              </w:rPr>
            </w:pPr>
            <w:r>
              <w:rPr>
                <w:rFonts w:eastAsia="楷体" w:cs="Times New Roman"/>
                <w:kern w:val="0"/>
                <w:sz w:val="21"/>
                <w:szCs w:val="21"/>
              </w:rPr>
              <w:t>0.8</w:t>
            </w:r>
          </w:p>
        </w:tc>
        <w:tc>
          <w:tcPr>
            <w:tcW w:w="1276" w:type="dxa"/>
            <w:shd w:val="clear" w:color="auto" w:fill="auto"/>
            <w:noWrap/>
            <w:vAlign w:val="center"/>
          </w:tcPr>
          <w:p w14:paraId="6EA57BA5">
            <w:pPr>
              <w:widowControl/>
              <w:adjustRightInd/>
              <w:snapToGrid/>
              <w:spacing w:line="240" w:lineRule="auto"/>
              <w:ind w:firstLine="0" w:firstLineChars="0"/>
              <w:jc w:val="center"/>
              <w:rPr>
                <w:rFonts w:eastAsia="楷体" w:cs="Times New Roman"/>
                <w:kern w:val="0"/>
                <w:sz w:val="21"/>
                <w:szCs w:val="21"/>
              </w:rPr>
            </w:pPr>
            <w:r>
              <w:rPr>
                <w:rFonts w:hint="eastAsia" w:eastAsia="楷体" w:cs="Times New Roman"/>
                <w:kern w:val="0"/>
                <w:sz w:val="21"/>
                <w:szCs w:val="21"/>
              </w:rPr>
              <w:t>0</w:t>
            </w:r>
            <w:r>
              <w:rPr>
                <w:rFonts w:eastAsia="楷体" w:cs="Times New Roman"/>
                <w:kern w:val="0"/>
                <w:sz w:val="21"/>
                <w:szCs w:val="21"/>
              </w:rPr>
              <w:t>.2</w:t>
            </w:r>
          </w:p>
        </w:tc>
        <w:tc>
          <w:tcPr>
            <w:tcW w:w="939" w:type="dxa"/>
            <w:shd w:val="clear" w:color="auto" w:fill="auto"/>
            <w:noWrap/>
            <w:vAlign w:val="center"/>
          </w:tcPr>
          <w:p w14:paraId="75D1CB20">
            <w:pPr>
              <w:widowControl/>
              <w:adjustRightInd/>
              <w:snapToGrid/>
              <w:spacing w:line="240" w:lineRule="auto"/>
              <w:ind w:firstLine="0" w:firstLineChars="0"/>
              <w:jc w:val="center"/>
              <w:rPr>
                <w:rFonts w:eastAsia="楷体" w:cs="Times New Roman"/>
                <w:kern w:val="0"/>
                <w:sz w:val="21"/>
                <w:szCs w:val="21"/>
              </w:rPr>
            </w:pPr>
          </w:p>
        </w:tc>
      </w:tr>
    </w:tbl>
    <w:p w14:paraId="792A9296">
      <w:pPr>
        <w:ind w:firstLine="480"/>
        <w:rPr>
          <w:rFonts w:cs="Times New Roman"/>
        </w:rPr>
      </w:pPr>
    </w:p>
    <w:sectPr>
      <w:headerReference r:id="rId19" w:type="default"/>
      <w:pgSz w:w="23814" w:h="16839" w:orient="landscape"/>
      <w:pgMar w:top="1520" w:right="1440" w:bottom="1520" w:left="1440" w:header="851" w:footer="992" w:gutter="0"/>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0E3A2E4-50D3-4937-985D-D23C157476A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8F45E0CE-8948-4E7F-B6B9-F70ED9AFC356}"/>
  </w:font>
  <w:font w:name="楷体">
    <w:panose1 w:val="02010609060101010101"/>
    <w:charset w:val="86"/>
    <w:family w:val="modern"/>
    <w:pitch w:val="default"/>
    <w:sig w:usb0="800002BF" w:usb1="38CF7CFA" w:usb2="00000016" w:usb3="00000000" w:csb0="00040001" w:csb1="00000000"/>
    <w:embedRegular r:id="rId3" w:fontKey="{EAF702A0-5638-479F-83A7-D759729BEC0C}"/>
  </w:font>
  <w:font w:name="Calibri Light">
    <w:panose1 w:val="020F0302020204030204"/>
    <w:charset w:val="00"/>
    <w:family w:val="swiss"/>
    <w:pitch w:val="default"/>
    <w:sig w:usb0="E4002EFF" w:usb1="C000247B" w:usb2="00000009" w:usb3="00000000" w:csb0="200001FF" w:csb1="00000000"/>
  </w:font>
  <w:font w:name="方正楷体_GBK">
    <w:panose1 w:val="03000509000000000000"/>
    <w:charset w:val="86"/>
    <w:family w:val="script"/>
    <w:pitch w:val="default"/>
    <w:sig w:usb0="00000001" w:usb1="080E0000" w:usb2="00000000" w:usb3="00000000" w:csb0="00040000" w:csb1="00000000"/>
  </w:font>
  <w:font w:name="方正仿宋_GBK">
    <w:panose1 w:val="02000000000000000000"/>
    <w:charset w:val="86"/>
    <w:family w:val="script"/>
    <w:pitch w:val="default"/>
    <w:sig w:usb0="00000001" w:usb1="080E0000" w:usb2="00000000" w:usb3="00000000" w:csb0="00040000" w:csb1="00000000"/>
    <w:embedRegular r:id="rId4" w:fontKey="{B7DCC723-40C1-41AE-9CDE-425EB7A710BE}"/>
  </w:font>
  <w:font w:name="方正黑体_GBK">
    <w:panose1 w:val="03000509000000000000"/>
    <w:charset w:val="86"/>
    <w:family w:val="script"/>
    <w:pitch w:val="default"/>
    <w:sig w:usb0="00000001" w:usb1="080E0000" w:usb2="00000000" w:usb3="00000000" w:csb0="00040000" w:csb1="00000000"/>
    <w:embedRegular r:id="rId5" w:fontKey="{F2F8B4F2-5F2B-4E6A-BE3E-5F61451C88D5}"/>
  </w:font>
  <w:font w:name="仿宋">
    <w:panose1 w:val="02010609060101010101"/>
    <w:charset w:val="86"/>
    <w:family w:val="modern"/>
    <w:pitch w:val="default"/>
    <w:sig w:usb0="800002BF" w:usb1="38CF7CFA" w:usb2="00000016" w:usb3="00000000" w:csb0="00040001" w:csb1="00000000"/>
    <w:embedRegular r:id="rId6" w:fontKey="{AC083256-9DD5-4D8C-9DD0-A915AC10AAF0}"/>
  </w:font>
  <w:font w:name="Segoe UI">
    <w:panose1 w:val="020B0502040204020203"/>
    <w:charset w:val="00"/>
    <w:family w:val="swiss"/>
    <w:pitch w:val="default"/>
    <w:sig w:usb0="E4002EFF" w:usb1="C000E47F"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Malgun Gothic">
    <w:panose1 w:val="020B0503020000020004"/>
    <w:charset w:val="81"/>
    <w:family w:val="swiss"/>
    <w:pitch w:val="default"/>
    <w:sig w:usb0="9000002F" w:usb1="29D77CFB" w:usb2="00000012" w:usb3="00000000" w:csb0="00080001" w:csb1="00000000"/>
    <w:embedRegular r:id="rId7" w:fontKey="{401A4AA2-8F1B-47CD-A90F-24A16CF80C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645C08">
    <w:pPr>
      <w:pStyle w:val="1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0F559F">
    <w:pPr>
      <w:pStyle w:val="1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C06870">
    <w:pPr>
      <w:pStyle w:val="1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88633622"/>
    </w:sdtPr>
    <w:sdtContent>
      <w:p w14:paraId="51C37FE3">
        <w:pPr>
          <w:pStyle w:val="19"/>
          <w:ind w:firstLine="360"/>
          <w:jc w:val="center"/>
        </w:pPr>
        <w:r>
          <w:fldChar w:fldCharType="begin"/>
        </w:r>
        <w:r>
          <w:instrText xml:space="preserve">PAGE   \* MERGEFORMAT</w:instrText>
        </w:r>
        <w:r>
          <w:fldChar w:fldCharType="separate"/>
        </w:r>
        <w:r>
          <w:rPr>
            <w:lang w:val="zh-CN"/>
          </w:rPr>
          <w:t>ii</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49058998"/>
    </w:sdtPr>
    <w:sdtEndPr>
      <w:rPr>
        <w:sz w:val="21"/>
      </w:rPr>
    </w:sdtEndPr>
    <w:sdtContent>
      <w:p w14:paraId="7E65616A">
        <w:pPr>
          <w:pStyle w:val="19"/>
          <w:ind w:firstLine="360"/>
          <w:jc w:val="center"/>
          <w:rPr>
            <w:sz w:val="21"/>
          </w:rPr>
        </w:pPr>
        <w:r>
          <w:rPr>
            <w:sz w:val="21"/>
          </w:rPr>
          <w:fldChar w:fldCharType="begin"/>
        </w:r>
        <w:r>
          <w:rPr>
            <w:sz w:val="21"/>
          </w:rPr>
          <w:instrText xml:space="preserve">PAGE   \* MERGEFORMAT</w:instrText>
        </w:r>
        <w:r>
          <w:rPr>
            <w:sz w:val="21"/>
          </w:rPr>
          <w:fldChar w:fldCharType="separate"/>
        </w:r>
        <w:r>
          <w:rPr>
            <w:sz w:val="21"/>
            <w:lang w:val="zh-CN"/>
          </w:rPr>
          <w:t>16</w:t>
        </w:r>
        <w:r>
          <w:rPr>
            <w:sz w:val="21"/>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1A8D89">
    <w:pPr>
      <w:pStyle w:val="19"/>
      <w:ind w:firstLine="360"/>
    </w:pPr>
  </w:p>
  <w:p w14:paraId="0AF5869F">
    <w:pPr>
      <w:ind w:firstLine="480"/>
    </w:pPr>
  </w:p>
  <w:p w14:paraId="0B8F2B28">
    <w:pPr>
      <w:ind w:firstLine="48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75FB08">
    <w:pPr>
      <w:pStyle w:val="1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8">
    <w:p>
      <w:pPr>
        <w:spacing w:line="240" w:lineRule="auto"/>
        <w:ind w:firstLine="480"/>
      </w:pPr>
      <w:r>
        <w:separator/>
      </w:r>
    </w:p>
  </w:footnote>
  <w:footnote w:type="continuationSeparator" w:id="9">
    <w:p>
      <w:pPr>
        <w:spacing w:line="240" w:lineRule="auto"/>
        <w:ind w:firstLine="480"/>
      </w:pPr>
      <w:r>
        <w:continuationSeparator/>
      </w:r>
    </w:p>
  </w:footnote>
  <w:footnote w:id="0">
    <w:p w14:paraId="650A95CC">
      <w:pPr>
        <w:pStyle w:val="23"/>
        <w:ind w:firstLine="440"/>
        <w:rPr>
          <w:sz w:val="21"/>
          <w:szCs w:val="21"/>
        </w:rPr>
      </w:pPr>
      <w:r>
        <w:rPr>
          <w:rStyle w:val="38"/>
          <w:sz w:val="22"/>
          <w:szCs w:val="21"/>
        </w:rPr>
        <w:footnoteRef/>
      </w:r>
      <w:r>
        <w:rPr>
          <w:rFonts w:hint="eastAsia"/>
          <w:sz w:val="22"/>
          <w:szCs w:val="21"/>
        </w:rPr>
        <w:t>“三新一高”指立足新发展阶段、贯彻新发展理念、构建新发展格局，推进高质量发展。</w:t>
      </w:r>
    </w:p>
  </w:footnote>
  <w:footnote w:id="1">
    <w:p w14:paraId="29ECF01A">
      <w:pPr>
        <w:pStyle w:val="23"/>
        <w:ind w:firstLine="420"/>
        <w:rPr>
          <w:sz w:val="21"/>
          <w:szCs w:val="21"/>
        </w:rPr>
      </w:pPr>
      <w:r>
        <w:rPr>
          <w:rStyle w:val="38"/>
          <w:sz w:val="21"/>
          <w:szCs w:val="21"/>
        </w:rPr>
        <w:footnoteRef/>
      </w:r>
      <w:r>
        <w:rPr>
          <w:rFonts w:hint="eastAsia"/>
          <w:sz w:val="22"/>
          <w:szCs w:val="21"/>
        </w:rPr>
        <w:t>“一主”指泰州市中心城区，“一带”指沿江绿色转型发展带，“两源”指西北湖荡湿地生态源和溱湖生态源，“三片”指里下河、通南高沙土及通南沿江农业片区。</w:t>
      </w:r>
    </w:p>
  </w:footnote>
  <w:footnote w:id="2">
    <w:p w14:paraId="78791A3F">
      <w:pPr>
        <w:pStyle w:val="23"/>
        <w:ind w:firstLine="440"/>
        <w:rPr>
          <w:rFonts w:asciiTheme="minorEastAsia" w:hAnsiTheme="minorEastAsia" w:eastAsiaTheme="minorEastAsia"/>
          <w:sz w:val="21"/>
          <w:szCs w:val="21"/>
        </w:rPr>
      </w:pPr>
      <w:r>
        <w:rPr>
          <w:rStyle w:val="38"/>
          <w:rFonts w:asciiTheme="minorEastAsia" w:hAnsiTheme="minorEastAsia" w:eastAsiaTheme="minorEastAsia"/>
          <w:sz w:val="22"/>
          <w:szCs w:val="21"/>
        </w:rPr>
        <w:footnoteRef/>
      </w:r>
      <w:r>
        <w:rPr>
          <w:rFonts w:hint="eastAsia" w:asciiTheme="minorEastAsia" w:hAnsiTheme="minorEastAsia" w:eastAsiaTheme="minorEastAsia"/>
          <w:sz w:val="22"/>
          <w:szCs w:val="21"/>
        </w:rPr>
        <w:t>节水三同时制度是指在制定节水政策时，要求在规划、设计、建设和管理过程中，同时考虑节约用水、保护水源和提高水资源利用率三个方面。</w:t>
      </w:r>
    </w:p>
  </w:footnote>
  <w:footnote w:id="3">
    <w:p w14:paraId="02E25038">
      <w:pPr>
        <w:pStyle w:val="65"/>
        <w:spacing w:line="360" w:lineRule="auto"/>
        <w:ind w:firstLine="440"/>
        <w:rPr>
          <w:rFonts w:asciiTheme="minorEastAsia" w:hAnsiTheme="minorEastAsia" w:eastAsiaTheme="minorEastAsia"/>
          <w:sz w:val="22"/>
          <w:szCs w:val="22"/>
        </w:rPr>
      </w:pPr>
      <w:r>
        <w:rPr>
          <w:rStyle w:val="38"/>
          <w:rFonts w:asciiTheme="minorEastAsia" w:hAnsiTheme="minorEastAsia" w:eastAsiaTheme="minorEastAsia"/>
          <w:sz w:val="22"/>
          <w:szCs w:val="22"/>
        </w:rPr>
        <w:footnoteRef/>
      </w:r>
      <w:r>
        <w:rPr>
          <w:rStyle w:val="48"/>
          <w:rFonts w:hint="eastAsia" w:asciiTheme="minorEastAsia" w:hAnsiTheme="minorEastAsia" w:eastAsiaTheme="minorEastAsia"/>
          <w:sz w:val="22"/>
          <w:szCs w:val="22"/>
        </w:rPr>
        <w:t>“一带、两源、四片、四廊”即泰州市国土空间规划生态空间格局，“一带”指沿江生态涵养带，“两源”指西北湖荡湿地生态源、溱湖生态源。“四片”指里下河、城北、高沙土及南部生态片区。“四廊”指泰州引江河-卤汀河、新通扬运河、泰东河水生态廊道、宁靖生态廊道。</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24D55E">
    <w:pPr>
      <w:pStyle w:val="20"/>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D9A98B">
    <w:pPr>
      <w:pStyle w:val="2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C3A272">
    <w:pPr>
      <w:pStyle w:val="20"/>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E3A9F3">
    <w:pPr>
      <w:pStyle w:val="56"/>
      <w:pBdr>
        <w:bottom w:val="single" w:color="auto" w:sz="4" w:space="1"/>
      </w:pBdr>
    </w:pPr>
    <w:r>
      <w:rPr>
        <w:rFonts w:hint="eastAsia" w:asciiTheme="minorEastAsia" w:hAnsiTheme="minorEastAsia" w:eastAsiaTheme="minorEastAsia"/>
        <w:sz w:val="18"/>
        <w:szCs w:val="18"/>
      </w:rPr>
      <w:drawing>
        <wp:inline distT="0" distB="0" distL="0" distR="0">
          <wp:extent cx="304800" cy="304800"/>
          <wp:effectExtent l="0" t="0" r="0" b="0"/>
          <wp:docPr id="2" name="图片 2" descr="公司LOGO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公司LOGO图"/>
                  <pic:cNvPicPr>
                    <a:picLocks noChangeAspect="1" noChangeArrowheads="1"/>
                  </pic:cNvPicPr>
                </pic:nvPicPr>
                <pic:blipFill>
                  <a:blip r:embed="rId1">
                    <a:extLst>
                      <a:ext uri="{28A0092B-C50C-407E-A947-70E740481C1C}">
                        <a14:useLocalDpi xmlns:a14="http://schemas.microsoft.com/office/drawing/2010/main" val="0"/>
                      </a:ext>
                    </a:extLst>
                  </a:blip>
                  <a:srcRect l="21170" t="10738" r="11902" b="11711"/>
                  <a:stretch>
                    <a:fillRect/>
                  </a:stretch>
                </pic:blipFill>
                <pic:spPr>
                  <a:xfrm>
                    <a:off x="0" y="0"/>
                    <a:ext cx="304800" cy="304800"/>
                  </a:xfrm>
                  <a:prstGeom prst="rect">
                    <a:avLst/>
                  </a:prstGeom>
                  <a:noFill/>
                  <a:ln>
                    <a:noFill/>
                  </a:ln>
                </pic:spPr>
              </pic:pic>
            </a:graphicData>
          </a:graphic>
        </wp:inline>
      </w:drawing>
    </w:r>
    <w:r>
      <w:rPr>
        <w:rFonts w:hint="eastAsia" w:asciiTheme="minorEastAsia" w:hAnsiTheme="minorEastAsia" w:eastAsiaTheme="minorEastAsia"/>
        <w:sz w:val="18"/>
        <w:szCs w:val="18"/>
      </w:rPr>
      <w:t xml:space="preserve">江苏省水利勘测设计研究院有限公司 </w:t>
    </w:r>
    <w:r>
      <w:rPr>
        <w:rFonts w:asciiTheme="minorEastAsia" w:hAnsiTheme="minorEastAsia" w:eastAsiaTheme="minorEastAsia"/>
        <w:sz w:val="18"/>
        <w:szCs w:val="18"/>
      </w:rPr>
      <w:t xml:space="preserve">                                         </w:t>
    </w:r>
    <w:r>
      <w:rPr>
        <w:rFonts w:hint="eastAsia" w:asciiTheme="minorEastAsia" w:hAnsiTheme="minorEastAsia" w:eastAsiaTheme="minorEastAsia"/>
        <w:sz w:val="18"/>
        <w:szCs w:val="18"/>
      </w:rPr>
      <w:t>苏勘设</w:t>
    </w:r>
    <w:r>
      <w:rPr>
        <w:rFonts w:ascii="Times New Roman" w:hAnsi="Times New Roman" w:eastAsia="宋体" w:cs="Times New Roman"/>
        <w:sz w:val="18"/>
        <w:szCs w:val="20"/>
        <w:vertAlign w:val="superscript"/>
      </w:rP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FBE7A4">
    <w:pPr>
      <w:pStyle w:val="56"/>
      <w:pBdr>
        <w:bottom w:val="single" w:color="auto" w:sz="4" w:space="1"/>
      </w:pBdr>
    </w:pPr>
    <w:r>
      <w:rPr>
        <w:rFonts w:hint="eastAsia" w:asciiTheme="minorEastAsia" w:hAnsiTheme="minorEastAsia" w:eastAsiaTheme="minorEastAsia"/>
        <w:sz w:val="18"/>
        <w:szCs w:val="18"/>
      </w:rPr>
      <w:drawing>
        <wp:inline distT="0" distB="0" distL="0" distR="0">
          <wp:extent cx="304800" cy="304800"/>
          <wp:effectExtent l="0" t="0" r="0" b="0"/>
          <wp:docPr id="8" name="图片 8" descr="公司LOGO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公司LOGO图"/>
                  <pic:cNvPicPr>
                    <a:picLocks noChangeAspect="1" noChangeArrowheads="1"/>
                  </pic:cNvPicPr>
                </pic:nvPicPr>
                <pic:blipFill>
                  <a:blip r:embed="rId1">
                    <a:extLst>
                      <a:ext uri="{28A0092B-C50C-407E-A947-70E740481C1C}">
                        <a14:useLocalDpi xmlns:a14="http://schemas.microsoft.com/office/drawing/2010/main" val="0"/>
                      </a:ext>
                    </a:extLst>
                  </a:blip>
                  <a:srcRect l="21170" t="10738" r="11902" b="11711"/>
                  <a:stretch>
                    <a:fillRect/>
                  </a:stretch>
                </pic:blipFill>
                <pic:spPr>
                  <a:xfrm>
                    <a:off x="0" y="0"/>
                    <a:ext cx="304800" cy="304800"/>
                  </a:xfrm>
                  <a:prstGeom prst="rect">
                    <a:avLst/>
                  </a:prstGeom>
                  <a:noFill/>
                  <a:ln>
                    <a:noFill/>
                  </a:ln>
                </pic:spPr>
              </pic:pic>
            </a:graphicData>
          </a:graphic>
        </wp:inline>
      </w:drawing>
    </w:r>
    <w:r>
      <w:rPr>
        <w:rFonts w:hint="eastAsia" w:asciiTheme="minorEastAsia" w:hAnsiTheme="minorEastAsia" w:eastAsiaTheme="minorEastAsia"/>
        <w:sz w:val="18"/>
        <w:szCs w:val="18"/>
      </w:rPr>
      <w:t xml:space="preserve">江苏省水利勘测设计研究院有限公司 </w:t>
    </w:r>
    <w:r>
      <w:rPr>
        <w:rFonts w:asciiTheme="minorEastAsia" w:hAnsiTheme="minorEastAsia" w:eastAsiaTheme="minorEastAsia"/>
        <w:sz w:val="18"/>
        <w:szCs w:val="18"/>
      </w:rPr>
      <w:t xml:space="preserve">                                             </w:t>
    </w:r>
    <w:r>
      <w:rPr>
        <w:rFonts w:hint="eastAsia" w:asciiTheme="minorEastAsia" w:hAnsiTheme="minorEastAsia" w:eastAsiaTheme="minorEastAsia"/>
        <w:sz w:val="18"/>
        <w:szCs w:val="18"/>
      </w:rPr>
      <w:t>苏勘设</w:t>
    </w:r>
    <w:r>
      <w:rPr>
        <w:rFonts w:ascii="Times New Roman" w:hAnsi="Times New Roman" w:eastAsia="宋体" w:cs="Times New Roman"/>
        <w:sz w:val="18"/>
        <w:szCs w:val="20"/>
        <w:vertAlign w:val="superscript"/>
      </w:rP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2916D4">
    <w:pPr>
      <w:pStyle w:val="20"/>
      <w:ind w:firstLine="360"/>
    </w:pPr>
  </w:p>
  <w:p w14:paraId="7729B4D7">
    <w:pPr>
      <w:ind w:firstLine="480"/>
    </w:pPr>
  </w:p>
  <w:p w14:paraId="7DD9CD88">
    <w:pPr>
      <w:ind w:firstLine="48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31C7F2">
    <w:pPr>
      <w:pStyle w:val="20"/>
      <w:ind w:firstLine="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7F66BB">
    <w:pPr>
      <w:pStyle w:val="56"/>
      <w:pBdr>
        <w:bottom w:val="single" w:color="auto" w:sz="4" w:space="1"/>
      </w:pBdr>
    </w:pPr>
    <w:r>
      <w:rPr>
        <w:rFonts w:hint="eastAsia" w:asciiTheme="minorEastAsia" w:hAnsiTheme="minorEastAsia" w:eastAsiaTheme="minorEastAsia"/>
        <w:sz w:val="18"/>
        <w:szCs w:val="18"/>
      </w:rPr>
      <w:drawing>
        <wp:inline distT="0" distB="0" distL="0" distR="0">
          <wp:extent cx="304800" cy="304800"/>
          <wp:effectExtent l="0" t="0" r="0" b="0"/>
          <wp:docPr id="1" name="图片 1" descr="公司LOGO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公司LOGO图"/>
                  <pic:cNvPicPr>
                    <a:picLocks noChangeAspect="1" noChangeArrowheads="1"/>
                  </pic:cNvPicPr>
                </pic:nvPicPr>
                <pic:blipFill>
                  <a:blip r:embed="rId1">
                    <a:extLst>
                      <a:ext uri="{28A0092B-C50C-407E-A947-70E740481C1C}">
                        <a14:useLocalDpi xmlns:a14="http://schemas.microsoft.com/office/drawing/2010/main" val="0"/>
                      </a:ext>
                    </a:extLst>
                  </a:blip>
                  <a:srcRect l="21170" t="10738" r="11902" b="11711"/>
                  <a:stretch>
                    <a:fillRect/>
                  </a:stretch>
                </pic:blipFill>
                <pic:spPr>
                  <a:xfrm>
                    <a:off x="0" y="0"/>
                    <a:ext cx="304800" cy="304800"/>
                  </a:xfrm>
                  <a:prstGeom prst="rect">
                    <a:avLst/>
                  </a:prstGeom>
                  <a:noFill/>
                  <a:ln>
                    <a:noFill/>
                  </a:ln>
                </pic:spPr>
              </pic:pic>
            </a:graphicData>
          </a:graphic>
        </wp:inline>
      </w:drawing>
    </w:r>
    <w:r>
      <w:rPr>
        <w:rFonts w:hint="eastAsia" w:asciiTheme="minorEastAsia" w:hAnsiTheme="minorEastAsia" w:eastAsiaTheme="minorEastAsia"/>
        <w:sz w:val="18"/>
        <w:szCs w:val="18"/>
      </w:rPr>
      <w:t xml:space="preserve">江苏省水利勘测设计研究院有限公司 </w:t>
    </w:r>
    <w:r>
      <w:rPr>
        <w:rFonts w:asciiTheme="minorEastAsia" w:hAnsiTheme="minorEastAsia" w:eastAsiaTheme="minorEastAsia"/>
        <w:sz w:val="18"/>
        <w:szCs w:val="18"/>
      </w:rPr>
      <w:t xml:space="preserve">                                                                                                                                                                                  </w:t>
    </w:r>
    <w:r>
      <w:rPr>
        <w:rFonts w:hint="eastAsia" w:asciiTheme="minorEastAsia" w:hAnsiTheme="minorEastAsia" w:eastAsiaTheme="minorEastAsia"/>
        <w:sz w:val="18"/>
        <w:szCs w:val="18"/>
      </w:rPr>
      <w:t>苏勘设</w:t>
    </w:r>
    <w:r>
      <w:rPr>
        <w:rFonts w:ascii="Times New Roman" w:hAnsi="Times New Roman" w:eastAsia="宋体" w:cs="Times New Roman"/>
        <w:sz w:val="18"/>
        <w:szCs w:val="20"/>
        <w:vertAlign w:val="superscript"/>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6630920"/>
    <w:multiLevelType w:val="multilevel"/>
    <w:tmpl w:val="16630920"/>
    <w:lvl w:ilvl="0" w:tentative="0">
      <w:start w:val="1"/>
      <w:numFmt w:val="decimal"/>
      <w:pStyle w:val="2"/>
      <w:suff w:val="space"/>
      <w:lvlText w:val="%1"/>
      <w:lvlJc w:val="left"/>
      <w:pPr>
        <w:ind w:left="0" w:firstLine="0"/>
      </w:pPr>
      <w:rPr>
        <w:rFonts w:hint="eastAsia"/>
      </w:rPr>
    </w:lvl>
    <w:lvl w:ilvl="1" w:tentative="0">
      <w:start w:val="1"/>
      <w:numFmt w:val="decimal"/>
      <w:pStyle w:val="3"/>
      <w:suff w:val="space"/>
      <w:lvlText w:val="%1.%2"/>
      <w:lvlJc w:val="left"/>
      <w:pPr>
        <w:ind w:left="567" w:hanging="567"/>
      </w:pPr>
      <w:rPr>
        <w:rFonts w:hint="eastAsia"/>
      </w:rPr>
    </w:lvl>
    <w:lvl w:ilvl="2" w:tentative="0">
      <w:start w:val="1"/>
      <w:numFmt w:val="decimal"/>
      <w:pStyle w:val="4"/>
      <w:suff w:val="space"/>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hideSpellingErrors/>
  <w:hideGrammaticalErrors/>
  <w:documentProtection w:enforcement="0"/>
  <w:defaultTabStop w:val="420"/>
  <w:drawingGridHorizontalSpacing w:val="120"/>
  <w:drawingGridVerticalSpacing w:val="163"/>
  <w:displayHorizontalDrawingGridEvery w:val="2"/>
  <w:displayVerticalDrawingGridEvery w:val="2"/>
  <w:characterSpacingControl w:val="compressPunctuation"/>
  <w:footnotePr>
    <w:footnote w:id="8"/>
    <w:footnote w:id="9"/>
  </w:footnotePr>
  <w:endnotePr>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g4YzMxNDAyOWM4OGQwODdjNWYyYzRlNGJjYWRiYTMifQ=="/>
  </w:docVars>
  <w:rsids>
    <w:rsidRoot w:val="00B22B9F"/>
    <w:rsid w:val="00000185"/>
    <w:rsid w:val="00000A68"/>
    <w:rsid w:val="00000A9B"/>
    <w:rsid w:val="000018BE"/>
    <w:rsid w:val="00001D68"/>
    <w:rsid w:val="00001FAB"/>
    <w:rsid w:val="00001FB2"/>
    <w:rsid w:val="000021F3"/>
    <w:rsid w:val="0000252C"/>
    <w:rsid w:val="0000255B"/>
    <w:rsid w:val="000026BB"/>
    <w:rsid w:val="00002F4D"/>
    <w:rsid w:val="00003176"/>
    <w:rsid w:val="00003565"/>
    <w:rsid w:val="00003D85"/>
    <w:rsid w:val="00003E59"/>
    <w:rsid w:val="00003FC9"/>
    <w:rsid w:val="00004A69"/>
    <w:rsid w:val="00004FB0"/>
    <w:rsid w:val="0000521F"/>
    <w:rsid w:val="00005260"/>
    <w:rsid w:val="000052FD"/>
    <w:rsid w:val="00005552"/>
    <w:rsid w:val="00005F10"/>
    <w:rsid w:val="00006362"/>
    <w:rsid w:val="00006720"/>
    <w:rsid w:val="00006A76"/>
    <w:rsid w:val="00006D93"/>
    <w:rsid w:val="00006FFF"/>
    <w:rsid w:val="00007A05"/>
    <w:rsid w:val="00007ADC"/>
    <w:rsid w:val="00010024"/>
    <w:rsid w:val="000100E5"/>
    <w:rsid w:val="0001025F"/>
    <w:rsid w:val="000102C1"/>
    <w:rsid w:val="0001048E"/>
    <w:rsid w:val="00010BED"/>
    <w:rsid w:val="000115EE"/>
    <w:rsid w:val="00012370"/>
    <w:rsid w:val="00012A84"/>
    <w:rsid w:val="00012C5D"/>
    <w:rsid w:val="0001315E"/>
    <w:rsid w:val="000133DA"/>
    <w:rsid w:val="000133F6"/>
    <w:rsid w:val="000134CD"/>
    <w:rsid w:val="000135AA"/>
    <w:rsid w:val="00013641"/>
    <w:rsid w:val="000140E8"/>
    <w:rsid w:val="00014486"/>
    <w:rsid w:val="000149EA"/>
    <w:rsid w:val="00014EB2"/>
    <w:rsid w:val="00014FF2"/>
    <w:rsid w:val="00015921"/>
    <w:rsid w:val="00016768"/>
    <w:rsid w:val="000167DF"/>
    <w:rsid w:val="000169CC"/>
    <w:rsid w:val="000171EF"/>
    <w:rsid w:val="000177AB"/>
    <w:rsid w:val="0001790D"/>
    <w:rsid w:val="00017A59"/>
    <w:rsid w:val="00020641"/>
    <w:rsid w:val="000208CF"/>
    <w:rsid w:val="00020A09"/>
    <w:rsid w:val="00020A89"/>
    <w:rsid w:val="00020CA1"/>
    <w:rsid w:val="00020F08"/>
    <w:rsid w:val="00020F6E"/>
    <w:rsid w:val="00020F92"/>
    <w:rsid w:val="0002110C"/>
    <w:rsid w:val="0002135D"/>
    <w:rsid w:val="000213BE"/>
    <w:rsid w:val="0002171F"/>
    <w:rsid w:val="00021758"/>
    <w:rsid w:val="000219EA"/>
    <w:rsid w:val="0002201F"/>
    <w:rsid w:val="0002214A"/>
    <w:rsid w:val="00022249"/>
    <w:rsid w:val="0002287D"/>
    <w:rsid w:val="000236F9"/>
    <w:rsid w:val="000238FA"/>
    <w:rsid w:val="00023E75"/>
    <w:rsid w:val="00023E97"/>
    <w:rsid w:val="000242F4"/>
    <w:rsid w:val="0002455D"/>
    <w:rsid w:val="00025543"/>
    <w:rsid w:val="000256F1"/>
    <w:rsid w:val="000256FF"/>
    <w:rsid w:val="00025974"/>
    <w:rsid w:val="00025C28"/>
    <w:rsid w:val="00025E0B"/>
    <w:rsid w:val="00025E25"/>
    <w:rsid w:val="00026206"/>
    <w:rsid w:val="00026411"/>
    <w:rsid w:val="00026653"/>
    <w:rsid w:val="000267E5"/>
    <w:rsid w:val="00026C27"/>
    <w:rsid w:val="00026E48"/>
    <w:rsid w:val="00026EE3"/>
    <w:rsid w:val="00027075"/>
    <w:rsid w:val="00027215"/>
    <w:rsid w:val="0002734F"/>
    <w:rsid w:val="0002754C"/>
    <w:rsid w:val="000276B5"/>
    <w:rsid w:val="00027B07"/>
    <w:rsid w:val="00030677"/>
    <w:rsid w:val="000307B1"/>
    <w:rsid w:val="000309C4"/>
    <w:rsid w:val="00030B8E"/>
    <w:rsid w:val="00031146"/>
    <w:rsid w:val="0003123A"/>
    <w:rsid w:val="00031CD5"/>
    <w:rsid w:val="00032441"/>
    <w:rsid w:val="0003251A"/>
    <w:rsid w:val="0003263C"/>
    <w:rsid w:val="00033289"/>
    <w:rsid w:val="00033BE0"/>
    <w:rsid w:val="00033D6F"/>
    <w:rsid w:val="00033F78"/>
    <w:rsid w:val="0003422F"/>
    <w:rsid w:val="00034299"/>
    <w:rsid w:val="0003431E"/>
    <w:rsid w:val="00034B08"/>
    <w:rsid w:val="000351BA"/>
    <w:rsid w:val="000354F7"/>
    <w:rsid w:val="00035D41"/>
    <w:rsid w:val="00036283"/>
    <w:rsid w:val="000366E5"/>
    <w:rsid w:val="0003677E"/>
    <w:rsid w:val="00036EC7"/>
    <w:rsid w:val="00036FA5"/>
    <w:rsid w:val="00037649"/>
    <w:rsid w:val="0003798C"/>
    <w:rsid w:val="00037D44"/>
    <w:rsid w:val="00037EE9"/>
    <w:rsid w:val="0004013F"/>
    <w:rsid w:val="00040245"/>
    <w:rsid w:val="000403AE"/>
    <w:rsid w:val="00040475"/>
    <w:rsid w:val="000405B9"/>
    <w:rsid w:val="0004111F"/>
    <w:rsid w:val="00041224"/>
    <w:rsid w:val="00041419"/>
    <w:rsid w:val="000414A2"/>
    <w:rsid w:val="00041623"/>
    <w:rsid w:val="000416CD"/>
    <w:rsid w:val="00041DD1"/>
    <w:rsid w:val="00042289"/>
    <w:rsid w:val="000432A6"/>
    <w:rsid w:val="00043CD9"/>
    <w:rsid w:val="00043D36"/>
    <w:rsid w:val="00043F2D"/>
    <w:rsid w:val="0004412E"/>
    <w:rsid w:val="0004485D"/>
    <w:rsid w:val="00044F33"/>
    <w:rsid w:val="0004512E"/>
    <w:rsid w:val="000456F0"/>
    <w:rsid w:val="000459F8"/>
    <w:rsid w:val="00045E0F"/>
    <w:rsid w:val="00045FB6"/>
    <w:rsid w:val="00045FDF"/>
    <w:rsid w:val="00046252"/>
    <w:rsid w:val="000463DB"/>
    <w:rsid w:val="00046593"/>
    <w:rsid w:val="0004683D"/>
    <w:rsid w:val="000469BF"/>
    <w:rsid w:val="00046C13"/>
    <w:rsid w:val="00046D13"/>
    <w:rsid w:val="000472FB"/>
    <w:rsid w:val="000474E1"/>
    <w:rsid w:val="00047569"/>
    <w:rsid w:val="0004768A"/>
    <w:rsid w:val="0004794A"/>
    <w:rsid w:val="00050294"/>
    <w:rsid w:val="00050352"/>
    <w:rsid w:val="00050553"/>
    <w:rsid w:val="00050698"/>
    <w:rsid w:val="00050912"/>
    <w:rsid w:val="00050B36"/>
    <w:rsid w:val="00050B70"/>
    <w:rsid w:val="00050C5F"/>
    <w:rsid w:val="0005103B"/>
    <w:rsid w:val="000519CC"/>
    <w:rsid w:val="000521CB"/>
    <w:rsid w:val="0005225C"/>
    <w:rsid w:val="00052464"/>
    <w:rsid w:val="00053055"/>
    <w:rsid w:val="000536FD"/>
    <w:rsid w:val="00053982"/>
    <w:rsid w:val="0005413A"/>
    <w:rsid w:val="00054458"/>
    <w:rsid w:val="000545BA"/>
    <w:rsid w:val="000546D6"/>
    <w:rsid w:val="000550F0"/>
    <w:rsid w:val="00056488"/>
    <w:rsid w:val="00056B9A"/>
    <w:rsid w:val="00056EE5"/>
    <w:rsid w:val="0005707A"/>
    <w:rsid w:val="00057465"/>
    <w:rsid w:val="0005787C"/>
    <w:rsid w:val="000578BD"/>
    <w:rsid w:val="00057A81"/>
    <w:rsid w:val="0006020E"/>
    <w:rsid w:val="00060266"/>
    <w:rsid w:val="000604ED"/>
    <w:rsid w:val="00060566"/>
    <w:rsid w:val="0006065A"/>
    <w:rsid w:val="0006081F"/>
    <w:rsid w:val="00060CEE"/>
    <w:rsid w:val="0006113A"/>
    <w:rsid w:val="00061337"/>
    <w:rsid w:val="000619A1"/>
    <w:rsid w:val="00061C2C"/>
    <w:rsid w:val="00061CEE"/>
    <w:rsid w:val="00061F47"/>
    <w:rsid w:val="00062157"/>
    <w:rsid w:val="000621C0"/>
    <w:rsid w:val="00062A05"/>
    <w:rsid w:val="000634B9"/>
    <w:rsid w:val="000638DC"/>
    <w:rsid w:val="00063FF7"/>
    <w:rsid w:val="000641F8"/>
    <w:rsid w:val="00064479"/>
    <w:rsid w:val="000647EB"/>
    <w:rsid w:val="00064AA0"/>
    <w:rsid w:val="0006504F"/>
    <w:rsid w:val="0006528F"/>
    <w:rsid w:val="000655AE"/>
    <w:rsid w:val="00065F60"/>
    <w:rsid w:val="0006649B"/>
    <w:rsid w:val="000665A5"/>
    <w:rsid w:val="000666B9"/>
    <w:rsid w:val="00067249"/>
    <w:rsid w:val="000674B8"/>
    <w:rsid w:val="00067643"/>
    <w:rsid w:val="00070068"/>
    <w:rsid w:val="000700BB"/>
    <w:rsid w:val="00070264"/>
    <w:rsid w:val="000704DB"/>
    <w:rsid w:val="0007089E"/>
    <w:rsid w:val="00070BAF"/>
    <w:rsid w:val="00070CA1"/>
    <w:rsid w:val="00071022"/>
    <w:rsid w:val="00071B1B"/>
    <w:rsid w:val="00072009"/>
    <w:rsid w:val="000721EC"/>
    <w:rsid w:val="000724FF"/>
    <w:rsid w:val="000728B5"/>
    <w:rsid w:val="000729FD"/>
    <w:rsid w:val="00072F3A"/>
    <w:rsid w:val="000732CA"/>
    <w:rsid w:val="000733F3"/>
    <w:rsid w:val="00073520"/>
    <w:rsid w:val="0007363A"/>
    <w:rsid w:val="00073724"/>
    <w:rsid w:val="00073BA3"/>
    <w:rsid w:val="000742CF"/>
    <w:rsid w:val="000743AD"/>
    <w:rsid w:val="000743F2"/>
    <w:rsid w:val="00074A9D"/>
    <w:rsid w:val="00074CAD"/>
    <w:rsid w:val="000756D1"/>
    <w:rsid w:val="000760F4"/>
    <w:rsid w:val="00076166"/>
    <w:rsid w:val="000765FD"/>
    <w:rsid w:val="00076E65"/>
    <w:rsid w:val="00076F25"/>
    <w:rsid w:val="000770D2"/>
    <w:rsid w:val="00077AB1"/>
    <w:rsid w:val="00080ADA"/>
    <w:rsid w:val="00080D18"/>
    <w:rsid w:val="000811EE"/>
    <w:rsid w:val="0008134B"/>
    <w:rsid w:val="00081450"/>
    <w:rsid w:val="000817F0"/>
    <w:rsid w:val="00081828"/>
    <w:rsid w:val="0008201B"/>
    <w:rsid w:val="00082521"/>
    <w:rsid w:val="00082B3B"/>
    <w:rsid w:val="00082C07"/>
    <w:rsid w:val="00082D3B"/>
    <w:rsid w:val="00083547"/>
    <w:rsid w:val="00083A54"/>
    <w:rsid w:val="00083C98"/>
    <w:rsid w:val="00083D02"/>
    <w:rsid w:val="00084269"/>
    <w:rsid w:val="00084455"/>
    <w:rsid w:val="00084676"/>
    <w:rsid w:val="00084A63"/>
    <w:rsid w:val="00084EF4"/>
    <w:rsid w:val="00084F8E"/>
    <w:rsid w:val="000850D1"/>
    <w:rsid w:val="000851C4"/>
    <w:rsid w:val="0008545A"/>
    <w:rsid w:val="0008586E"/>
    <w:rsid w:val="00085A07"/>
    <w:rsid w:val="00085EC2"/>
    <w:rsid w:val="000862B4"/>
    <w:rsid w:val="000863A1"/>
    <w:rsid w:val="000865F1"/>
    <w:rsid w:val="0008694D"/>
    <w:rsid w:val="00086D85"/>
    <w:rsid w:val="00087238"/>
    <w:rsid w:val="000875A5"/>
    <w:rsid w:val="00087723"/>
    <w:rsid w:val="00087D9E"/>
    <w:rsid w:val="000901A6"/>
    <w:rsid w:val="00090529"/>
    <w:rsid w:val="00090EDE"/>
    <w:rsid w:val="000912C4"/>
    <w:rsid w:val="00091773"/>
    <w:rsid w:val="0009192D"/>
    <w:rsid w:val="0009282F"/>
    <w:rsid w:val="000929F6"/>
    <w:rsid w:val="00092FCC"/>
    <w:rsid w:val="00093166"/>
    <w:rsid w:val="000931BB"/>
    <w:rsid w:val="00093672"/>
    <w:rsid w:val="0009368E"/>
    <w:rsid w:val="0009415D"/>
    <w:rsid w:val="00094766"/>
    <w:rsid w:val="0009476E"/>
    <w:rsid w:val="00094AB4"/>
    <w:rsid w:val="00095409"/>
    <w:rsid w:val="0009565F"/>
    <w:rsid w:val="0009571C"/>
    <w:rsid w:val="0009585C"/>
    <w:rsid w:val="00095BF6"/>
    <w:rsid w:val="00096221"/>
    <w:rsid w:val="00096747"/>
    <w:rsid w:val="00096A1A"/>
    <w:rsid w:val="00096B99"/>
    <w:rsid w:val="00096F97"/>
    <w:rsid w:val="00097178"/>
    <w:rsid w:val="00097454"/>
    <w:rsid w:val="000977D5"/>
    <w:rsid w:val="000978CE"/>
    <w:rsid w:val="00097D0B"/>
    <w:rsid w:val="00097D4A"/>
    <w:rsid w:val="00097FDE"/>
    <w:rsid w:val="000A012C"/>
    <w:rsid w:val="000A03E0"/>
    <w:rsid w:val="000A06FB"/>
    <w:rsid w:val="000A0C2A"/>
    <w:rsid w:val="000A1090"/>
    <w:rsid w:val="000A1313"/>
    <w:rsid w:val="000A1419"/>
    <w:rsid w:val="000A15EB"/>
    <w:rsid w:val="000A17D8"/>
    <w:rsid w:val="000A1A22"/>
    <w:rsid w:val="000A1AF3"/>
    <w:rsid w:val="000A20E9"/>
    <w:rsid w:val="000A21A9"/>
    <w:rsid w:val="000A22D6"/>
    <w:rsid w:val="000A244B"/>
    <w:rsid w:val="000A2533"/>
    <w:rsid w:val="000A2693"/>
    <w:rsid w:val="000A280E"/>
    <w:rsid w:val="000A2CEF"/>
    <w:rsid w:val="000A30AD"/>
    <w:rsid w:val="000A315E"/>
    <w:rsid w:val="000A3409"/>
    <w:rsid w:val="000A4040"/>
    <w:rsid w:val="000A4CDA"/>
    <w:rsid w:val="000A4EE8"/>
    <w:rsid w:val="000A4F39"/>
    <w:rsid w:val="000A5114"/>
    <w:rsid w:val="000A5147"/>
    <w:rsid w:val="000A5845"/>
    <w:rsid w:val="000A58CA"/>
    <w:rsid w:val="000A5D14"/>
    <w:rsid w:val="000A6353"/>
    <w:rsid w:val="000A7040"/>
    <w:rsid w:val="000A72CA"/>
    <w:rsid w:val="000A7F89"/>
    <w:rsid w:val="000A7FD1"/>
    <w:rsid w:val="000B06DC"/>
    <w:rsid w:val="000B0E76"/>
    <w:rsid w:val="000B0F12"/>
    <w:rsid w:val="000B1573"/>
    <w:rsid w:val="000B175E"/>
    <w:rsid w:val="000B17BF"/>
    <w:rsid w:val="000B1F9D"/>
    <w:rsid w:val="000B219B"/>
    <w:rsid w:val="000B21C5"/>
    <w:rsid w:val="000B2617"/>
    <w:rsid w:val="000B293D"/>
    <w:rsid w:val="000B2D7D"/>
    <w:rsid w:val="000B339D"/>
    <w:rsid w:val="000B3770"/>
    <w:rsid w:val="000B3795"/>
    <w:rsid w:val="000B385D"/>
    <w:rsid w:val="000B3B22"/>
    <w:rsid w:val="000B4569"/>
    <w:rsid w:val="000B4C2C"/>
    <w:rsid w:val="000B4D74"/>
    <w:rsid w:val="000B515C"/>
    <w:rsid w:val="000B556A"/>
    <w:rsid w:val="000B56B5"/>
    <w:rsid w:val="000B6655"/>
    <w:rsid w:val="000B6A1F"/>
    <w:rsid w:val="000B6AAC"/>
    <w:rsid w:val="000B6AD0"/>
    <w:rsid w:val="000B712E"/>
    <w:rsid w:val="000B71DD"/>
    <w:rsid w:val="000B7527"/>
    <w:rsid w:val="000B7817"/>
    <w:rsid w:val="000B7AFD"/>
    <w:rsid w:val="000B7B02"/>
    <w:rsid w:val="000B7EE6"/>
    <w:rsid w:val="000B7F59"/>
    <w:rsid w:val="000C0381"/>
    <w:rsid w:val="000C09AD"/>
    <w:rsid w:val="000C0DAF"/>
    <w:rsid w:val="000C1349"/>
    <w:rsid w:val="000C169A"/>
    <w:rsid w:val="000C2A25"/>
    <w:rsid w:val="000C2F05"/>
    <w:rsid w:val="000C325C"/>
    <w:rsid w:val="000C3873"/>
    <w:rsid w:val="000C392C"/>
    <w:rsid w:val="000C3A7D"/>
    <w:rsid w:val="000C3E8B"/>
    <w:rsid w:val="000C4009"/>
    <w:rsid w:val="000C436C"/>
    <w:rsid w:val="000C44B0"/>
    <w:rsid w:val="000C451E"/>
    <w:rsid w:val="000C4658"/>
    <w:rsid w:val="000C4AF1"/>
    <w:rsid w:val="000C598A"/>
    <w:rsid w:val="000C5CDE"/>
    <w:rsid w:val="000C5E38"/>
    <w:rsid w:val="000C65D5"/>
    <w:rsid w:val="000C67EB"/>
    <w:rsid w:val="000C6A1C"/>
    <w:rsid w:val="000C718B"/>
    <w:rsid w:val="000C78F5"/>
    <w:rsid w:val="000C7DAE"/>
    <w:rsid w:val="000D0635"/>
    <w:rsid w:val="000D08DD"/>
    <w:rsid w:val="000D0BCF"/>
    <w:rsid w:val="000D255F"/>
    <w:rsid w:val="000D274D"/>
    <w:rsid w:val="000D2790"/>
    <w:rsid w:val="000D2B5E"/>
    <w:rsid w:val="000D3657"/>
    <w:rsid w:val="000D36D2"/>
    <w:rsid w:val="000D37ED"/>
    <w:rsid w:val="000D3BE9"/>
    <w:rsid w:val="000D411C"/>
    <w:rsid w:val="000D42B0"/>
    <w:rsid w:val="000D433E"/>
    <w:rsid w:val="000D4467"/>
    <w:rsid w:val="000D4A83"/>
    <w:rsid w:val="000D4C0A"/>
    <w:rsid w:val="000D53A0"/>
    <w:rsid w:val="000D5CDE"/>
    <w:rsid w:val="000D5E52"/>
    <w:rsid w:val="000D6464"/>
    <w:rsid w:val="000D6A51"/>
    <w:rsid w:val="000D6D7A"/>
    <w:rsid w:val="000D6EB5"/>
    <w:rsid w:val="000D70CF"/>
    <w:rsid w:val="000D733C"/>
    <w:rsid w:val="000D73A1"/>
    <w:rsid w:val="000D7E8F"/>
    <w:rsid w:val="000E03D6"/>
    <w:rsid w:val="000E047B"/>
    <w:rsid w:val="000E07EE"/>
    <w:rsid w:val="000E0880"/>
    <w:rsid w:val="000E0A96"/>
    <w:rsid w:val="000E0B2F"/>
    <w:rsid w:val="000E0D95"/>
    <w:rsid w:val="000E16A6"/>
    <w:rsid w:val="000E18C9"/>
    <w:rsid w:val="000E201A"/>
    <w:rsid w:val="000E202D"/>
    <w:rsid w:val="000E21CA"/>
    <w:rsid w:val="000E22CF"/>
    <w:rsid w:val="000E24B1"/>
    <w:rsid w:val="000E2561"/>
    <w:rsid w:val="000E2974"/>
    <w:rsid w:val="000E2ADD"/>
    <w:rsid w:val="000E2BCF"/>
    <w:rsid w:val="000E2C20"/>
    <w:rsid w:val="000E31A2"/>
    <w:rsid w:val="000E3D5C"/>
    <w:rsid w:val="000E3DA3"/>
    <w:rsid w:val="000E4223"/>
    <w:rsid w:val="000E42A3"/>
    <w:rsid w:val="000E459F"/>
    <w:rsid w:val="000E4ADE"/>
    <w:rsid w:val="000E4B7A"/>
    <w:rsid w:val="000E4F5E"/>
    <w:rsid w:val="000E4F78"/>
    <w:rsid w:val="000E5024"/>
    <w:rsid w:val="000E5603"/>
    <w:rsid w:val="000E573B"/>
    <w:rsid w:val="000E57BB"/>
    <w:rsid w:val="000E5852"/>
    <w:rsid w:val="000E5B02"/>
    <w:rsid w:val="000E5BA8"/>
    <w:rsid w:val="000E6176"/>
    <w:rsid w:val="000E6196"/>
    <w:rsid w:val="000E63A4"/>
    <w:rsid w:val="000E64D2"/>
    <w:rsid w:val="000E654D"/>
    <w:rsid w:val="000E67C5"/>
    <w:rsid w:val="000E6BD9"/>
    <w:rsid w:val="000E7113"/>
    <w:rsid w:val="000E7202"/>
    <w:rsid w:val="000E744A"/>
    <w:rsid w:val="000E75CC"/>
    <w:rsid w:val="000E783D"/>
    <w:rsid w:val="000F02D8"/>
    <w:rsid w:val="000F04DD"/>
    <w:rsid w:val="000F08DE"/>
    <w:rsid w:val="000F0A3B"/>
    <w:rsid w:val="000F0DDA"/>
    <w:rsid w:val="000F0EC1"/>
    <w:rsid w:val="000F1194"/>
    <w:rsid w:val="000F157B"/>
    <w:rsid w:val="000F1768"/>
    <w:rsid w:val="000F1CFC"/>
    <w:rsid w:val="000F1FF2"/>
    <w:rsid w:val="000F22F7"/>
    <w:rsid w:val="000F29F1"/>
    <w:rsid w:val="000F2A5D"/>
    <w:rsid w:val="000F2AF8"/>
    <w:rsid w:val="000F2CE6"/>
    <w:rsid w:val="000F32DE"/>
    <w:rsid w:val="000F36B6"/>
    <w:rsid w:val="000F3705"/>
    <w:rsid w:val="000F3F1D"/>
    <w:rsid w:val="000F468E"/>
    <w:rsid w:val="000F46E3"/>
    <w:rsid w:val="000F4A17"/>
    <w:rsid w:val="000F4F95"/>
    <w:rsid w:val="000F5799"/>
    <w:rsid w:val="000F5AB0"/>
    <w:rsid w:val="000F6B98"/>
    <w:rsid w:val="000F70F2"/>
    <w:rsid w:val="000F7B0E"/>
    <w:rsid w:val="000F7B9C"/>
    <w:rsid w:val="00100481"/>
    <w:rsid w:val="001004AC"/>
    <w:rsid w:val="00100F66"/>
    <w:rsid w:val="00101323"/>
    <w:rsid w:val="0010175B"/>
    <w:rsid w:val="00101C93"/>
    <w:rsid w:val="001024AE"/>
    <w:rsid w:val="001027BF"/>
    <w:rsid w:val="00102A53"/>
    <w:rsid w:val="00102BCA"/>
    <w:rsid w:val="00102DC6"/>
    <w:rsid w:val="00103591"/>
    <w:rsid w:val="00103C88"/>
    <w:rsid w:val="00103F83"/>
    <w:rsid w:val="00103FE3"/>
    <w:rsid w:val="0010401F"/>
    <w:rsid w:val="001042A4"/>
    <w:rsid w:val="001046C5"/>
    <w:rsid w:val="0010482B"/>
    <w:rsid w:val="00104913"/>
    <w:rsid w:val="0010494B"/>
    <w:rsid w:val="00104AAE"/>
    <w:rsid w:val="00104CDF"/>
    <w:rsid w:val="00104F3E"/>
    <w:rsid w:val="001056BF"/>
    <w:rsid w:val="00105D4D"/>
    <w:rsid w:val="00106482"/>
    <w:rsid w:val="001069A2"/>
    <w:rsid w:val="0010703B"/>
    <w:rsid w:val="00107363"/>
    <w:rsid w:val="001079BB"/>
    <w:rsid w:val="00107DDA"/>
    <w:rsid w:val="0011023B"/>
    <w:rsid w:val="001111AC"/>
    <w:rsid w:val="00111738"/>
    <w:rsid w:val="001118D6"/>
    <w:rsid w:val="00111B7A"/>
    <w:rsid w:val="00111E00"/>
    <w:rsid w:val="00112476"/>
    <w:rsid w:val="00112A28"/>
    <w:rsid w:val="00112A8F"/>
    <w:rsid w:val="00112C34"/>
    <w:rsid w:val="00112CBE"/>
    <w:rsid w:val="00112E4E"/>
    <w:rsid w:val="001130B5"/>
    <w:rsid w:val="00113759"/>
    <w:rsid w:val="00113CB2"/>
    <w:rsid w:val="00113F5F"/>
    <w:rsid w:val="001140DB"/>
    <w:rsid w:val="0011435E"/>
    <w:rsid w:val="00115911"/>
    <w:rsid w:val="00115F83"/>
    <w:rsid w:val="00116149"/>
    <w:rsid w:val="001165CF"/>
    <w:rsid w:val="001165EB"/>
    <w:rsid w:val="00116660"/>
    <w:rsid w:val="00116C8C"/>
    <w:rsid w:val="0011701E"/>
    <w:rsid w:val="0011728E"/>
    <w:rsid w:val="001173AD"/>
    <w:rsid w:val="00117F5E"/>
    <w:rsid w:val="0012067C"/>
    <w:rsid w:val="00120BC8"/>
    <w:rsid w:val="00121270"/>
    <w:rsid w:val="00121373"/>
    <w:rsid w:val="00121639"/>
    <w:rsid w:val="00121797"/>
    <w:rsid w:val="00121DA8"/>
    <w:rsid w:val="00122145"/>
    <w:rsid w:val="00123496"/>
    <w:rsid w:val="0012374A"/>
    <w:rsid w:val="00123FFB"/>
    <w:rsid w:val="00124379"/>
    <w:rsid w:val="00124F4E"/>
    <w:rsid w:val="001250C9"/>
    <w:rsid w:val="00125BBB"/>
    <w:rsid w:val="00125CD6"/>
    <w:rsid w:val="00125F35"/>
    <w:rsid w:val="00125FE3"/>
    <w:rsid w:val="00126598"/>
    <w:rsid w:val="00126B18"/>
    <w:rsid w:val="00126D94"/>
    <w:rsid w:val="00126ED3"/>
    <w:rsid w:val="00127267"/>
    <w:rsid w:val="00127477"/>
    <w:rsid w:val="00127745"/>
    <w:rsid w:val="00127D78"/>
    <w:rsid w:val="001300C3"/>
    <w:rsid w:val="0013011D"/>
    <w:rsid w:val="001301A4"/>
    <w:rsid w:val="0013034D"/>
    <w:rsid w:val="0013073A"/>
    <w:rsid w:val="00130A7E"/>
    <w:rsid w:val="00130BDD"/>
    <w:rsid w:val="00130BF5"/>
    <w:rsid w:val="00130C03"/>
    <w:rsid w:val="00130E2D"/>
    <w:rsid w:val="001313CA"/>
    <w:rsid w:val="0013152B"/>
    <w:rsid w:val="001317E2"/>
    <w:rsid w:val="00132C53"/>
    <w:rsid w:val="00132F90"/>
    <w:rsid w:val="00133570"/>
    <w:rsid w:val="001335C5"/>
    <w:rsid w:val="00133B70"/>
    <w:rsid w:val="00134100"/>
    <w:rsid w:val="0013447E"/>
    <w:rsid w:val="001345BA"/>
    <w:rsid w:val="00134B9D"/>
    <w:rsid w:val="00134ED6"/>
    <w:rsid w:val="001355F9"/>
    <w:rsid w:val="00135940"/>
    <w:rsid w:val="001362C5"/>
    <w:rsid w:val="00136697"/>
    <w:rsid w:val="001367D3"/>
    <w:rsid w:val="001369DF"/>
    <w:rsid w:val="0013716B"/>
    <w:rsid w:val="001371C3"/>
    <w:rsid w:val="00137861"/>
    <w:rsid w:val="00137C4C"/>
    <w:rsid w:val="00137C6A"/>
    <w:rsid w:val="00137D34"/>
    <w:rsid w:val="001401A5"/>
    <w:rsid w:val="00140BDB"/>
    <w:rsid w:val="00140E00"/>
    <w:rsid w:val="00140FDB"/>
    <w:rsid w:val="00141227"/>
    <w:rsid w:val="00141276"/>
    <w:rsid w:val="00141744"/>
    <w:rsid w:val="00141959"/>
    <w:rsid w:val="00141FAB"/>
    <w:rsid w:val="00141FCF"/>
    <w:rsid w:val="0014214D"/>
    <w:rsid w:val="0014244A"/>
    <w:rsid w:val="00142BF2"/>
    <w:rsid w:val="00142ECE"/>
    <w:rsid w:val="0014449A"/>
    <w:rsid w:val="001446DA"/>
    <w:rsid w:val="0014472E"/>
    <w:rsid w:val="001450AB"/>
    <w:rsid w:val="001450E8"/>
    <w:rsid w:val="001450FE"/>
    <w:rsid w:val="001451F3"/>
    <w:rsid w:val="00145A59"/>
    <w:rsid w:val="00145B95"/>
    <w:rsid w:val="00145C4F"/>
    <w:rsid w:val="0014600D"/>
    <w:rsid w:val="00146122"/>
    <w:rsid w:val="001468E6"/>
    <w:rsid w:val="00146F20"/>
    <w:rsid w:val="00147181"/>
    <w:rsid w:val="001478CB"/>
    <w:rsid w:val="00147FD6"/>
    <w:rsid w:val="0015003E"/>
    <w:rsid w:val="00150462"/>
    <w:rsid w:val="00150647"/>
    <w:rsid w:val="0015079B"/>
    <w:rsid w:val="001508E2"/>
    <w:rsid w:val="00150AF5"/>
    <w:rsid w:val="00150F48"/>
    <w:rsid w:val="00150F64"/>
    <w:rsid w:val="0015106B"/>
    <w:rsid w:val="001511CB"/>
    <w:rsid w:val="00151759"/>
    <w:rsid w:val="00151AB3"/>
    <w:rsid w:val="00152452"/>
    <w:rsid w:val="00152666"/>
    <w:rsid w:val="00152BB3"/>
    <w:rsid w:val="00152D79"/>
    <w:rsid w:val="00152F6F"/>
    <w:rsid w:val="0015317E"/>
    <w:rsid w:val="0015357F"/>
    <w:rsid w:val="00153908"/>
    <w:rsid w:val="00153C05"/>
    <w:rsid w:val="00153EC1"/>
    <w:rsid w:val="00154091"/>
    <w:rsid w:val="001541BE"/>
    <w:rsid w:val="00154671"/>
    <w:rsid w:val="00154742"/>
    <w:rsid w:val="00154BA7"/>
    <w:rsid w:val="0015524F"/>
    <w:rsid w:val="00155260"/>
    <w:rsid w:val="001556EC"/>
    <w:rsid w:val="001558F2"/>
    <w:rsid w:val="00155CF5"/>
    <w:rsid w:val="00155D3C"/>
    <w:rsid w:val="0015660F"/>
    <w:rsid w:val="00157462"/>
    <w:rsid w:val="00157C42"/>
    <w:rsid w:val="001600DD"/>
    <w:rsid w:val="001602C8"/>
    <w:rsid w:val="00160D30"/>
    <w:rsid w:val="001624BC"/>
    <w:rsid w:val="001626C0"/>
    <w:rsid w:val="00162706"/>
    <w:rsid w:val="00162B17"/>
    <w:rsid w:val="0016391D"/>
    <w:rsid w:val="00163D84"/>
    <w:rsid w:val="00163E5D"/>
    <w:rsid w:val="00164044"/>
    <w:rsid w:val="00164582"/>
    <w:rsid w:val="00164D1E"/>
    <w:rsid w:val="00165084"/>
    <w:rsid w:val="0016512A"/>
    <w:rsid w:val="00165171"/>
    <w:rsid w:val="0016550A"/>
    <w:rsid w:val="00165E88"/>
    <w:rsid w:val="00166334"/>
    <w:rsid w:val="00166B36"/>
    <w:rsid w:val="00166EA8"/>
    <w:rsid w:val="00166F9A"/>
    <w:rsid w:val="00167151"/>
    <w:rsid w:val="001672FA"/>
    <w:rsid w:val="00167506"/>
    <w:rsid w:val="001703A4"/>
    <w:rsid w:val="001704FB"/>
    <w:rsid w:val="001709F2"/>
    <w:rsid w:val="00170E3B"/>
    <w:rsid w:val="001710E6"/>
    <w:rsid w:val="00171177"/>
    <w:rsid w:val="00171605"/>
    <w:rsid w:val="0017171B"/>
    <w:rsid w:val="00171791"/>
    <w:rsid w:val="0017191B"/>
    <w:rsid w:val="001719CA"/>
    <w:rsid w:val="00171BC1"/>
    <w:rsid w:val="00171D32"/>
    <w:rsid w:val="001720A2"/>
    <w:rsid w:val="00172258"/>
    <w:rsid w:val="00172458"/>
    <w:rsid w:val="001727BA"/>
    <w:rsid w:val="001728A9"/>
    <w:rsid w:val="001735BE"/>
    <w:rsid w:val="00173680"/>
    <w:rsid w:val="00173858"/>
    <w:rsid w:val="00173B79"/>
    <w:rsid w:val="00173C0C"/>
    <w:rsid w:val="00173F39"/>
    <w:rsid w:val="00174306"/>
    <w:rsid w:val="0017479B"/>
    <w:rsid w:val="00174E71"/>
    <w:rsid w:val="00175A91"/>
    <w:rsid w:val="00175C9B"/>
    <w:rsid w:val="00175FFF"/>
    <w:rsid w:val="00176189"/>
    <w:rsid w:val="001761A3"/>
    <w:rsid w:val="00176C5E"/>
    <w:rsid w:val="001777AD"/>
    <w:rsid w:val="00177AC1"/>
    <w:rsid w:val="00177D58"/>
    <w:rsid w:val="00180066"/>
    <w:rsid w:val="0018026B"/>
    <w:rsid w:val="001803CF"/>
    <w:rsid w:val="00180836"/>
    <w:rsid w:val="00180B7C"/>
    <w:rsid w:val="00180C2E"/>
    <w:rsid w:val="00180CAF"/>
    <w:rsid w:val="00180CCF"/>
    <w:rsid w:val="001812B7"/>
    <w:rsid w:val="00181402"/>
    <w:rsid w:val="001815A2"/>
    <w:rsid w:val="001819B0"/>
    <w:rsid w:val="00181BEF"/>
    <w:rsid w:val="00182410"/>
    <w:rsid w:val="00182993"/>
    <w:rsid w:val="00182C8E"/>
    <w:rsid w:val="00182F62"/>
    <w:rsid w:val="0018313B"/>
    <w:rsid w:val="0018340E"/>
    <w:rsid w:val="00183491"/>
    <w:rsid w:val="00183F22"/>
    <w:rsid w:val="00184022"/>
    <w:rsid w:val="00184027"/>
    <w:rsid w:val="001847DE"/>
    <w:rsid w:val="00184B42"/>
    <w:rsid w:val="00184EEC"/>
    <w:rsid w:val="0018507B"/>
    <w:rsid w:val="0018515E"/>
    <w:rsid w:val="0018556D"/>
    <w:rsid w:val="001856B4"/>
    <w:rsid w:val="001864CB"/>
    <w:rsid w:val="001866BC"/>
    <w:rsid w:val="00186839"/>
    <w:rsid w:val="00186923"/>
    <w:rsid w:val="00186BEC"/>
    <w:rsid w:val="00186F1F"/>
    <w:rsid w:val="00187A08"/>
    <w:rsid w:val="00187B39"/>
    <w:rsid w:val="00187D75"/>
    <w:rsid w:val="00187F91"/>
    <w:rsid w:val="00190056"/>
    <w:rsid w:val="00190074"/>
    <w:rsid w:val="0019033C"/>
    <w:rsid w:val="00190B8F"/>
    <w:rsid w:val="00190D53"/>
    <w:rsid w:val="00190FEE"/>
    <w:rsid w:val="0019177C"/>
    <w:rsid w:val="001919C4"/>
    <w:rsid w:val="00191B9C"/>
    <w:rsid w:val="0019210D"/>
    <w:rsid w:val="00192138"/>
    <w:rsid w:val="001924B6"/>
    <w:rsid w:val="001924BF"/>
    <w:rsid w:val="001928A6"/>
    <w:rsid w:val="0019299E"/>
    <w:rsid w:val="00192ACB"/>
    <w:rsid w:val="00193201"/>
    <w:rsid w:val="0019326F"/>
    <w:rsid w:val="001939A8"/>
    <w:rsid w:val="00193A88"/>
    <w:rsid w:val="00193AFA"/>
    <w:rsid w:val="00193C4B"/>
    <w:rsid w:val="00193CB7"/>
    <w:rsid w:val="00193D3C"/>
    <w:rsid w:val="00193E52"/>
    <w:rsid w:val="00194134"/>
    <w:rsid w:val="00194433"/>
    <w:rsid w:val="0019463A"/>
    <w:rsid w:val="00194980"/>
    <w:rsid w:val="00194A7C"/>
    <w:rsid w:val="00194C00"/>
    <w:rsid w:val="00194CCB"/>
    <w:rsid w:val="00194DBD"/>
    <w:rsid w:val="001950DE"/>
    <w:rsid w:val="00195219"/>
    <w:rsid w:val="001952D2"/>
    <w:rsid w:val="00195540"/>
    <w:rsid w:val="001956FA"/>
    <w:rsid w:val="001959B8"/>
    <w:rsid w:val="001963F9"/>
    <w:rsid w:val="0019643E"/>
    <w:rsid w:val="00196533"/>
    <w:rsid w:val="00196BD9"/>
    <w:rsid w:val="00196CB8"/>
    <w:rsid w:val="00196D73"/>
    <w:rsid w:val="00196FA1"/>
    <w:rsid w:val="001972D7"/>
    <w:rsid w:val="001974B6"/>
    <w:rsid w:val="00197BC4"/>
    <w:rsid w:val="00197BD3"/>
    <w:rsid w:val="001A054E"/>
    <w:rsid w:val="001A0692"/>
    <w:rsid w:val="001A0860"/>
    <w:rsid w:val="001A0BA3"/>
    <w:rsid w:val="001A0D32"/>
    <w:rsid w:val="001A0D4F"/>
    <w:rsid w:val="001A1240"/>
    <w:rsid w:val="001A13BA"/>
    <w:rsid w:val="001A1625"/>
    <w:rsid w:val="001A1A10"/>
    <w:rsid w:val="001A1CC3"/>
    <w:rsid w:val="001A1E39"/>
    <w:rsid w:val="001A24ED"/>
    <w:rsid w:val="001A25A5"/>
    <w:rsid w:val="001A2656"/>
    <w:rsid w:val="001A2A43"/>
    <w:rsid w:val="001A3399"/>
    <w:rsid w:val="001A3612"/>
    <w:rsid w:val="001A4159"/>
    <w:rsid w:val="001A4293"/>
    <w:rsid w:val="001A47C4"/>
    <w:rsid w:val="001A48C2"/>
    <w:rsid w:val="001A4B70"/>
    <w:rsid w:val="001A5320"/>
    <w:rsid w:val="001A5587"/>
    <w:rsid w:val="001A57DC"/>
    <w:rsid w:val="001A60A4"/>
    <w:rsid w:val="001A622F"/>
    <w:rsid w:val="001A6A03"/>
    <w:rsid w:val="001A72F1"/>
    <w:rsid w:val="001A732D"/>
    <w:rsid w:val="001A7B19"/>
    <w:rsid w:val="001B05C9"/>
    <w:rsid w:val="001B0A76"/>
    <w:rsid w:val="001B0AEC"/>
    <w:rsid w:val="001B0D86"/>
    <w:rsid w:val="001B0EB2"/>
    <w:rsid w:val="001B140A"/>
    <w:rsid w:val="001B190F"/>
    <w:rsid w:val="001B19C1"/>
    <w:rsid w:val="001B1C4C"/>
    <w:rsid w:val="001B1CE0"/>
    <w:rsid w:val="001B1E59"/>
    <w:rsid w:val="001B2457"/>
    <w:rsid w:val="001B2524"/>
    <w:rsid w:val="001B2798"/>
    <w:rsid w:val="001B2EBE"/>
    <w:rsid w:val="001B2EC7"/>
    <w:rsid w:val="001B2FFB"/>
    <w:rsid w:val="001B32E2"/>
    <w:rsid w:val="001B37BE"/>
    <w:rsid w:val="001B38D1"/>
    <w:rsid w:val="001B4333"/>
    <w:rsid w:val="001B451D"/>
    <w:rsid w:val="001B4821"/>
    <w:rsid w:val="001B4912"/>
    <w:rsid w:val="001B494B"/>
    <w:rsid w:val="001B5335"/>
    <w:rsid w:val="001B5DE0"/>
    <w:rsid w:val="001B5FBC"/>
    <w:rsid w:val="001B683B"/>
    <w:rsid w:val="001B714D"/>
    <w:rsid w:val="001B7446"/>
    <w:rsid w:val="001B7A8C"/>
    <w:rsid w:val="001B7C91"/>
    <w:rsid w:val="001C00AB"/>
    <w:rsid w:val="001C00C5"/>
    <w:rsid w:val="001C0364"/>
    <w:rsid w:val="001C063B"/>
    <w:rsid w:val="001C08A2"/>
    <w:rsid w:val="001C0FD8"/>
    <w:rsid w:val="001C136F"/>
    <w:rsid w:val="001C16E1"/>
    <w:rsid w:val="001C1795"/>
    <w:rsid w:val="001C1915"/>
    <w:rsid w:val="001C1A2B"/>
    <w:rsid w:val="001C237F"/>
    <w:rsid w:val="001C23EA"/>
    <w:rsid w:val="001C2A27"/>
    <w:rsid w:val="001C2F25"/>
    <w:rsid w:val="001C30D7"/>
    <w:rsid w:val="001C3112"/>
    <w:rsid w:val="001C47D6"/>
    <w:rsid w:val="001C49FB"/>
    <w:rsid w:val="001C4C34"/>
    <w:rsid w:val="001C4E7D"/>
    <w:rsid w:val="001C534F"/>
    <w:rsid w:val="001C56EC"/>
    <w:rsid w:val="001C5B81"/>
    <w:rsid w:val="001C63E8"/>
    <w:rsid w:val="001C6412"/>
    <w:rsid w:val="001C649E"/>
    <w:rsid w:val="001C669D"/>
    <w:rsid w:val="001C6B7A"/>
    <w:rsid w:val="001C6CEB"/>
    <w:rsid w:val="001C6D3B"/>
    <w:rsid w:val="001C7737"/>
    <w:rsid w:val="001C79C7"/>
    <w:rsid w:val="001C7CEB"/>
    <w:rsid w:val="001D02ED"/>
    <w:rsid w:val="001D0462"/>
    <w:rsid w:val="001D0808"/>
    <w:rsid w:val="001D0D28"/>
    <w:rsid w:val="001D0E11"/>
    <w:rsid w:val="001D0E7D"/>
    <w:rsid w:val="001D16BD"/>
    <w:rsid w:val="001D172B"/>
    <w:rsid w:val="001D23D5"/>
    <w:rsid w:val="001D248F"/>
    <w:rsid w:val="001D2B2F"/>
    <w:rsid w:val="001D2BBC"/>
    <w:rsid w:val="001D38D4"/>
    <w:rsid w:val="001D3B86"/>
    <w:rsid w:val="001D4444"/>
    <w:rsid w:val="001D4644"/>
    <w:rsid w:val="001D4667"/>
    <w:rsid w:val="001D53ED"/>
    <w:rsid w:val="001D5E3E"/>
    <w:rsid w:val="001D63B6"/>
    <w:rsid w:val="001D6830"/>
    <w:rsid w:val="001D6B3E"/>
    <w:rsid w:val="001D729D"/>
    <w:rsid w:val="001D76E9"/>
    <w:rsid w:val="001D7A93"/>
    <w:rsid w:val="001D7ADB"/>
    <w:rsid w:val="001E0A2A"/>
    <w:rsid w:val="001E0ACA"/>
    <w:rsid w:val="001E0D6F"/>
    <w:rsid w:val="001E1491"/>
    <w:rsid w:val="001E1565"/>
    <w:rsid w:val="001E1802"/>
    <w:rsid w:val="001E1AA8"/>
    <w:rsid w:val="001E1B5F"/>
    <w:rsid w:val="001E1C2A"/>
    <w:rsid w:val="001E1D04"/>
    <w:rsid w:val="001E1E8D"/>
    <w:rsid w:val="001E1F7A"/>
    <w:rsid w:val="001E2427"/>
    <w:rsid w:val="001E251F"/>
    <w:rsid w:val="001E25DE"/>
    <w:rsid w:val="001E2924"/>
    <w:rsid w:val="001E2D61"/>
    <w:rsid w:val="001E3471"/>
    <w:rsid w:val="001E34D9"/>
    <w:rsid w:val="001E391D"/>
    <w:rsid w:val="001E3A22"/>
    <w:rsid w:val="001E42F2"/>
    <w:rsid w:val="001E4364"/>
    <w:rsid w:val="001E4AEE"/>
    <w:rsid w:val="001E4B87"/>
    <w:rsid w:val="001E5091"/>
    <w:rsid w:val="001E5092"/>
    <w:rsid w:val="001E51A0"/>
    <w:rsid w:val="001E6153"/>
    <w:rsid w:val="001E61D6"/>
    <w:rsid w:val="001E65D6"/>
    <w:rsid w:val="001E6FB0"/>
    <w:rsid w:val="001E730A"/>
    <w:rsid w:val="001E7BF5"/>
    <w:rsid w:val="001E7F4D"/>
    <w:rsid w:val="001E7F8D"/>
    <w:rsid w:val="001F01EB"/>
    <w:rsid w:val="001F0956"/>
    <w:rsid w:val="001F0CFC"/>
    <w:rsid w:val="001F0E2B"/>
    <w:rsid w:val="001F0EE4"/>
    <w:rsid w:val="001F109B"/>
    <w:rsid w:val="001F173D"/>
    <w:rsid w:val="001F1824"/>
    <w:rsid w:val="001F1977"/>
    <w:rsid w:val="001F1CA7"/>
    <w:rsid w:val="001F208F"/>
    <w:rsid w:val="001F2302"/>
    <w:rsid w:val="001F2609"/>
    <w:rsid w:val="001F289B"/>
    <w:rsid w:val="001F2934"/>
    <w:rsid w:val="001F29AF"/>
    <w:rsid w:val="001F2E51"/>
    <w:rsid w:val="001F3081"/>
    <w:rsid w:val="001F3169"/>
    <w:rsid w:val="001F3399"/>
    <w:rsid w:val="001F345C"/>
    <w:rsid w:val="001F3D9E"/>
    <w:rsid w:val="001F3F35"/>
    <w:rsid w:val="001F482B"/>
    <w:rsid w:val="001F4A96"/>
    <w:rsid w:val="001F4C2C"/>
    <w:rsid w:val="001F5352"/>
    <w:rsid w:val="001F56BA"/>
    <w:rsid w:val="001F667B"/>
    <w:rsid w:val="001F6D98"/>
    <w:rsid w:val="001F6DC3"/>
    <w:rsid w:val="001F6F19"/>
    <w:rsid w:val="001F73CD"/>
    <w:rsid w:val="001F74A3"/>
    <w:rsid w:val="001F7608"/>
    <w:rsid w:val="001F76E2"/>
    <w:rsid w:val="001F7FD8"/>
    <w:rsid w:val="0020014C"/>
    <w:rsid w:val="00200429"/>
    <w:rsid w:val="0020084F"/>
    <w:rsid w:val="00200AFC"/>
    <w:rsid w:val="00200CBC"/>
    <w:rsid w:val="00200F43"/>
    <w:rsid w:val="00200FE6"/>
    <w:rsid w:val="00201249"/>
    <w:rsid w:val="002012E2"/>
    <w:rsid w:val="00201789"/>
    <w:rsid w:val="00201897"/>
    <w:rsid w:val="0020222C"/>
    <w:rsid w:val="002023C7"/>
    <w:rsid w:val="00202832"/>
    <w:rsid w:val="00202833"/>
    <w:rsid w:val="00202944"/>
    <w:rsid w:val="00202E4D"/>
    <w:rsid w:val="0020368A"/>
    <w:rsid w:val="00203973"/>
    <w:rsid w:val="00203BFF"/>
    <w:rsid w:val="00203C9B"/>
    <w:rsid w:val="00203D33"/>
    <w:rsid w:val="00203F2C"/>
    <w:rsid w:val="002043BF"/>
    <w:rsid w:val="002044B6"/>
    <w:rsid w:val="00204B71"/>
    <w:rsid w:val="00205071"/>
    <w:rsid w:val="002058D1"/>
    <w:rsid w:val="002058FF"/>
    <w:rsid w:val="00205C8A"/>
    <w:rsid w:val="00205E12"/>
    <w:rsid w:val="00206065"/>
    <w:rsid w:val="00206F9D"/>
    <w:rsid w:val="002071A5"/>
    <w:rsid w:val="002074C2"/>
    <w:rsid w:val="00207586"/>
    <w:rsid w:val="00207B47"/>
    <w:rsid w:val="00207BA2"/>
    <w:rsid w:val="00207C76"/>
    <w:rsid w:val="00210173"/>
    <w:rsid w:val="0021052C"/>
    <w:rsid w:val="00210AB3"/>
    <w:rsid w:val="00210B44"/>
    <w:rsid w:val="00210F5E"/>
    <w:rsid w:val="0021162B"/>
    <w:rsid w:val="00211BB0"/>
    <w:rsid w:val="00211D91"/>
    <w:rsid w:val="002129A0"/>
    <w:rsid w:val="00212BE3"/>
    <w:rsid w:val="00212FDF"/>
    <w:rsid w:val="00213337"/>
    <w:rsid w:val="00213B47"/>
    <w:rsid w:val="00213C3F"/>
    <w:rsid w:val="00213CE0"/>
    <w:rsid w:val="00213DC2"/>
    <w:rsid w:val="002147CD"/>
    <w:rsid w:val="00214C3D"/>
    <w:rsid w:val="00214D37"/>
    <w:rsid w:val="00215201"/>
    <w:rsid w:val="002155DF"/>
    <w:rsid w:val="00215639"/>
    <w:rsid w:val="002159D4"/>
    <w:rsid w:val="00215C66"/>
    <w:rsid w:val="00215FF4"/>
    <w:rsid w:val="00216282"/>
    <w:rsid w:val="002162E4"/>
    <w:rsid w:val="002162E9"/>
    <w:rsid w:val="00216445"/>
    <w:rsid w:val="0021683B"/>
    <w:rsid w:val="002170F2"/>
    <w:rsid w:val="002176E0"/>
    <w:rsid w:val="0021778E"/>
    <w:rsid w:val="00217D96"/>
    <w:rsid w:val="00217DFB"/>
    <w:rsid w:val="002204C2"/>
    <w:rsid w:val="00220F58"/>
    <w:rsid w:val="00221267"/>
    <w:rsid w:val="002217FA"/>
    <w:rsid w:val="00221B25"/>
    <w:rsid w:val="0022209E"/>
    <w:rsid w:val="00222200"/>
    <w:rsid w:val="00222416"/>
    <w:rsid w:val="002226D8"/>
    <w:rsid w:val="002228C7"/>
    <w:rsid w:val="00222925"/>
    <w:rsid w:val="00222B8A"/>
    <w:rsid w:val="00223021"/>
    <w:rsid w:val="00223422"/>
    <w:rsid w:val="0022379A"/>
    <w:rsid w:val="00223B27"/>
    <w:rsid w:val="00223D50"/>
    <w:rsid w:val="00223E11"/>
    <w:rsid w:val="00223FC9"/>
    <w:rsid w:val="00224011"/>
    <w:rsid w:val="002240D0"/>
    <w:rsid w:val="00224559"/>
    <w:rsid w:val="00224808"/>
    <w:rsid w:val="00224A86"/>
    <w:rsid w:val="002251CD"/>
    <w:rsid w:val="00225671"/>
    <w:rsid w:val="00225901"/>
    <w:rsid w:val="00225918"/>
    <w:rsid w:val="00225AA0"/>
    <w:rsid w:val="0022646C"/>
    <w:rsid w:val="00226634"/>
    <w:rsid w:val="00226CDA"/>
    <w:rsid w:val="00226CDC"/>
    <w:rsid w:val="0022754A"/>
    <w:rsid w:val="00227E2F"/>
    <w:rsid w:val="00230575"/>
    <w:rsid w:val="002305BD"/>
    <w:rsid w:val="00230DE3"/>
    <w:rsid w:val="00230E2F"/>
    <w:rsid w:val="0023174D"/>
    <w:rsid w:val="0023176B"/>
    <w:rsid w:val="00231DD2"/>
    <w:rsid w:val="00232ECD"/>
    <w:rsid w:val="00233567"/>
    <w:rsid w:val="00233B04"/>
    <w:rsid w:val="00233E5A"/>
    <w:rsid w:val="00233F78"/>
    <w:rsid w:val="002340AB"/>
    <w:rsid w:val="002343F5"/>
    <w:rsid w:val="00234CF9"/>
    <w:rsid w:val="0023538A"/>
    <w:rsid w:val="002353D1"/>
    <w:rsid w:val="00235578"/>
    <w:rsid w:val="0023622A"/>
    <w:rsid w:val="002362FA"/>
    <w:rsid w:val="00236788"/>
    <w:rsid w:val="00236AAC"/>
    <w:rsid w:val="00236C2B"/>
    <w:rsid w:val="00236CA8"/>
    <w:rsid w:val="00237D13"/>
    <w:rsid w:val="00240157"/>
    <w:rsid w:val="002404C9"/>
    <w:rsid w:val="00240917"/>
    <w:rsid w:val="00240A73"/>
    <w:rsid w:val="00240BA4"/>
    <w:rsid w:val="00240E28"/>
    <w:rsid w:val="002410FE"/>
    <w:rsid w:val="00241442"/>
    <w:rsid w:val="00241587"/>
    <w:rsid w:val="00241AA6"/>
    <w:rsid w:val="00241D2E"/>
    <w:rsid w:val="002420D2"/>
    <w:rsid w:val="0024211D"/>
    <w:rsid w:val="002430BD"/>
    <w:rsid w:val="002434ED"/>
    <w:rsid w:val="00243856"/>
    <w:rsid w:val="0024385D"/>
    <w:rsid w:val="00243E14"/>
    <w:rsid w:val="00243F84"/>
    <w:rsid w:val="00244032"/>
    <w:rsid w:val="00244140"/>
    <w:rsid w:val="00244375"/>
    <w:rsid w:val="00244612"/>
    <w:rsid w:val="002449E0"/>
    <w:rsid w:val="00244C6A"/>
    <w:rsid w:val="00244C71"/>
    <w:rsid w:val="00244E6D"/>
    <w:rsid w:val="00245083"/>
    <w:rsid w:val="002457E9"/>
    <w:rsid w:val="00245A0D"/>
    <w:rsid w:val="00245A90"/>
    <w:rsid w:val="00245C8A"/>
    <w:rsid w:val="00246218"/>
    <w:rsid w:val="002472B6"/>
    <w:rsid w:val="002476C1"/>
    <w:rsid w:val="00247739"/>
    <w:rsid w:val="00247769"/>
    <w:rsid w:val="00247AD1"/>
    <w:rsid w:val="002504E2"/>
    <w:rsid w:val="00250951"/>
    <w:rsid w:val="00251094"/>
    <w:rsid w:val="00251144"/>
    <w:rsid w:val="0025115E"/>
    <w:rsid w:val="002513D3"/>
    <w:rsid w:val="00251867"/>
    <w:rsid w:val="00251B40"/>
    <w:rsid w:val="00251E08"/>
    <w:rsid w:val="0025216A"/>
    <w:rsid w:val="00252248"/>
    <w:rsid w:val="0025238D"/>
    <w:rsid w:val="00252903"/>
    <w:rsid w:val="00252A50"/>
    <w:rsid w:val="00252DA4"/>
    <w:rsid w:val="00252EC0"/>
    <w:rsid w:val="002537A4"/>
    <w:rsid w:val="0025408B"/>
    <w:rsid w:val="00254155"/>
    <w:rsid w:val="00254447"/>
    <w:rsid w:val="00254774"/>
    <w:rsid w:val="0025498F"/>
    <w:rsid w:val="002549D1"/>
    <w:rsid w:val="00254F24"/>
    <w:rsid w:val="00255141"/>
    <w:rsid w:val="00255659"/>
    <w:rsid w:val="00255815"/>
    <w:rsid w:val="0025617F"/>
    <w:rsid w:val="00256469"/>
    <w:rsid w:val="002566CB"/>
    <w:rsid w:val="002567BD"/>
    <w:rsid w:val="00256A35"/>
    <w:rsid w:val="00256F98"/>
    <w:rsid w:val="002570AD"/>
    <w:rsid w:val="0025734C"/>
    <w:rsid w:val="0025752C"/>
    <w:rsid w:val="00257641"/>
    <w:rsid w:val="00257B38"/>
    <w:rsid w:val="002609AD"/>
    <w:rsid w:val="00260A30"/>
    <w:rsid w:val="00260C40"/>
    <w:rsid w:val="00261956"/>
    <w:rsid w:val="00262193"/>
    <w:rsid w:val="00262A9E"/>
    <w:rsid w:val="00262B71"/>
    <w:rsid w:val="00262D24"/>
    <w:rsid w:val="00263376"/>
    <w:rsid w:val="002636CD"/>
    <w:rsid w:val="00263735"/>
    <w:rsid w:val="00263B13"/>
    <w:rsid w:val="00263B51"/>
    <w:rsid w:val="0026418F"/>
    <w:rsid w:val="00264290"/>
    <w:rsid w:val="002644E9"/>
    <w:rsid w:val="002645E5"/>
    <w:rsid w:val="00264AA1"/>
    <w:rsid w:val="00265249"/>
    <w:rsid w:val="00265844"/>
    <w:rsid w:val="00265927"/>
    <w:rsid w:val="00265931"/>
    <w:rsid w:val="002663A5"/>
    <w:rsid w:val="002669A7"/>
    <w:rsid w:val="00266CBC"/>
    <w:rsid w:val="00267680"/>
    <w:rsid w:val="00267A42"/>
    <w:rsid w:val="00270258"/>
    <w:rsid w:val="00270269"/>
    <w:rsid w:val="002705DF"/>
    <w:rsid w:val="00270750"/>
    <w:rsid w:val="00270A32"/>
    <w:rsid w:val="00270D5A"/>
    <w:rsid w:val="00270E51"/>
    <w:rsid w:val="002716A6"/>
    <w:rsid w:val="00271ED3"/>
    <w:rsid w:val="00271EFC"/>
    <w:rsid w:val="00271F33"/>
    <w:rsid w:val="00271FE3"/>
    <w:rsid w:val="00272023"/>
    <w:rsid w:val="002726A3"/>
    <w:rsid w:val="00272A12"/>
    <w:rsid w:val="00272A91"/>
    <w:rsid w:val="00272B00"/>
    <w:rsid w:val="00272FF4"/>
    <w:rsid w:val="00273038"/>
    <w:rsid w:val="002733AE"/>
    <w:rsid w:val="00273CEE"/>
    <w:rsid w:val="00273D13"/>
    <w:rsid w:val="00273DD6"/>
    <w:rsid w:val="00273ECE"/>
    <w:rsid w:val="00273F3A"/>
    <w:rsid w:val="00274353"/>
    <w:rsid w:val="00274503"/>
    <w:rsid w:val="0027468F"/>
    <w:rsid w:val="002748BE"/>
    <w:rsid w:val="00274F49"/>
    <w:rsid w:val="002750EB"/>
    <w:rsid w:val="002751B7"/>
    <w:rsid w:val="00275408"/>
    <w:rsid w:val="002756CC"/>
    <w:rsid w:val="00275AFC"/>
    <w:rsid w:val="00275ED9"/>
    <w:rsid w:val="0027669B"/>
    <w:rsid w:val="00276A6E"/>
    <w:rsid w:val="00276D42"/>
    <w:rsid w:val="00276F5E"/>
    <w:rsid w:val="00276FD5"/>
    <w:rsid w:val="002774E4"/>
    <w:rsid w:val="002775E5"/>
    <w:rsid w:val="00277D84"/>
    <w:rsid w:val="002803B8"/>
    <w:rsid w:val="00280962"/>
    <w:rsid w:val="00281157"/>
    <w:rsid w:val="00281469"/>
    <w:rsid w:val="00281E7C"/>
    <w:rsid w:val="00282110"/>
    <w:rsid w:val="00282F0D"/>
    <w:rsid w:val="00283832"/>
    <w:rsid w:val="002839F0"/>
    <w:rsid w:val="00283BAF"/>
    <w:rsid w:val="00284285"/>
    <w:rsid w:val="0028493B"/>
    <w:rsid w:val="002849D2"/>
    <w:rsid w:val="00284A17"/>
    <w:rsid w:val="00284C50"/>
    <w:rsid w:val="00284D9A"/>
    <w:rsid w:val="002850C6"/>
    <w:rsid w:val="002850F8"/>
    <w:rsid w:val="00285277"/>
    <w:rsid w:val="00285A1C"/>
    <w:rsid w:val="00286344"/>
    <w:rsid w:val="0028689A"/>
    <w:rsid w:val="00286913"/>
    <w:rsid w:val="00286B8C"/>
    <w:rsid w:val="00287226"/>
    <w:rsid w:val="0028732E"/>
    <w:rsid w:val="0029008D"/>
    <w:rsid w:val="00290532"/>
    <w:rsid w:val="0029073C"/>
    <w:rsid w:val="00290812"/>
    <w:rsid w:val="00290847"/>
    <w:rsid w:val="0029086D"/>
    <w:rsid w:val="00290F15"/>
    <w:rsid w:val="00291060"/>
    <w:rsid w:val="002918E5"/>
    <w:rsid w:val="00291C7B"/>
    <w:rsid w:val="0029245A"/>
    <w:rsid w:val="00292702"/>
    <w:rsid w:val="00292BFF"/>
    <w:rsid w:val="002930F2"/>
    <w:rsid w:val="0029324C"/>
    <w:rsid w:val="00293326"/>
    <w:rsid w:val="00293619"/>
    <w:rsid w:val="0029364B"/>
    <w:rsid w:val="00293A13"/>
    <w:rsid w:val="0029419B"/>
    <w:rsid w:val="002941C3"/>
    <w:rsid w:val="0029454E"/>
    <w:rsid w:val="002945A5"/>
    <w:rsid w:val="00294B2C"/>
    <w:rsid w:val="00294F50"/>
    <w:rsid w:val="002951C8"/>
    <w:rsid w:val="002951D3"/>
    <w:rsid w:val="00295BFD"/>
    <w:rsid w:val="00295C8B"/>
    <w:rsid w:val="00295C8C"/>
    <w:rsid w:val="00295D4D"/>
    <w:rsid w:val="00295E9B"/>
    <w:rsid w:val="00296361"/>
    <w:rsid w:val="002965F4"/>
    <w:rsid w:val="0029660F"/>
    <w:rsid w:val="00296718"/>
    <w:rsid w:val="00296A5E"/>
    <w:rsid w:val="00296AD1"/>
    <w:rsid w:val="00297750"/>
    <w:rsid w:val="00297AF2"/>
    <w:rsid w:val="00297D8B"/>
    <w:rsid w:val="00297E77"/>
    <w:rsid w:val="002A00C5"/>
    <w:rsid w:val="002A0191"/>
    <w:rsid w:val="002A031C"/>
    <w:rsid w:val="002A049E"/>
    <w:rsid w:val="002A055C"/>
    <w:rsid w:val="002A0804"/>
    <w:rsid w:val="002A0D30"/>
    <w:rsid w:val="002A11FB"/>
    <w:rsid w:val="002A1249"/>
    <w:rsid w:val="002A18DB"/>
    <w:rsid w:val="002A1B46"/>
    <w:rsid w:val="002A1CB0"/>
    <w:rsid w:val="002A1DB6"/>
    <w:rsid w:val="002A41BC"/>
    <w:rsid w:val="002A4435"/>
    <w:rsid w:val="002A4580"/>
    <w:rsid w:val="002A4C57"/>
    <w:rsid w:val="002A4DAA"/>
    <w:rsid w:val="002A566D"/>
    <w:rsid w:val="002A5A41"/>
    <w:rsid w:val="002A5CD8"/>
    <w:rsid w:val="002A5F5C"/>
    <w:rsid w:val="002A70C3"/>
    <w:rsid w:val="002A7317"/>
    <w:rsid w:val="002A7DE1"/>
    <w:rsid w:val="002B11C3"/>
    <w:rsid w:val="002B16B7"/>
    <w:rsid w:val="002B22CF"/>
    <w:rsid w:val="002B2A3E"/>
    <w:rsid w:val="002B2B08"/>
    <w:rsid w:val="002B2C1C"/>
    <w:rsid w:val="002B3327"/>
    <w:rsid w:val="002B3C68"/>
    <w:rsid w:val="002B3CB3"/>
    <w:rsid w:val="002B3E97"/>
    <w:rsid w:val="002B4F9F"/>
    <w:rsid w:val="002B50A4"/>
    <w:rsid w:val="002B53AD"/>
    <w:rsid w:val="002B53C3"/>
    <w:rsid w:val="002B5481"/>
    <w:rsid w:val="002B59CE"/>
    <w:rsid w:val="002B5BEC"/>
    <w:rsid w:val="002B5D2B"/>
    <w:rsid w:val="002B609F"/>
    <w:rsid w:val="002B638B"/>
    <w:rsid w:val="002B6AA4"/>
    <w:rsid w:val="002B6B7D"/>
    <w:rsid w:val="002B6E1B"/>
    <w:rsid w:val="002B6EE4"/>
    <w:rsid w:val="002B73C5"/>
    <w:rsid w:val="002B74BA"/>
    <w:rsid w:val="002B783A"/>
    <w:rsid w:val="002B78EA"/>
    <w:rsid w:val="002B797F"/>
    <w:rsid w:val="002B7F2B"/>
    <w:rsid w:val="002C0541"/>
    <w:rsid w:val="002C098D"/>
    <w:rsid w:val="002C0994"/>
    <w:rsid w:val="002C0C5C"/>
    <w:rsid w:val="002C0D18"/>
    <w:rsid w:val="002C1AD3"/>
    <w:rsid w:val="002C209A"/>
    <w:rsid w:val="002C20C9"/>
    <w:rsid w:val="002C2477"/>
    <w:rsid w:val="002C24C1"/>
    <w:rsid w:val="002C325E"/>
    <w:rsid w:val="002C334F"/>
    <w:rsid w:val="002C38FD"/>
    <w:rsid w:val="002C39C5"/>
    <w:rsid w:val="002C3BD7"/>
    <w:rsid w:val="002C3DF0"/>
    <w:rsid w:val="002C3EA9"/>
    <w:rsid w:val="002C41E7"/>
    <w:rsid w:val="002C43D2"/>
    <w:rsid w:val="002C4420"/>
    <w:rsid w:val="002C4506"/>
    <w:rsid w:val="002C4CDC"/>
    <w:rsid w:val="002C51D4"/>
    <w:rsid w:val="002C523B"/>
    <w:rsid w:val="002C5B53"/>
    <w:rsid w:val="002C5F55"/>
    <w:rsid w:val="002C614F"/>
    <w:rsid w:val="002C623B"/>
    <w:rsid w:val="002C702E"/>
    <w:rsid w:val="002D0195"/>
    <w:rsid w:val="002D01C3"/>
    <w:rsid w:val="002D07E5"/>
    <w:rsid w:val="002D0D33"/>
    <w:rsid w:val="002D1AE0"/>
    <w:rsid w:val="002D1BC8"/>
    <w:rsid w:val="002D1ED6"/>
    <w:rsid w:val="002D1F1F"/>
    <w:rsid w:val="002D25E8"/>
    <w:rsid w:val="002D28BA"/>
    <w:rsid w:val="002D2F0E"/>
    <w:rsid w:val="002D34AA"/>
    <w:rsid w:val="002D3625"/>
    <w:rsid w:val="002D3D61"/>
    <w:rsid w:val="002D4678"/>
    <w:rsid w:val="002D4839"/>
    <w:rsid w:val="002D4891"/>
    <w:rsid w:val="002D4E50"/>
    <w:rsid w:val="002D534F"/>
    <w:rsid w:val="002D54F7"/>
    <w:rsid w:val="002D55FC"/>
    <w:rsid w:val="002D5781"/>
    <w:rsid w:val="002D579F"/>
    <w:rsid w:val="002D58AC"/>
    <w:rsid w:val="002D5C2E"/>
    <w:rsid w:val="002D5E1D"/>
    <w:rsid w:val="002D5F5C"/>
    <w:rsid w:val="002D61B7"/>
    <w:rsid w:val="002D66EB"/>
    <w:rsid w:val="002D6806"/>
    <w:rsid w:val="002D6DFB"/>
    <w:rsid w:val="002D6F2E"/>
    <w:rsid w:val="002D7C6B"/>
    <w:rsid w:val="002D7DB4"/>
    <w:rsid w:val="002D7E6E"/>
    <w:rsid w:val="002D7F52"/>
    <w:rsid w:val="002E0589"/>
    <w:rsid w:val="002E05A6"/>
    <w:rsid w:val="002E06F8"/>
    <w:rsid w:val="002E12B7"/>
    <w:rsid w:val="002E1AC0"/>
    <w:rsid w:val="002E1E37"/>
    <w:rsid w:val="002E1E8B"/>
    <w:rsid w:val="002E2862"/>
    <w:rsid w:val="002E2CB3"/>
    <w:rsid w:val="002E2DB7"/>
    <w:rsid w:val="002E3121"/>
    <w:rsid w:val="002E3389"/>
    <w:rsid w:val="002E3425"/>
    <w:rsid w:val="002E3B8B"/>
    <w:rsid w:val="002E3C2F"/>
    <w:rsid w:val="002E459F"/>
    <w:rsid w:val="002E4637"/>
    <w:rsid w:val="002E594C"/>
    <w:rsid w:val="002E64BF"/>
    <w:rsid w:val="002E6748"/>
    <w:rsid w:val="002E6E54"/>
    <w:rsid w:val="002E71E5"/>
    <w:rsid w:val="002E72CE"/>
    <w:rsid w:val="002E7675"/>
    <w:rsid w:val="002E78A5"/>
    <w:rsid w:val="002E78EC"/>
    <w:rsid w:val="002E7933"/>
    <w:rsid w:val="002E7E0A"/>
    <w:rsid w:val="002F04C8"/>
    <w:rsid w:val="002F0E31"/>
    <w:rsid w:val="002F10BA"/>
    <w:rsid w:val="002F1329"/>
    <w:rsid w:val="002F196A"/>
    <w:rsid w:val="002F1F17"/>
    <w:rsid w:val="002F1F7E"/>
    <w:rsid w:val="002F2AC0"/>
    <w:rsid w:val="002F3D05"/>
    <w:rsid w:val="002F412D"/>
    <w:rsid w:val="002F4157"/>
    <w:rsid w:val="002F45D0"/>
    <w:rsid w:val="002F4807"/>
    <w:rsid w:val="002F4B5D"/>
    <w:rsid w:val="002F4E70"/>
    <w:rsid w:val="002F4EB7"/>
    <w:rsid w:val="002F5B38"/>
    <w:rsid w:val="002F5B3E"/>
    <w:rsid w:val="002F5DD2"/>
    <w:rsid w:val="002F5F9F"/>
    <w:rsid w:val="002F6533"/>
    <w:rsid w:val="002F6709"/>
    <w:rsid w:val="002F682D"/>
    <w:rsid w:val="002F72BB"/>
    <w:rsid w:val="002F74ED"/>
    <w:rsid w:val="002F791E"/>
    <w:rsid w:val="002F7E21"/>
    <w:rsid w:val="002F7E7B"/>
    <w:rsid w:val="0030036E"/>
    <w:rsid w:val="003004D9"/>
    <w:rsid w:val="0030052B"/>
    <w:rsid w:val="00301318"/>
    <w:rsid w:val="00301711"/>
    <w:rsid w:val="003018C1"/>
    <w:rsid w:val="003019E1"/>
    <w:rsid w:val="003025AA"/>
    <w:rsid w:val="003027DD"/>
    <w:rsid w:val="00302B51"/>
    <w:rsid w:val="00302B8A"/>
    <w:rsid w:val="00302BB7"/>
    <w:rsid w:val="00302C12"/>
    <w:rsid w:val="003031CC"/>
    <w:rsid w:val="0030323D"/>
    <w:rsid w:val="003033EC"/>
    <w:rsid w:val="00303577"/>
    <w:rsid w:val="0030389E"/>
    <w:rsid w:val="00303919"/>
    <w:rsid w:val="00303A80"/>
    <w:rsid w:val="00303B88"/>
    <w:rsid w:val="00303CC1"/>
    <w:rsid w:val="003042D0"/>
    <w:rsid w:val="00304772"/>
    <w:rsid w:val="003048D9"/>
    <w:rsid w:val="00304DF1"/>
    <w:rsid w:val="00304ECA"/>
    <w:rsid w:val="003053BC"/>
    <w:rsid w:val="003058BB"/>
    <w:rsid w:val="00305BB6"/>
    <w:rsid w:val="00305EDF"/>
    <w:rsid w:val="00305EE1"/>
    <w:rsid w:val="00306064"/>
    <w:rsid w:val="003062B0"/>
    <w:rsid w:val="00306360"/>
    <w:rsid w:val="0030667C"/>
    <w:rsid w:val="003067C9"/>
    <w:rsid w:val="00306A8C"/>
    <w:rsid w:val="00306B21"/>
    <w:rsid w:val="00307BDC"/>
    <w:rsid w:val="003100F4"/>
    <w:rsid w:val="0031038E"/>
    <w:rsid w:val="003109B5"/>
    <w:rsid w:val="00310A3C"/>
    <w:rsid w:val="00310AD9"/>
    <w:rsid w:val="00310DC2"/>
    <w:rsid w:val="003112A9"/>
    <w:rsid w:val="003113F0"/>
    <w:rsid w:val="003117EB"/>
    <w:rsid w:val="00311A4D"/>
    <w:rsid w:val="00311D28"/>
    <w:rsid w:val="003120CD"/>
    <w:rsid w:val="00312102"/>
    <w:rsid w:val="003124B4"/>
    <w:rsid w:val="0031272D"/>
    <w:rsid w:val="00312A37"/>
    <w:rsid w:val="0031337F"/>
    <w:rsid w:val="00313417"/>
    <w:rsid w:val="00313588"/>
    <w:rsid w:val="0031371F"/>
    <w:rsid w:val="0031400C"/>
    <w:rsid w:val="00314163"/>
    <w:rsid w:val="003147AD"/>
    <w:rsid w:val="00314BE7"/>
    <w:rsid w:val="00314E37"/>
    <w:rsid w:val="00314F8E"/>
    <w:rsid w:val="00315045"/>
    <w:rsid w:val="0031524B"/>
    <w:rsid w:val="00316018"/>
    <w:rsid w:val="00316167"/>
    <w:rsid w:val="00316F78"/>
    <w:rsid w:val="003170EA"/>
    <w:rsid w:val="00317309"/>
    <w:rsid w:val="0031793C"/>
    <w:rsid w:val="0031799A"/>
    <w:rsid w:val="00317C9B"/>
    <w:rsid w:val="00317FAD"/>
    <w:rsid w:val="003201F4"/>
    <w:rsid w:val="0032058F"/>
    <w:rsid w:val="003208D7"/>
    <w:rsid w:val="00320A13"/>
    <w:rsid w:val="00320FA9"/>
    <w:rsid w:val="00321062"/>
    <w:rsid w:val="00321126"/>
    <w:rsid w:val="00321799"/>
    <w:rsid w:val="0032184B"/>
    <w:rsid w:val="0032192E"/>
    <w:rsid w:val="00321DB9"/>
    <w:rsid w:val="00321F72"/>
    <w:rsid w:val="0032210B"/>
    <w:rsid w:val="0032232A"/>
    <w:rsid w:val="00322A20"/>
    <w:rsid w:val="00322EC8"/>
    <w:rsid w:val="00323061"/>
    <w:rsid w:val="003239F6"/>
    <w:rsid w:val="00323ADB"/>
    <w:rsid w:val="00323FD8"/>
    <w:rsid w:val="0032473E"/>
    <w:rsid w:val="0032495D"/>
    <w:rsid w:val="00324CC3"/>
    <w:rsid w:val="003254D5"/>
    <w:rsid w:val="00325543"/>
    <w:rsid w:val="003258E7"/>
    <w:rsid w:val="0032596E"/>
    <w:rsid w:val="00326136"/>
    <w:rsid w:val="003264F0"/>
    <w:rsid w:val="00326858"/>
    <w:rsid w:val="00326D9C"/>
    <w:rsid w:val="00326EE2"/>
    <w:rsid w:val="0032749E"/>
    <w:rsid w:val="003275C6"/>
    <w:rsid w:val="003279EA"/>
    <w:rsid w:val="0033010F"/>
    <w:rsid w:val="00330318"/>
    <w:rsid w:val="003309C8"/>
    <w:rsid w:val="00330A53"/>
    <w:rsid w:val="00330AF3"/>
    <w:rsid w:val="00330E5F"/>
    <w:rsid w:val="0033159F"/>
    <w:rsid w:val="00331DA0"/>
    <w:rsid w:val="00331FFA"/>
    <w:rsid w:val="0033277A"/>
    <w:rsid w:val="0033283F"/>
    <w:rsid w:val="00332A49"/>
    <w:rsid w:val="00332C9E"/>
    <w:rsid w:val="0033390B"/>
    <w:rsid w:val="00333FCC"/>
    <w:rsid w:val="00334C74"/>
    <w:rsid w:val="00334F80"/>
    <w:rsid w:val="00335226"/>
    <w:rsid w:val="00335358"/>
    <w:rsid w:val="00335927"/>
    <w:rsid w:val="00335B1D"/>
    <w:rsid w:val="00335BD9"/>
    <w:rsid w:val="003364EA"/>
    <w:rsid w:val="00336D99"/>
    <w:rsid w:val="00336ECD"/>
    <w:rsid w:val="00337189"/>
    <w:rsid w:val="00337A2C"/>
    <w:rsid w:val="00340659"/>
    <w:rsid w:val="0034086C"/>
    <w:rsid w:val="00340AA3"/>
    <w:rsid w:val="00341912"/>
    <w:rsid w:val="0034193D"/>
    <w:rsid w:val="00341AB1"/>
    <w:rsid w:val="00341B9C"/>
    <w:rsid w:val="00342607"/>
    <w:rsid w:val="00343012"/>
    <w:rsid w:val="00343172"/>
    <w:rsid w:val="00343253"/>
    <w:rsid w:val="003439BA"/>
    <w:rsid w:val="00343AD7"/>
    <w:rsid w:val="00343D46"/>
    <w:rsid w:val="00344B4E"/>
    <w:rsid w:val="003452CA"/>
    <w:rsid w:val="00345353"/>
    <w:rsid w:val="0034585F"/>
    <w:rsid w:val="00345A0B"/>
    <w:rsid w:val="0034612B"/>
    <w:rsid w:val="0034671C"/>
    <w:rsid w:val="0034690B"/>
    <w:rsid w:val="00346B32"/>
    <w:rsid w:val="00347BAF"/>
    <w:rsid w:val="00350382"/>
    <w:rsid w:val="003505EF"/>
    <w:rsid w:val="003506DF"/>
    <w:rsid w:val="00350A89"/>
    <w:rsid w:val="00350B57"/>
    <w:rsid w:val="00350E55"/>
    <w:rsid w:val="00351058"/>
    <w:rsid w:val="00351279"/>
    <w:rsid w:val="00351673"/>
    <w:rsid w:val="00351736"/>
    <w:rsid w:val="0035199D"/>
    <w:rsid w:val="00351A9B"/>
    <w:rsid w:val="00351E54"/>
    <w:rsid w:val="0035215A"/>
    <w:rsid w:val="003523DC"/>
    <w:rsid w:val="00352852"/>
    <w:rsid w:val="00352CF5"/>
    <w:rsid w:val="00353746"/>
    <w:rsid w:val="00354024"/>
    <w:rsid w:val="00354472"/>
    <w:rsid w:val="00355072"/>
    <w:rsid w:val="00355704"/>
    <w:rsid w:val="0035599C"/>
    <w:rsid w:val="00355C7D"/>
    <w:rsid w:val="003561C1"/>
    <w:rsid w:val="003563A0"/>
    <w:rsid w:val="0035668F"/>
    <w:rsid w:val="00356DBC"/>
    <w:rsid w:val="003571EF"/>
    <w:rsid w:val="00360350"/>
    <w:rsid w:val="00360CFE"/>
    <w:rsid w:val="003616D3"/>
    <w:rsid w:val="00361B1C"/>
    <w:rsid w:val="00361D7D"/>
    <w:rsid w:val="00362044"/>
    <w:rsid w:val="003622F1"/>
    <w:rsid w:val="0036242E"/>
    <w:rsid w:val="003624CE"/>
    <w:rsid w:val="003628C1"/>
    <w:rsid w:val="003628EA"/>
    <w:rsid w:val="00363878"/>
    <w:rsid w:val="003638A5"/>
    <w:rsid w:val="003640ED"/>
    <w:rsid w:val="003643EE"/>
    <w:rsid w:val="0036455C"/>
    <w:rsid w:val="00364635"/>
    <w:rsid w:val="00364799"/>
    <w:rsid w:val="00364B71"/>
    <w:rsid w:val="00365180"/>
    <w:rsid w:val="00365A09"/>
    <w:rsid w:val="00365E4C"/>
    <w:rsid w:val="00366414"/>
    <w:rsid w:val="00366578"/>
    <w:rsid w:val="00366D7E"/>
    <w:rsid w:val="00366DB7"/>
    <w:rsid w:val="003678B0"/>
    <w:rsid w:val="00367A52"/>
    <w:rsid w:val="00367AE7"/>
    <w:rsid w:val="00370087"/>
    <w:rsid w:val="00370B43"/>
    <w:rsid w:val="00371361"/>
    <w:rsid w:val="0037172F"/>
    <w:rsid w:val="00372356"/>
    <w:rsid w:val="00372935"/>
    <w:rsid w:val="00372947"/>
    <w:rsid w:val="003733D8"/>
    <w:rsid w:val="0037364E"/>
    <w:rsid w:val="00373929"/>
    <w:rsid w:val="003745C2"/>
    <w:rsid w:val="00374B97"/>
    <w:rsid w:val="00375199"/>
    <w:rsid w:val="00375522"/>
    <w:rsid w:val="0037636F"/>
    <w:rsid w:val="0037654C"/>
    <w:rsid w:val="00376841"/>
    <w:rsid w:val="00376B66"/>
    <w:rsid w:val="00376C62"/>
    <w:rsid w:val="00376C6A"/>
    <w:rsid w:val="0037769E"/>
    <w:rsid w:val="00377739"/>
    <w:rsid w:val="00377D50"/>
    <w:rsid w:val="003804E5"/>
    <w:rsid w:val="0038053C"/>
    <w:rsid w:val="00380765"/>
    <w:rsid w:val="0038096C"/>
    <w:rsid w:val="00380BF7"/>
    <w:rsid w:val="00380D6B"/>
    <w:rsid w:val="00380F7F"/>
    <w:rsid w:val="003811E9"/>
    <w:rsid w:val="00381274"/>
    <w:rsid w:val="003815A7"/>
    <w:rsid w:val="003818E3"/>
    <w:rsid w:val="00381C4D"/>
    <w:rsid w:val="00381E33"/>
    <w:rsid w:val="003822C2"/>
    <w:rsid w:val="0038286A"/>
    <w:rsid w:val="00382FF9"/>
    <w:rsid w:val="00383006"/>
    <w:rsid w:val="00383124"/>
    <w:rsid w:val="00383671"/>
    <w:rsid w:val="003838EB"/>
    <w:rsid w:val="00383AB4"/>
    <w:rsid w:val="00383B83"/>
    <w:rsid w:val="00383DD1"/>
    <w:rsid w:val="003840E0"/>
    <w:rsid w:val="0038432F"/>
    <w:rsid w:val="003844F3"/>
    <w:rsid w:val="003848EE"/>
    <w:rsid w:val="00384F4D"/>
    <w:rsid w:val="003851D3"/>
    <w:rsid w:val="00386221"/>
    <w:rsid w:val="00386508"/>
    <w:rsid w:val="003866F3"/>
    <w:rsid w:val="003870A6"/>
    <w:rsid w:val="00387234"/>
    <w:rsid w:val="0038732C"/>
    <w:rsid w:val="00387A1B"/>
    <w:rsid w:val="00387B12"/>
    <w:rsid w:val="00387D63"/>
    <w:rsid w:val="003914F4"/>
    <w:rsid w:val="003915CE"/>
    <w:rsid w:val="00391BD4"/>
    <w:rsid w:val="003934DE"/>
    <w:rsid w:val="00393683"/>
    <w:rsid w:val="00394406"/>
    <w:rsid w:val="0039452B"/>
    <w:rsid w:val="003949A1"/>
    <w:rsid w:val="003949F6"/>
    <w:rsid w:val="003954A8"/>
    <w:rsid w:val="00395ABA"/>
    <w:rsid w:val="00395F55"/>
    <w:rsid w:val="00396039"/>
    <w:rsid w:val="00396047"/>
    <w:rsid w:val="00396812"/>
    <w:rsid w:val="00396916"/>
    <w:rsid w:val="003969D4"/>
    <w:rsid w:val="00396DC6"/>
    <w:rsid w:val="003970E9"/>
    <w:rsid w:val="003972A2"/>
    <w:rsid w:val="00397799"/>
    <w:rsid w:val="003977B6"/>
    <w:rsid w:val="00397A3D"/>
    <w:rsid w:val="00397F65"/>
    <w:rsid w:val="00397F81"/>
    <w:rsid w:val="003A0206"/>
    <w:rsid w:val="003A085B"/>
    <w:rsid w:val="003A0DA8"/>
    <w:rsid w:val="003A0F6D"/>
    <w:rsid w:val="003A1164"/>
    <w:rsid w:val="003A1835"/>
    <w:rsid w:val="003A22D2"/>
    <w:rsid w:val="003A2891"/>
    <w:rsid w:val="003A3024"/>
    <w:rsid w:val="003A31D1"/>
    <w:rsid w:val="003A324F"/>
    <w:rsid w:val="003A3571"/>
    <w:rsid w:val="003A3594"/>
    <w:rsid w:val="003A3808"/>
    <w:rsid w:val="003A3998"/>
    <w:rsid w:val="003A39D5"/>
    <w:rsid w:val="003A3C7F"/>
    <w:rsid w:val="003A3EB0"/>
    <w:rsid w:val="003A3FF3"/>
    <w:rsid w:val="003A4138"/>
    <w:rsid w:val="003A41A0"/>
    <w:rsid w:val="003A4E5E"/>
    <w:rsid w:val="003A51BD"/>
    <w:rsid w:val="003A53F1"/>
    <w:rsid w:val="003A571C"/>
    <w:rsid w:val="003A594B"/>
    <w:rsid w:val="003A5F98"/>
    <w:rsid w:val="003A60BF"/>
    <w:rsid w:val="003A6160"/>
    <w:rsid w:val="003A617F"/>
    <w:rsid w:val="003A69C9"/>
    <w:rsid w:val="003A6AEA"/>
    <w:rsid w:val="003A7413"/>
    <w:rsid w:val="003A7703"/>
    <w:rsid w:val="003A785B"/>
    <w:rsid w:val="003B0228"/>
    <w:rsid w:val="003B0687"/>
    <w:rsid w:val="003B075C"/>
    <w:rsid w:val="003B0D22"/>
    <w:rsid w:val="003B0EED"/>
    <w:rsid w:val="003B12EB"/>
    <w:rsid w:val="003B137D"/>
    <w:rsid w:val="003B14D3"/>
    <w:rsid w:val="003B1A5F"/>
    <w:rsid w:val="003B1EE9"/>
    <w:rsid w:val="003B245A"/>
    <w:rsid w:val="003B2D20"/>
    <w:rsid w:val="003B2E02"/>
    <w:rsid w:val="003B3506"/>
    <w:rsid w:val="003B3520"/>
    <w:rsid w:val="003B39A5"/>
    <w:rsid w:val="003B39DF"/>
    <w:rsid w:val="003B3DD0"/>
    <w:rsid w:val="003B3F52"/>
    <w:rsid w:val="003B3FFA"/>
    <w:rsid w:val="003B46FC"/>
    <w:rsid w:val="003B4C67"/>
    <w:rsid w:val="003B4DB5"/>
    <w:rsid w:val="003B4F2B"/>
    <w:rsid w:val="003B53FC"/>
    <w:rsid w:val="003B543D"/>
    <w:rsid w:val="003B5C8F"/>
    <w:rsid w:val="003B5CA4"/>
    <w:rsid w:val="003B68CD"/>
    <w:rsid w:val="003B6B29"/>
    <w:rsid w:val="003B6CDB"/>
    <w:rsid w:val="003B7040"/>
    <w:rsid w:val="003B7051"/>
    <w:rsid w:val="003B7417"/>
    <w:rsid w:val="003B7535"/>
    <w:rsid w:val="003B7D6A"/>
    <w:rsid w:val="003B7DDB"/>
    <w:rsid w:val="003C045A"/>
    <w:rsid w:val="003C0485"/>
    <w:rsid w:val="003C05C0"/>
    <w:rsid w:val="003C09AE"/>
    <w:rsid w:val="003C10FD"/>
    <w:rsid w:val="003C1589"/>
    <w:rsid w:val="003C1800"/>
    <w:rsid w:val="003C1A3E"/>
    <w:rsid w:val="003C1AEB"/>
    <w:rsid w:val="003C2270"/>
    <w:rsid w:val="003C2670"/>
    <w:rsid w:val="003C2C0E"/>
    <w:rsid w:val="003C2F7C"/>
    <w:rsid w:val="003C3304"/>
    <w:rsid w:val="003C366C"/>
    <w:rsid w:val="003C3A93"/>
    <w:rsid w:val="003C3ADE"/>
    <w:rsid w:val="003C3C0C"/>
    <w:rsid w:val="003C41B3"/>
    <w:rsid w:val="003C43EE"/>
    <w:rsid w:val="003C43F1"/>
    <w:rsid w:val="003C47AE"/>
    <w:rsid w:val="003C5032"/>
    <w:rsid w:val="003C6531"/>
    <w:rsid w:val="003C65B5"/>
    <w:rsid w:val="003C69AA"/>
    <w:rsid w:val="003C776E"/>
    <w:rsid w:val="003C7859"/>
    <w:rsid w:val="003C7945"/>
    <w:rsid w:val="003C796A"/>
    <w:rsid w:val="003D0066"/>
    <w:rsid w:val="003D0342"/>
    <w:rsid w:val="003D069D"/>
    <w:rsid w:val="003D08F2"/>
    <w:rsid w:val="003D0AB4"/>
    <w:rsid w:val="003D0B8B"/>
    <w:rsid w:val="003D0BF5"/>
    <w:rsid w:val="003D0C20"/>
    <w:rsid w:val="003D0EE2"/>
    <w:rsid w:val="003D11DD"/>
    <w:rsid w:val="003D124E"/>
    <w:rsid w:val="003D16E4"/>
    <w:rsid w:val="003D1891"/>
    <w:rsid w:val="003D2062"/>
    <w:rsid w:val="003D2156"/>
    <w:rsid w:val="003D2836"/>
    <w:rsid w:val="003D299A"/>
    <w:rsid w:val="003D2A71"/>
    <w:rsid w:val="003D2FA6"/>
    <w:rsid w:val="003D338E"/>
    <w:rsid w:val="003D38E6"/>
    <w:rsid w:val="003D3A07"/>
    <w:rsid w:val="003D3BDC"/>
    <w:rsid w:val="003D3E32"/>
    <w:rsid w:val="003D3F61"/>
    <w:rsid w:val="003D464B"/>
    <w:rsid w:val="003D46BB"/>
    <w:rsid w:val="003D48B7"/>
    <w:rsid w:val="003D4DA2"/>
    <w:rsid w:val="003D4DE8"/>
    <w:rsid w:val="003D5179"/>
    <w:rsid w:val="003D52E1"/>
    <w:rsid w:val="003D5D55"/>
    <w:rsid w:val="003D5D5F"/>
    <w:rsid w:val="003D5E5A"/>
    <w:rsid w:val="003D63C4"/>
    <w:rsid w:val="003D6664"/>
    <w:rsid w:val="003D6E4F"/>
    <w:rsid w:val="003D6FC5"/>
    <w:rsid w:val="003D72BE"/>
    <w:rsid w:val="003D75B2"/>
    <w:rsid w:val="003D7628"/>
    <w:rsid w:val="003D77A4"/>
    <w:rsid w:val="003D79A3"/>
    <w:rsid w:val="003D7B0D"/>
    <w:rsid w:val="003D7C55"/>
    <w:rsid w:val="003E003C"/>
    <w:rsid w:val="003E005E"/>
    <w:rsid w:val="003E01F1"/>
    <w:rsid w:val="003E0710"/>
    <w:rsid w:val="003E0ED0"/>
    <w:rsid w:val="003E0FE8"/>
    <w:rsid w:val="003E10BF"/>
    <w:rsid w:val="003E14E9"/>
    <w:rsid w:val="003E1BF1"/>
    <w:rsid w:val="003E1CA9"/>
    <w:rsid w:val="003E1EBF"/>
    <w:rsid w:val="003E236C"/>
    <w:rsid w:val="003E2457"/>
    <w:rsid w:val="003E24E1"/>
    <w:rsid w:val="003E2C11"/>
    <w:rsid w:val="003E2D69"/>
    <w:rsid w:val="003E3166"/>
    <w:rsid w:val="003E33A4"/>
    <w:rsid w:val="003E35C3"/>
    <w:rsid w:val="003E3C23"/>
    <w:rsid w:val="003E3D14"/>
    <w:rsid w:val="003E3E09"/>
    <w:rsid w:val="003E44AF"/>
    <w:rsid w:val="003E4670"/>
    <w:rsid w:val="003E4E5D"/>
    <w:rsid w:val="003E5C93"/>
    <w:rsid w:val="003E5CE6"/>
    <w:rsid w:val="003E5F29"/>
    <w:rsid w:val="003E60C0"/>
    <w:rsid w:val="003E6A62"/>
    <w:rsid w:val="003E6B69"/>
    <w:rsid w:val="003E7055"/>
    <w:rsid w:val="003E71DB"/>
    <w:rsid w:val="003E78C3"/>
    <w:rsid w:val="003F0072"/>
    <w:rsid w:val="003F01FB"/>
    <w:rsid w:val="003F0704"/>
    <w:rsid w:val="003F073F"/>
    <w:rsid w:val="003F07C8"/>
    <w:rsid w:val="003F0E4F"/>
    <w:rsid w:val="003F1339"/>
    <w:rsid w:val="003F1841"/>
    <w:rsid w:val="003F1ACD"/>
    <w:rsid w:val="003F1B06"/>
    <w:rsid w:val="003F1CEF"/>
    <w:rsid w:val="003F1EFD"/>
    <w:rsid w:val="003F22A9"/>
    <w:rsid w:val="003F279A"/>
    <w:rsid w:val="003F28D4"/>
    <w:rsid w:val="003F296B"/>
    <w:rsid w:val="003F31E3"/>
    <w:rsid w:val="003F3582"/>
    <w:rsid w:val="003F374E"/>
    <w:rsid w:val="003F3D54"/>
    <w:rsid w:val="003F4648"/>
    <w:rsid w:val="003F485B"/>
    <w:rsid w:val="003F4A69"/>
    <w:rsid w:val="003F4C57"/>
    <w:rsid w:val="003F4CAD"/>
    <w:rsid w:val="003F5048"/>
    <w:rsid w:val="003F54DC"/>
    <w:rsid w:val="003F5921"/>
    <w:rsid w:val="003F5AB6"/>
    <w:rsid w:val="003F5BA0"/>
    <w:rsid w:val="003F66B9"/>
    <w:rsid w:val="003F676D"/>
    <w:rsid w:val="003F68CB"/>
    <w:rsid w:val="003F7127"/>
    <w:rsid w:val="003F75FE"/>
    <w:rsid w:val="003F76FB"/>
    <w:rsid w:val="003F781D"/>
    <w:rsid w:val="003F7F5C"/>
    <w:rsid w:val="004003C5"/>
    <w:rsid w:val="0040065C"/>
    <w:rsid w:val="0040081E"/>
    <w:rsid w:val="00400AE4"/>
    <w:rsid w:val="00400BB7"/>
    <w:rsid w:val="00400E56"/>
    <w:rsid w:val="004011DA"/>
    <w:rsid w:val="0040139E"/>
    <w:rsid w:val="00402433"/>
    <w:rsid w:val="004032AC"/>
    <w:rsid w:val="004032FF"/>
    <w:rsid w:val="004036D0"/>
    <w:rsid w:val="004039C7"/>
    <w:rsid w:val="00403A6B"/>
    <w:rsid w:val="00403B68"/>
    <w:rsid w:val="004054EC"/>
    <w:rsid w:val="00405594"/>
    <w:rsid w:val="004059C6"/>
    <w:rsid w:val="00405E7B"/>
    <w:rsid w:val="00406068"/>
    <w:rsid w:val="004062CC"/>
    <w:rsid w:val="0040638D"/>
    <w:rsid w:val="0040647E"/>
    <w:rsid w:val="0040692E"/>
    <w:rsid w:val="004069AE"/>
    <w:rsid w:val="00407315"/>
    <w:rsid w:val="00407396"/>
    <w:rsid w:val="00407493"/>
    <w:rsid w:val="00407569"/>
    <w:rsid w:val="0040799A"/>
    <w:rsid w:val="00407FE3"/>
    <w:rsid w:val="0041051B"/>
    <w:rsid w:val="00410866"/>
    <w:rsid w:val="004108C2"/>
    <w:rsid w:val="00410CBD"/>
    <w:rsid w:val="0041141A"/>
    <w:rsid w:val="0041193C"/>
    <w:rsid w:val="004124FA"/>
    <w:rsid w:val="00412F62"/>
    <w:rsid w:val="00413015"/>
    <w:rsid w:val="00413900"/>
    <w:rsid w:val="00413904"/>
    <w:rsid w:val="0041398B"/>
    <w:rsid w:val="00413A00"/>
    <w:rsid w:val="0041422E"/>
    <w:rsid w:val="004144C3"/>
    <w:rsid w:val="0041461F"/>
    <w:rsid w:val="00414AA9"/>
    <w:rsid w:val="004152DB"/>
    <w:rsid w:val="00415419"/>
    <w:rsid w:val="0041585B"/>
    <w:rsid w:val="0041599C"/>
    <w:rsid w:val="00415B3A"/>
    <w:rsid w:val="00415DFE"/>
    <w:rsid w:val="004160A6"/>
    <w:rsid w:val="0041658F"/>
    <w:rsid w:val="00416807"/>
    <w:rsid w:val="00416B30"/>
    <w:rsid w:val="00420159"/>
    <w:rsid w:val="00420D5A"/>
    <w:rsid w:val="00421802"/>
    <w:rsid w:val="00421B29"/>
    <w:rsid w:val="00421E1D"/>
    <w:rsid w:val="00421F49"/>
    <w:rsid w:val="004220FA"/>
    <w:rsid w:val="00422291"/>
    <w:rsid w:val="0042262C"/>
    <w:rsid w:val="0042287E"/>
    <w:rsid w:val="004236EC"/>
    <w:rsid w:val="004237CA"/>
    <w:rsid w:val="00423CAB"/>
    <w:rsid w:val="00423CAF"/>
    <w:rsid w:val="00424A4B"/>
    <w:rsid w:val="0042540C"/>
    <w:rsid w:val="00425729"/>
    <w:rsid w:val="00425C9D"/>
    <w:rsid w:val="00425E3A"/>
    <w:rsid w:val="00426043"/>
    <w:rsid w:val="004260B3"/>
    <w:rsid w:val="004268F6"/>
    <w:rsid w:val="00426DD1"/>
    <w:rsid w:val="00427547"/>
    <w:rsid w:val="0042754E"/>
    <w:rsid w:val="00427FB5"/>
    <w:rsid w:val="004306BC"/>
    <w:rsid w:val="00430D37"/>
    <w:rsid w:val="00430D6C"/>
    <w:rsid w:val="00430F04"/>
    <w:rsid w:val="00431588"/>
    <w:rsid w:val="00431B11"/>
    <w:rsid w:val="00431E45"/>
    <w:rsid w:val="00432C36"/>
    <w:rsid w:val="00432D23"/>
    <w:rsid w:val="004330DE"/>
    <w:rsid w:val="004333B9"/>
    <w:rsid w:val="004335C0"/>
    <w:rsid w:val="004335FA"/>
    <w:rsid w:val="0043376D"/>
    <w:rsid w:val="004337D0"/>
    <w:rsid w:val="00433842"/>
    <w:rsid w:val="004338A7"/>
    <w:rsid w:val="00433CC2"/>
    <w:rsid w:val="00433F2B"/>
    <w:rsid w:val="0043454D"/>
    <w:rsid w:val="00434BB4"/>
    <w:rsid w:val="00434E81"/>
    <w:rsid w:val="00435436"/>
    <w:rsid w:val="0043567B"/>
    <w:rsid w:val="00435A9A"/>
    <w:rsid w:val="00435D0B"/>
    <w:rsid w:val="00436213"/>
    <w:rsid w:val="0043688C"/>
    <w:rsid w:val="00436AC2"/>
    <w:rsid w:val="0043709C"/>
    <w:rsid w:val="0043731A"/>
    <w:rsid w:val="00437733"/>
    <w:rsid w:val="004379C3"/>
    <w:rsid w:val="00437D02"/>
    <w:rsid w:val="00437D40"/>
    <w:rsid w:val="00437D78"/>
    <w:rsid w:val="004405A9"/>
    <w:rsid w:val="00440664"/>
    <w:rsid w:val="0044085E"/>
    <w:rsid w:val="004408CE"/>
    <w:rsid w:val="00440D66"/>
    <w:rsid w:val="0044144F"/>
    <w:rsid w:val="00441663"/>
    <w:rsid w:val="00441A09"/>
    <w:rsid w:val="00441E50"/>
    <w:rsid w:val="00441EC6"/>
    <w:rsid w:val="00442020"/>
    <w:rsid w:val="00442298"/>
    <w:rsid w:val="00442351"/>
    <w:rsid w:val="00442812"/>
    <w:rsid w:val="00442FAB"/>
    <w:rsid w:val="004436ED"/>
    <w:rsid w:val="004437C2"/>
    <w:rsid w:val="00443840"/>
    <w:rsid w:val="00443AFE"/>
    <w:rsid w:val="00443B13"/>
    <w:rsid w:val="00443CF2"/>
    <w:rsid w:val="00443D9D"/>
    <w:rsid w:val="00444186"/>
    <w:rsid w:val="00444953"/>
    <w:rsid w:val="004449F7"/>
    <w:rsid w:val="00444BD0"/>
    <w:rsid w:val="004450A8"/>
    <w:rsid w:val="00445384"/>
    <w:rsid w:val="00445817"/>
    <w:rsid w:val="00445E33"/>
    <w:rsid w:val="00445E4A"/>
    <w:rsid w:val="00445E5A"/>
    <w:rsid w:val="004468DE"/>
    <w:rsid w:val="00446988"/>
    <w:rsid w:val="00446EC5"/>
    <w:rsid w:val="00446EEC"/>
    <w:rsid w:val="00447070"/>
    <w:rsid w:val="00447343"/>
    <w:rsid w:val="0044744E"/>
    <w:rsid w:val="004475DA"/>
    <w:rsid w:val="004475F2"/>
    <w:rsid w:val="00447661"/>
    <w:rsid w:val="0044789B"/>
    <w:rsid w:val="00447C8A"/>
    <w:rsid w:val="00447E5A"/>
    <w:rsid w:val="004501DD"/>
    <w:rsid w:val="004503E9"/>
    <w:rsid w:val="004505D9"/>
    <w:rsid w:val="004505E2"/>
    <w:rsid w:val="0045095F"/>
    <w:rsid w:val="00450AB3"/>
    <w:rsid w:val="004513EA"/>
    <w:rsid w:val="00451AC8"/>
    <w:rsid w:val="00451B56"/>
    <w:rsid w:val="00451FFF"/>
    <w:rsid w:val="00452E69"/>
    <w:rsid w:val="004533F0"/>
    <w:rsid w:val="00453A3A"/>
    <w:rsid w:val="00453AE8"/>
    <w:rsid w:val="00453D60"/>
    <w:rsid w:val="00453FC8"/>
    <w:rsid w:val="00454193"/>
    <w:rsid w:val="00454599"/>
    <w:rsid w:val="004545A1"/>
    <w:rsid w:val="004549E6"/>
    <w:rsid w:val="00454AD7"/>
    <w:rsid w:val="00454D6F"/>
    <w:rsid w:val="00454F4A"/>
    <w:rsid w:val="004552AD"/>
    <w:rsid w:val="00455419"/>
    <w:rsid w:val="004565F5"/>
    <w:rsid w:val="0045673D"/>
    <w:rsid w:val="0045693A"/>
    <w:rsid w:val="00457430"/>
    <w:rsid w:val="0045786B"/>
    <w:rsid w:val="00457A37"/>
    <w:rsid w:val="00457CE6"/>
    <w:rsid w:val="00457E63"/>
    <w:rsid w:val="00460254"/>
    <w:rsid w:val="00460494"/>
    <w:rsid w:val="00460610"/>
    <w:rsid w:val="004608D2"/>
    <w:rsid w:val="00461712"/>
    <w:rsid w:val="004617A5"/>
    <w:rsid w:val="00461827"/>
    <w:rsid w:val="00461A19"/>
    <w:rsid w:val="00461D9D"/>
    <w:rsid w:val="00461E7E"/>
    <w:rsid w:val="00462C2E"/>
    <w:rsid w:val="0046343C"/>
    <w:rsid w:val="00464358"/>
    <w:rsid w:val="00464C6B"/>
    <w:rsid w:val="00465578"/>
    <w:rsid w:val="00465FB9"/>
    <w:rsid w:val="00466313"/>
    <w:rsid w:val="00466934"/>
    <w:rsid w:val="00466B06"/>
    <w:rsid w:val="0046706F"/>
    <w:rsid w:val="004671F2"/>
    <w:rsid w:val="0046736C"/>
    <w:rsid w:val="004707F5"/>
    <w:rsid w:val="00470BF8"/>
    <w:rsid w:val="00471290"/>
    <w:rsid w:val="00471645"/>
    <w:rsid w:val="00471785"/>
    <w:rsid w:val="00471796"/>
    <w:rsid w:val="00471DD5"/>
    <w:rsid w:val="004721AA"/>
    <w:rsid w:val="00472228"/>
    <w:rsid w:val="00472257"/>
    <w:rsid w:val="00472A07"/>
    <w:rsid w:val="00472FBA"/>
    <w:rsid w:val="004735F4"/>
    <w:rsid w:val="0047374E"/>
    <w:rsid w:val="004738B9"/>
    <w:rsid w:val="0047398A"/>
    <w:rsid w:val="004740ED"/>
    <w:rsid w:val="0047491D"/>
    <w:rsid w:val="00474B78"/>
    <w:rsid w:val="00475142"/>
    <w:rsid w:val="004757C9"/>
    <w:rsid w:val="004764F0"/>
    <w:rsid w:val="00476682"/>
    <w:rsid w:val="004771F3"/>
    <w:rsid w:val="00477398"/>
    <w:rsid w:val="004778B5"/>
    <w:rsid w:val="00477B86"/>
    <w:rsid w:val="00477E6B"/>
    <w:rsid w:val="00480828"/>
    <w:rsid w:val="00480849"/>
    <w:rsid w:val="00480A21"/>
    <w:rsid w:val="00480B9F"/>
    <w:rsid w:val="00481E0B"/>
    <w:rsid w:val="00481F18"/>
    <w:rsid w:val="00481FFF"/>
    <w:rsid w:val="00482D51"/>
    <w:rsid w:val="004834EA"/>
    <w:rsid w:val="004838B5"/>
    <w:rsid w:val="00483A41"/>
    <w:rsid w:val="00483E59"/>
    <w:rsid w:val="00483EF0"/>
    <w:rsid w:val="00484267"/>
    <w:rsid w:val="0048434B"/>
    <w:rsid w:val="004843ED"/>
    <w:rsid w:val="0048459E"/>
    <w:rsid w:val="00484C45"/>
    <w:rsid w:val="00485238"/>
    <w:rsid w:val="00485BBC"/>
    <w:rsid w:val="004863B3"/>
    <w:rsid w:val="00486588"/>
    <w:rsid w:val="00486C89"/>
    <w:rsid w:val="00486E8A"/>
    <w:rsid w:val="004876D9"/>
    <w:rsid w:val="004878A1"/>
    <w:rsid w:val="0049052E"/>
    <w:rsid w:val="00490959"/>
    <w:rsid w:val="004913E6"/>
    <w:rsid w:val="0049147E"/>
    <w:rsid w:val="00491ABA"/>
    <w:rsid w:val="00491EAF"/>
    <w:rsid w:val="00492087"/>
    <w:rsid w:val="004920A4"/>
    <w:rsid w:val="004922C6"/>
    <w:rsid w:val="00492B02"/>
    <w:rsid w:val="00492FCB"/>
    <w:rsid w:val="004934F2"/>
    <w:rsid w:val="0049377F"/>
    <w:rsid w:val="00493B79"/>
    <w:rsid w:val="00493C0D"/>
    <w:rsid w:val="00493CFD"/>
    <w:rsid w:val="00493ECF"/>
    <w:rsid w:val="00493EF7"/>
    <w:rsid w:val="00493FAB"/>
    <w:rsid w:val="00494147"/>
    <w:rsid w:val="004944C3"/>
    <w:rsid w:val="00495249"/>
    <w:rsid w:val="00495EE9"/>
    <w:rsid w:val="00496985"/>
    <w:rsid w:val="004969CE"/>
    <w:rsid w:val="00496B39"/>
    <w:rsid w:val="00497464"/>
    <w:rsid w:val="00497566"/>
    <w:rsid w:val="0049757D"/>
    <w:rsid w:val="0049783B"/>
    <w:rsid w:val="00497AC8"/>
    <w:rsid w:val="00497B60"/>
    <w:rsid w:val="004A0C74"/>
    <w:rsid w:val="004A0DB6"/>
    <w:rsid w:val="004A1437"/>
    <w:rsid w:val="004A1636"/>
    <w:rsid w:val="004A182D"/>
    <w:rsid w:val="004A188F"/>
    <w:rsid w:val="004A1B26"/>
    <w:rsid w:val="004A1D85"/>
    <w:rsid w:val="004A20EC"/>
    <w:rsid w:val="004A25B2"/>
    <w:rsid w:val="004A28DE"/>
    <w:rsid w:val="004A2D20"/>
    <w:rsid w:val="004A317B"/>
    <w:rsid w:val="004A33F6"/>
    <w:rsid w:val="004A3503"/>
    <w:rsid w:val="004A3910"/>
    <w:rsid w:val="004A43EB"/>
    <w:rsid w:val="004A49CD"/>
    <w:rsid w:val="004A4C5B"/>
    <w:rsid w:val="004A4CF5"/>
    <w:rsid w:val="004A515C"/>
    <w:rsid w:val="004A537C"/>
    <w:rsid w:val="004A53D1"/>
    <w:rsid w:val="004A53E2"/>
    <w:rsid w:val="004A54B9"/>
    <w:rsid w:val="004A5620"/>
    <w:rsid w:val="004A5AEA"/>
    <w:rsid w:val="004A6140"/>
    <w:rsid w:val="004A62E3"/>
    <w:rsid w:val="004A637F"/>
    <w:rsid w:val="004A669F"/>
    <w:rsid w:val="004A68D5"/>
    <w:rsid w:val="004A6C13"/>
    <w:rsid w:val="004A6D83"/>
    <w:rsid w:val="004A7373"/>
    <w:rsid w:val="004A74D4"/>
    <w:rsid w:val="004A7BEA"/>
    <w:rsid w:val="004B0DB8"/>
    <w:rsid w:val="004B10B7"/>
    <w:rsid w:val="004B165D"/>
    <w:rsid w:val="004B17B1"/>
    <w:rsid w:val="004B1ABF"/>
    <w:rsid w:val="004B1AE1"/>
    <w:rsid w:val="004B2355"/>
    <w:rsid w:val="004B2489"/>
    <w:rsid w:val="004B2F63"/>
    <w:rsid w:val="004B3277"/>
    <w:rsid w:val="004B3349"/>
    <w:rsid w:val="004B3577"/>
    <w:rsid w:val="004B3721"/>
    <w:rsid w:val="004B3910"/>
    <w:rsid w:val="004B3B94"/>
    <w:rsid w:val="004B3DA1"/>
    <w:rsid w:val="004B410B"/>
    <w:rsid w:val="004B4139"/>
    <w:rsid w:val="004B4941"/>
    <w:rsid w:val="004B53AD"/>
    <w:rsid w:val="004B5600"/>
    <w:rsid w:val="004B5776"/>
    <w:rsid w:val="004B5B4C"/>
    <w:rsid w:val="004B5CD1"/>
    <w:rsid w:val="004B5E77"/>
    <w:rsid w:val="004B5F05"/>
    <w:rsid w:val="004B61F5"/>
    <w:rsid w:val="004B6204"/>
    <w:rsid w:val="004B62A0"/>
    <w:rsid w:val="004B6751"/>
    <w:rsid w:val="004B6EC4"/>
    <w:rsid w:val="004B7050"/>
    <w:rsid w:val="004B70B9"/>
    <w:rsid w:val="004B73C6"/>
    <w:rsid w:val="004B771E"/>
    <w:rsid w:val="004B77FD"/>
    <w:rsid w:val="004B7B1C"/>
    <w:rsid w:val="004B7CDB"/>
    <w:rsid w:val="004C02B7"/>
    <w:rsid w:val="004C02D6"/>
    <w:rsid w:val="004C07A6"/>
    <w:rsid w:val="004C0880"/>
    <w:rsid w:val="004C0C09"/>
    <w:rsid w:val="004C0C57"/>
    <w:rsid w:val="004C1161"/>
    <w:rsid w:val="004C1551"/>
    <w:rsid w:val="004C17AB"/>
    <w:rsid w:val="004C23BD"/>
    <w:rsid w:val="004C23FC"/>
    <w:rsid w:val="004C2462"/>
    <w:rsid w:val="004C2BC4"/>
    <w:rsid w:val="004C2C7C"/>
    <w:rsid w:val="004C2D28"/>
    <w:rsid w:val="004C2D75"/>
    <w:rsid w:val="004C2ECC"/>
    <w:rsid w:val="004C3192"/>
    <w:rsid w:val="004C3873"/>
    <w:rsid w:val="004C39C4"/>
    <w:rsid w:val="004C3BC8"/>
    <w:rsid w:val="004C4102"/>
    <w:rsid w:val="004C4229"/>
    <w:rsid w:val="004C4B22"/>
    <w:rsid w:val="004C5776"/>
    <w:rsid w:val="004C5E69"/>
    <w:rsid w:val="004C5EFA"/>
    <w:rsid w:val="004C6174"/>
    <w:rsid w:val="004C6185"/>
    <w:rsid w:val="004C6370"/>
    <w:rsid w:val="004C65EC"/>
    <w:rsid w:val="004C6666"/>
    <w:rsid w:val="004C66C5"/>
    <w:rsid w:val="004C6CF0"/>
    <w:rsid w:val="004C71AD"/>
    <w:rsid w:val="004C7732"/>
    <w:rsid w:val="004C7DEE"/>
    <w:rsid w:val="004C7E75"/>
    <w:rsid w:val="004D014D"/>
    <w:rsid w:val="004D075D"/>
    <w:rsid w:val="004D1150"/>
    <w:rsid w:val="004D11AE"/>
    <w:rsid w:val="004D1633"/>
    <w:rsid w:val="004D1C38"/>
    <w:rsid w:val="004D2148"/>
    <w:rsid w:val="004D21DD"/>
    <w:rsid w:val="004D24F4"/>
    <w:rsid w:val="004D30D3"/>
    <w:rsid w:val="004D334B"/>
    <w:rsid w:val="004D3A59"/>
    <w:rsid w:val="004D3BD0"/>
    <w:rsid w:val="004D3BFE"/>
    <w:rsid w:val="004D3E48"/>
    <w:rsid w:val="004D3F1F"/>
    <w:rsid w:val="004D4430"/>
    <w:rsid w:val="004D468C"/>
    <w:rsid w:val="004D4A09"/>
    <w:rsid w:val="004D4AA0"/>
    <w:rsid w:val="004D5594"/>
    <w:rsid w:val="004D565A"/>
    <w:rsid w:val="004D5801"/>
    <w:rsid w:val="004D5F20"/>
    <w:rsid w:val="004D64A2"/>
    <w:rsid w:val="004D6646"/>
    <w:rsid w:val="004D6BA2"/>
    <w:rsid w:val="004D6CA5"/>
    <w:rsid w:val="004D70F2"/>
    <w:rsid w:val="004D7349"/>
    <w:rsid w:val="004D76DC"/>
    <w:rsid w:val="004D7A39"/>
    <w:rsid w:val="004E08A3"/>
    <w:rsid w:val="004E0F1E"/>
    <w:rsid w:val="004E0F95"/>
    <w:rsid w:val="004E1563"/>
    <w:rsid w:val="004E16A6"/>
    <w:rsid w:val="004E1B3F"/>
    <w:rsid w:val="004E200C"/>
    <w:rsid w:val="004E2433"/>
    <w:rsid w:val="004E25CA"/>
    <w:rsid w:val="004E25E6"/>
    <w:rsid w:val="004E2762"/>
    <w:rsid w:val="004E2B89"/>
    <w:rsid w:val="004E2DA3"/>
    <w:rsid w:val="004E2DDB"/>
    <w:rsid w:val="004E2F25"/>
    <w:rsid w:val="004E37EC"/>
    <w:rsid w:val="004E391E"/>
    <w:rsid w:val="004E3D39"/>
    <w:rsid w:val="004E418B"/>
    <w:rsid w:val="004E4F85"/>
    <w:rsid w:val="004E4FBC"/>
    <w:rsid w:val="004E506B"/>
    <w:rsid w:val="004E5483"/>
    <w:rsid w:val="004E54AB"/>
    <w:rsid w:val="004E559F"/>
    <w:rsid w:val="004E55D6"/>
    <w:rsid w:val="004E57BD"/>
    <w:rsid w:val="004E5AF7"/>
    <w:rsid w:val="004E6034"/>
    <w:rsid w:val="004E67DB"/>
    <w:rsid w:val="004E692B"/>
    <w:rsid w:val="004E69E9"/>
    <w:rsid w:val="004E6A74"/>
    <w:rsid w:val="004E6F15"/>
    <w:rsid w:val="004E704F"/>
    <w:rsid w:val="004E7592"/>
    <w:rsid w:val="004E78AE"/>
    <w:rsid w:val="004E797E"/>
    <w:rsid w:val="004E7B4E"/>
    <w:rsid w:val="004E7DF6"/>
    <w:rsid w:val="004F05E9"/>
    <w:rsid w:val="004F095B"/>
    <w:rsid w:val="004F12D4"/>
    <w:rsid w:val="004F176E"/>
    <w:rsid w:val="004F1EAD"/>
    <w:rsid w:val="004F26F4"/>
    <w:rsid w:val="004F2C68"/>
    <w:rsid w:val="004F2F24"/>
    <w:rsid w:val="004F35FF"/>
    <w:rsid w:val="004F3911"/>
    <w:rsid w:val="004F3DCC"/>
    <w:rsid w:val="004F3FFF"/>
    <w:rsid w:val="004F4043"/>
    <w:rsid w:val="004F4194"/>
    <w:rsid w:val="004F46F9"/>
    <w:rsid w:val="004F47E1"/>
    <w:rsid w:val="004F48AB"/>
    <w:rsid w:val="004F4AA7"/>
    <w:rsid w:val="004F4B23"/>
    <w:rsid w:val="004F5666"/>
    <w:rsid w:val="004F5BD3"/>
    <w:rsid w:val="004F5DB1"/>
    <w:rsid w:val="004F6012"/>
    <w:rsid w:val="004F6249"/>
    <w:rsid w:val="004F635B"/>
    <w:rsid w:val="004F671F"/>
    <w:rsid w:val="004F677D"/>
    <w:rsid w:val="004F6D57"/>
    <w:rsid w:val="004F6DD4"/>
    <w:rsid w:val="004F75DF"/>
    <w:rsid w:val="004F7797"/>
    <w:rsid w:val="004F787C"/>
    <w:rsid w:val="004F7B9D"/>
    <w:rsid w:val="004F7EC1"/>
    <w:rsid w:val="005003C7"/>
    <w:rsid w:val="005003C8"/>
    <w:rsid w:val="00500575"/>
    <w:rsid w:val="0050064F"/>
    <w:rsid w:val="00500A4F"/>
    <w:rsid w:val="00500A81"/>
    <w:rsid w:val="00500E69"/>
    <w:rsid w:val="0050145F"/>
    <w:rsid w:val="00501816"/>
    <w:rsid w:val="00501F56"/>
    <w:rsid w:val="00502C6C"/>
    <w:rsid w:val="00502CED"/>
    <w:rsid w:val="00502E64"/>
    <w:rsid w:val="005030B4"/>
    <w:rsid w:val="005033B7"/>
    <w:rsid w:val="005034E5"/>
    <w:rsid w:val="00503BD0"/>
    <w:rsid w:val="00503D09"/>
    <w:rsid w:val="00504085"/>
    <w:rsid w:val="00504471"/>
    <w:rsid w:val="00504982"/>
    <w:rsid w:val="005049DE"/>
    <w:rsid w:val="00505131"/>
    <w:rsid w:val="005058EF"/>
    <w:rsid w:val="00506026"/>
    <w:rsid w:val="005062D6"/>
    <w:rsid w:val="005067AA"/>
    <w:rsid w:val="005067F3"/>
    <w:rsid w:val="00506F83"/>
    <w:rsid w:val="00507442"/>
    <w:rsid w:val="0050769A"/>
    <w:rsid w:val="005076B0"/>
    <w:rsid w:val="005076DB"/>
    <w:rsid w:val="00507A24"/>
    <w:rsid w:val="00507B56"/>
    <w:rsid w:val="00510378"/>
    <w:rsid w:val="00510481"/>
    <w:rsid w:val="00510590"/>
    <w:rsid w:val="005106B4"/>
    <w:rsid w:val="0051086B"/>
    <w:rsid w:val="005108DB"/>
    <w:rsid w:val="00510B02"/>
    <w:rsid w:val="00510E94"/>
    <w:rsid w:val="00510EE1"/>
    <w:rsid w:val="00511396"/>
    <w:rsid w:val="005116C1"/>
    <w:rsid w:val="0051175A"/>
    <w:rsid w:val="00511F22"/>
    <w:rsid w:val="00511F83"/>
    <w:rsid w:val="00511FD5"/>
    <w:rsid w:val="00512532"/>
    <w:rsid w:val="00512744"/>
    <w:rsid w:val="005128ED"/>
    <w:rsid w:val="00513012"/>
    <w:rsid w:val="005139B7"/>
    <w:rsid w:val="00513A78"/>
    <w:rsid w:val="00513ACF"/>
    <w:rsid w:val="00513C1D"/>
    <w:rsid w:val="00513D73"/>
    <w:rsid w:val="005140F2"/>
    <w:rsid w:val="00514326"/>
    <w:rsid w:val="00514571"/>
    <w:rsid w:val="00514C47"/>
    <w:rsid w:val="00514D7A"/>
    <w:rsid w:val="00515EA0"/>
    <w:rsid w:val="00515F3C"/>
    <w:rsid w:val="005160C0"/>
    <w:rsid w:val="005165C8"/>
    <w:rsid w:val="0051661F"/>
    <w:rsid w:val="005169A2"/>
    <w:rsid w:val="00516DD6"/>
    <w:rsid w:val="0051773C"/>
    <w:rsid w:val="00517750"/>
    <w:rsid w:val="00517EF8"/>
    <w:rsid w:val="00517FC7"/>
    <w:rsid w:val="0052011B"/>
    <w:rsid w:val="00520656"/>
    <w:rsid w:val="00521180"/>
    <w:rsid w:val="005213FB"/>
    <w:rsid w:val="00521420"/>
    <w:rsid w:val="005214A6"/>
    <w:rsid w:val="0052157C"/>
    <w:rsid w:val="00521720"/>
    <w:rsid w:val="00521B14"/>
    <w:rsid w:val="005224BB"/>
    <w:rsid w:val="005224D8"/>
    <w:rsid w:val="0052286F"/>
    <w:rsid w:val="00522C48"/>
    <w:rsid w:val="00522D2A"/>
    <w:rsid w:val="00522E83"/>
    <w:rsid w:val="00523032"/>
    <w:rsid w:val="0052315D"/>
    <w:rsid w:val="00523178"/>
    <w:rsid w:val="00523E00"/>
    <w:rsid w:val="005240FD"/>
    <w:rsid w:val="00524455"/>
    <w:rsid w:val="00524DB2"/>
    <w:rsid w:val="00524F80"/>
    <w:rsid w:val="005252E2"/>
    <w:rsid w:val="005252FC"/>
    <w:rsid w:val="00525EB7"/>
    <w:rsid w:val="00525F9E"/>
    <w:rsid w:val="0052603D"/>
    <w:rsid w:val="005261BC"/>
    <w:rsid w:val="005269BC"/>
    <w:rsid w:val="00526BA4"/>
    <w:rsid w:val="005273CA"/>
    <w:rsid w:val="005277AB"/>
    <w:rsid w:val="0052788B"/>
    <w:rsid w:val="00527BE5"/>
    <w:rsid w:val="005310AF"/>
    <w:rsid w:val="005313EF"/>
    <w:rsid w:val="005314CA"/>
    <w:rsid w:val="005316F6"/>
    <w:rsid w:val="0053187C"/>
    <w:rsid w:val="00531971"/>
    <w:rsid w:val="00531BCA"/>
    <w:rsid w:val="00531F31"/>
    <w:rsid w:val="005322DC"/>
    <w:rsid w:val="00532417"/>
    <w:rsid w:val="00533120"/>
    <w:rsid w:val="00533147"/>
    <w:rsid w:val="00533563"/>
    <w:rsid w:val="005337D5"/>
    <w:rsid w:val="005338AE"/>
    <w:rsid w:val="00533984"/>
    <w:rsid w:val="005339D2"/>
    <w:rsid w:val="005339D8"/>
    <w:rsid w:val="00533FBC"/>
    <w:rsid w:val="00534005"/>
    <w:rsid w:val="00534561"/>
    <w:rsid w:val="00534666"/>
    <w:rsid w:val="005349DC"/>
    <w:rsid w:val="00534F18"/>
    <w:rsid w:val="00535B9D"/>
    <w:rsid w:val="00535E30"/>
    <w:rsid w:val="00536584"/>
    <w:rsid w:val="0053659E"/>
    <w:rsid w:val="00536A80"/>
    <w:rsid w:val="00536C07"/>
    <w:rsid w:val="00536D6B"/>
    <w:rsid w:val="00536EEA"/>
    <w:rsid w:val="00537418"/>
    <w:rsid w:val="005379CB"/>
    <w:rsid w:val="00537D3C"/>
    <w:rsid w:val="00537D88"/>
    <w:rsid w:val="00537FE3"/>
    <w:rsid w:val="00540418"/>
    <w:rsid w:val="005409FA"/>
    <w:rsid w:val="00540ABF"/>
    <w:rsid w:val="0054141C"/>
    <w:rsid w:val="005415A5"/>
    <w:rsid w:val="005415C2"/>
    <w:rsid w:val="00541ED3"/>
    <w:rsid w:val="0054226A"/>
    <w:rsid w:val="005422FB"/>
    <w:rsid w:val="0054236E"/>
    <w:rsid w:val="005426CF"/>
    <w:rsid w:val="005427DB"/>
    <w:rsid w:val="00542901"/>
    <w:rsid w:val="0054294B"/>
    <w:rsid w:val="00542A53"/>
    <w:rsid w:val="00542F38"/>
    <w:rsid w:val="0054317D"/>
    <w:rsid w:val="005431D3"/>
    <w:rsid w:val="005439E4"/>
    <w:rsid w:val="0054412A"/>
    <w:rsid w:val="00544760"/>
    <w:rsid w:val="00544784"/>
    <w:rsid w:val="00544E06"/>
    <w:rsid w:val="0054514A"/>
    <w:rsid w:val="00545BC7"/>
    <w:rsid w:val="00545BD5"/>
    <w:rsid w:val="00545E1A"/>
    <w:rsid w:val="00545E78"/>
    <w:rsid w:val="00545E92"/>
    <w:rsid w:val="00545F04"/>
    <w:rsid w:val="00546205"/>
    <w:rsid w:val="00546414"/>
    <w:rsid w:val="00547298"/>
    <w:rsid w:val="00547CE2"/>
    <w:rsid w:val="005501D7"/>
    <w:rsid w:val="005504A7"/>
    <w:rsid w:val="00550BB8"/>
    <w:rsid w:val="00550CEE"/>
    <w:rsid w:val="00550F88"/>
    <w:rsid w:val="0055116E"/>
    <w:rsid w:val="0055191D"/>
    <w:rsid w:val="00551CDC"/>
    <w:rsid w:val="00551E29"/>
    <w:rsid w:val="00552361"/>
    <w:rsid w:val="00552A37"/>
    <w:rsid w:val="00552CCA"/>
    <w:rsid w:val="00552F58"/>
    <w:rsid w:val="005535D9"/>
    <w:rsid w:val="00553C49"/>
    <w:rsid w:val="00554359"/>
    <w:rsid w:val="00554B45"/>
    <w:rsid w:val="00554E2D"/>
    <w:rsid w:val="00554ED0"/>
    <w:rsid w:val="00555399"/>
    <w:rsid w:val="005557B4"/>
    <w:rsid w:val="00555A6D"/>
    <w:rsid w:val="00555C55"/>
    <w:rsid w:val="00555DBD"/>
    <w:rsid w:val="0055667A"/>
    <w:rsid w:val="0055693E"/>
    <w:rsid w:val="00556FF6"/>
    <w:rsid w:val="005573A8"/>
    <w:rsid w:val="005575E9"/>
    <w:rsid w:val="00557972"/>
    <w:rsid w:val="00557CEE"/>
    <w:rsid w:val="00560206"/>
    <w:rsid w:val="00560481"/>
    <w:rsid w:val="00560B95"/>
    <w:rsid w:val="005611AA"/>
    <w:rsid w:val="0056142A"/>
    <w:rsid w:val="005616B4"/>
    <w:rsid w:val="005617FB"/>
    <w:rsid w:val="00561917"/>
    <w:rsid w:val="00561D04"/>
    <w:rsid w:val="00561EA2"/>
    <w:rsid w:val="00562122"/>
    <w:rsid w:val="00562EAB"/>
    <w:rsid w:val="005637AB"/>
    <w:rsid w:val="00563B7C"/>
    <w:rsid w:val="00563B9B"/>
    <w:rsid w:val="00563C0E"/>
    <w:rsid w:val="00563E3B"/>
    <w:rsid w:val="0056423F"/>
    <w:rsid w:val="00564A91"/>
    <w:rsid w:val="00564ACC"/>
    <w:rsid w:val="0056503D"/>
    <w:rsid w:val="005650BA"/>
    <w:rsid w:val="005651E0"/>
    <w:rsid w:val="0056521F"/>
    <w:rsid w:val="0056550F"/>
    <w:rsid w:val="0056566B"/>
    <w:rsid w:val="005657AF"/>
    <w:rsid w:val="005658A1"/>
    <w:rsid w:val="005659F8"/>
    <w:rsid w:val="00565BB0"/>
    <w:rsid w:val="00565CB9"/>
    <w:rsid w:val="00565EF6"/>
    <w:rsid w:val="005663A4"/>
    <w:rsid w:val="0056642C"/>
    <w:rsid w:val="00566BF9"/>
    <w:rsid w:val="00566DB7"/>
    <w:rsid w:val="00566E1F"/>
    <w:rsid w:val="00566E51"/>
    <w:rsid w:val="00566E63"/>
    <w:rsid w:val="00567087"/>
    <w:rsid w:val="00567354"/>
    <w:rsid w:val="005673DE"/>
    <w:rsid w:val="00570346"/>
    <w:rsid w:val="005707AD"/>
    <w:rsid w:val="005709F5"/>
    <w:rsid w:val="00570B82"/>
    <w:rsid w:val="005715D0"/>
    <w:rsid w:val="005716BE"/>
    <w:rsid w:val="00571CBC"/>
    <w:rsid w:val="00571F37"/>
    <w:rsid w:val="005723DE"/>
    <w:rsid w:val="0057269A"/>
    <w:rsid w:val="00572DD0"/>
    <w:rsid w:val="005730A7"/>
    <w:rsid w:val="005730B6"/>
    <w:rsid w:val="00573F1B"/>
    <w:rsid w:val="00574A02"/>
    <w:rsid w:val="00574CA1"/>
    <w:rsid w:val="00574DF8"/>
    <w:rsid w:val="0057505B"/>
    <w:rsid w:val="005751CC"/>
    <w:rsid w:val="00576672"/>
    <w:rsid w:val="00576786"/>
    <w:rsid w:val="005767B6"/>
    <w:rsid w:val="00576A6A"/>
    <w:rsid w:val="00576BA5"/>
    <w:rsid w:val="00576BE1"/>
    <w:rsid w:val="0057703B"/>
    <w:rsid w:val="005779CA"/>
    <w:rsid w:val="0058074E"/>
    <w:rsid w:val="00580787"/>
    <w:rsid w:val="00580BA2"/>
    <w:rsid w:val="00580DF2"/>
    <w:rsid w:val="005814DC"/>
    <w:rsid w:val="00581503"/>
    <w:rsid w:val="00581A69"/>
    <w:rsid w:val="00581B8A"/>
    <w:rsid w:val="00581F62"/>
    <w:rsid w:val="00582172"/>
    <w:rsid w:val="0058251D"/>
    <w:rsid w:val="00582938"/>
    <w:rsid w:val="00583484"/>
    <w:rsid w:val="00583503"/>
    <w:rsid w:val="00583837"/>
    <w:rsid w:val="0058445D"/>
    <w:rsid w:val="0058452D"/>
    <w:rsid w:val="00584790"/>
    <w:rsid w:val="005848CF"/>
    <w:rsid w:val="00584D7D"/>
    <w:rsid w:val="00585022"/>
    <w:rsid w:val="00585086"/>
    <w:rsid w:val="00585C71"/>
    <w:rsid w:val="00585D7B"/>
    <w:rsid w:val="00585EC6"/>
    <w:rsid w:val="00586492"/>
    <w:rsid w:val="00586DA2"/>
    <w:rsid w:val="00586F26"/>
    <w:rsid w:val="00587091"/>
    <w:rsid w:val="005876B4"/>
    <w:rsid w:val="00587717"/>
    <w:rsid w:val="00587B07"/>
    <w:rsid w:val="00590804"/>
    <w:rsid w:val="005909B3"/>
    <w:rsid w:val="00590B3D"/>
    <w:rsid w:val="00591672"/>
    <w:rsid w:val="00591BFF"/>
    <w:rsid w:val="00592171"/>
    <w:rsid w:val="0059239C"/>
    <w:rsid w:val="005925B1"/>
    <w:rsid w:val="00593436"/>
    <w:rsid w:val="00593738"/>
    <w:rsid w:val="0059379F"/>
    <w:rsid w:val="00593C74"/>
    <w:rsid w:val="005941F9"/>
    <w:rsid w:val="0059467A"/>
    <w:rsid w:val="005952F0"/>
    <w:rsid w:val="00595506"/>
    <w:rsid w:val="005955F1"/>
    <w:rsid w:val="00595AB5"/>
    <w:rsid w:val="00595B12"/>
    <w:rsid w:val="00595CAE"/>
    <w:rsid w:val="00595D10"/>
    <w:rsid w:val="00595D36"/>
    <w:rsid w:val="00595D95"/>
    <w:rsid w:val="00595DF8"/>
    <w:rsid w:val="005961BA"/>
    <w:rsid w:val="00596768"/>
    <w:rsid w:val="00596893"/>
    <w:rsid w:val="00596ADA"/>
    <w:rsid w:val="00596B43"/>
    <w:rsid w:val="00597642"/>
    <w:rsid w:val="0059775D"/>
    <w:rsid w:val="005977ED"/>
    <w:rsid w:val="00597846"/>
    <w:rsid w:val="00597F50"/>
    <w:rsid w:val="005A0593"/>
    <w:rsid w:val="005A0619"/>
    <w:rsid w:val="005A08DE"/>
    <w:rsid w:val="005A10E6"/>
    <w:rsid w:val="005A1180"/>
    <w:rsid w:val="005A1460"/>
    <w:rsid w:val="005A1770"/>
    <w:rsid w:val="005A2E4F"/>
    <w:rsid w:val="005A2E52"/>
    <w:rsid w:val="005A301B"/>
    <w:rsid w:val="005A3279"/>
    <w:rsid w:val="005A348D"/>
    <w:rsid w:val="005A3AC4"/>
    <w:rsid w:val="005A3D21"/>
    <w:rsid w:val="005A454A"/>
    <w:rsid w:val="005A466D"/>
    <w:rsid w:val="005A4A32"/>
    <w:rsid w:val="005A582D"/>
    <w:rsid w:val="005A5931"/>
    <w:rsid w:val="005A59F7"/>
    <w:rsid w:val="005A5A49"/>
    <w:rsid w:val="005A609F"/>
    <w:rsid w:val="005A64B6"/>
    <w:rsid w:val="005A6A51"/>
    <w:rsid w:val="005A6AA8"/>
    <w:rsid w:val="005A7512"/>
    <w:rsid w:val="005A780D"/>
    <w:rsid w:val="005A784C"/>
    <w:rsid w:val="005A79DE"/>
    <w:rsid w:val="005A7EBB"/>
    <w:rsid w:val="005A7ED5"/>
    <w:rsid w:val="005B116F"/>
    <w:rsid w:val="005B1433"/>
    <w:rsid w:val="005B1526"/>
    <w:rsid w:val="005B1538"/>
    <w:rsid w:val="005B198B"/>
    <w:rsid w:val="005B1A05"/>
    <w:rsid w:val="005B1F00"/>
    <w:rsid w:val="005B2235"/>
    <w:rsid w:val="005B23C4"/>
    <w:rsid w:val="005B24B0"/>
    <w:rsid w:val="005B2501"/>
    <w:rsid w:val="005B2E1B"/>
    <w:rsid w:val="005B3321"/>
    <w:rsid w:val="005B37D8"/>
    <w:rsid w:val="005B3BC5"/>
    <w:rsid w:val="005B5005"/>
    <w:rsid w:val="005B5536"/>
    <w:rsid w:val="005B5794"/>
    <w:rsid w:val="005B5916"/>
    <w:rsid w:val="005B5B70"/>
    <w:rsid w:val="005B5C4A"/>
    <w:rsid w:val="005B618C"/>
    <w:rsid w:val="005B63BF"/>
    <w:rsid w:val="005B63D1"/>
    <w:rsid w:val="005B6C44"/>
    <w:rsid w:val="005B6EE4"/>
    <w:rsid w:val="005B72EF"/>
    <w:rsid w:val="005B75D3"/>
    <w:rsid w:val="005B7A6B"/>
    <w:rsid w:val="005B7B48"/>
    <w:rsid w:val="005B7C96"/>
    <w:rsid w:val="005C030E"/>
    <w:rsid w:val="005C044F"/>
    <w:rsid w:val="005C04D1"/>
    <w:rsid w:val="005C08C7"/>
    <w:rsid w:val="005C0A95"/>
    <w:rsid w:val="005C0BFC"/>
    <w:rsid w:val="005C0E16"/>
    <w:rsid w:val="005C0EEA"/>
    <w:rsid w:val="005C1607"/>
    <w:rsid w:val="005C2044"/>
    <w:rsid w:val="005C24EC"/>
    <w:rsid w:val="005C25FF"/>
    <w:rsid w:val="005C2AC1"/>
    <w:rsid w:val="005C3079"/>
    <w:rsid w:val="005C3160"/>
    <w:rsid w:val="005C31C6"/>
    <w:rsid w:val="005C3472"/>
    <w:rsid w:val="005C3481"/>
    <w:rsid w:val="005C3699"/>
    <w:rsid w:val="005C435D"/>
    <w:rsid w:val="005C440E"/>
    <w:rsid w:val="005C443B"/>
    <w:rsid w:val="005C4C43"/>
    <w:rsid w:val="005C4DD0"/>
    <w:rsid w:val="005C4E0F"/>
    <w:rsid w:val="005C5016"/>
    <w:rsid w:val="005C50CD"/>
    <w:rsid w:val="005C54B1"/>
    <w:rsid w:val="005C5802"/>
    <w:rsid w:val="005C5B50"/>
    <w:rsid w:val="005C66DA"/>
    <w:rsid w:val="005C6EE2"/>
    <w:rsid w:val="005C706B"/>
    <w:rsid w:val="005D06B8"/>
    <w:rsid w:val="005D08F5"/>
    <w:rsid w:val="005D0B29"/>
    <w:rsid w:val="005D0BD6"/>
    <w:rsid w:val="005D13A5"/>
    <w:rsid w:val="005D1723"/>
    <w:rsid w:val="005D17C8"/>
    <w:rsid w:val="005D1B6D"/>
    <w:rsid w:val="005D1D67"/>
    <w:rsid w:val="005D21FE"/>
    <w:rsid w:val="005D26DE"/>
    <w:rsid w:val="005D293B"/>
    <w:rsid w:val="005D2992"/>
    <w:rsid w:val="005D2BF2"/>
    <w:rsid w:val="005D3032"/>
    <w:rsid w:val="005D331A"/>
    <w:rsid w:val="005D38EC"/>
    <w:rsid w:val="005D3B12"/>
    <w:rsid w:val="005D3EB7"/>
    <w:rsid w:val="005D4384"/>
    <w:rsid w:val="005D4815"/>
    <w:rsid w:val="005D4AAE"/>
    <w:rsid w:val="005D4FA4"/>
    <w:rsid w:val="005D5621"/>
    <w:rsid w:val="005D582C"/>
    <w:rsid w:val="005D5F2C"/>
    <w:rsid w:val="005D61C0"/>
    <w:rsid w:val="005D63E9"/>
    <w:rsid w:val="005D642C"/>
    <w:rsid w:val="005D6490"/>
    <w:rsid w:val="005D678E"/>
    <w:rsid w:val="005D682A"/>
    <w:rsid w:val="005D6E57"/>
    <w:rsid w:val="005D7095"/>
    <w:rsid w:val="005D7CF3"/>
    <w:rsid w:val="005D7D5C"/>
    <w:rsid w:val="005D7D94"/>
    <w:rsid w:val="005E006F"/>
    <w:rsid w:val="005E0130"/>
    <w:rsid w:val="005E0210"/>
    <w:rsid w:val="005E02B2"/>
    <w:rsid w:val="005E02D5"/>
    <w:rsid w:val="005E1642"/>
    <w:rsid w:val="005E16D2"/>
    <w:rsid w:val="005E1855"/>
    <w:rsid w:val="005E1957"/>
    <w:rsid w:val="005E1FB2"/>
    <w:rsid w:val="005E2B80"/>
    <w:rsid w:val="005E31FE"/>
    <w:rsid w:val="005E327B"/>
    <w:rsid w:val="005E35CE"/>
    <w:rsid w:val="005E38A8"/>
    <w:rsid w:val="005E3F03"/>
    <w:rsid w:val="005E4AD3"/>
    <w:rsid w:val="005E553B"/>
    <w:rsid w:val="005E5EE9"/>
    <w:rsid w:val="005E6196"/>
    <w:rsid w:val="005E6219"/>
    <w:rsid w:val="005E6631"/>
    <w:rsid w:val="005E6875"/>
    <w:rsid w:val="005E6E52"/>
    <w:rsid w:val="005E70F7"/>
    <w:rsid w:val="005E71B0"/>
    <w:rsid w:val="005E75CE"/>
    <w:rsid w:val="005E7C63"/>
    <w:rsid w:val="005F001C"/>
    <w:rsid w:val="005F0141"/>
    <w:rsid w:val="005F0E46"/>
    <w:rsid w:val="005F0ECD"/>
    <w:rsid w:val="005F0F06"/>
    <w:rsid w:val="005F1080"/>
    <w:rsid w:val="005F19CE"/>
    <w:rsid w:val="005F1D09"/>
    <w:rsid w:val="005F1D98"/>
    <w:rsid w:val="005F2EB4"/>
    <w:rsid w:val="005F303D"/>
    <w:rsid w:val="005F492A"/>
    <w:rsid w:val="005F4B6A"/>
    <w:rsid w:val="005F529A"/>
    <w:rsid w:val="005F539F"/>
    <w:rsid w:val="005F62B6"/>
    <w:rsid w:val="005F6AC2"/>
    <w:rsid w:val="005F706A"/>
    <w:rsid w:val="005F730D"/>
    <w:rsid w:val="005F747C"/>
    <w:rsid w:val="005F7731"/>
    <w:rsid w:val="005F7AF3"/>
    <w:rsid w:val="005F7D1E"/>
    <w:rsid w:val="005F7D50"/>
    <w:rsid w:val="00600D1F"/>
    <w:rsid w:val="00601C24"/>
    <w:rsid w:val="00601FDA"/>
    <w:rsid w:val="0060227F"/>
    <w:rsid w:val="0060253C"/>
    <w:rsid w:val="00602C80"/>
    <w:rsid w:val="00602D06"/>
    <w:rsid w:val="00602FF4"/>
    <w:rsid w:val="00603134"/>
    <w:rsid w:val="00603189"/>
    <w:rsid w:val="00604390"/>
    <w:rsid w:val="0060448B"/>
    <w:rsid w:val="00604B56"/>
    <w:rsid w:val="006057BC"/>
    <w:rsid w:val="0060586B"/>
    <w:rsid w:val="00605CA3"/>
    <w:rsid w:val="00605DB8"/>
    <w:rsid w:val="00605F0D"/>
    <w:rsid w:val="00605F0F"/>
    <w:rsid w:val="00606B62"/>
    <w:rsid w:val="00606D0B"/>
    <w:rsid w:val="0060764F"/>
    <w:rsid w:val="0060782F"/>
    <w:rsid w:val="0060792E"/>
    <w:rsid w:val="00607A74"/>
    <w:rsid w:val="00607A95"/>
    <w:rsid w:val="006105B5"/>
    <w:rsid w:val="006105B9"/>
    <w:rsid w:val="006109F7"/>
    <w:rsid w:val="0061115C"/>
    <w:rsid w:val="00611398"/>
    <w:rsid w:val="006116E2"/>
    <w:rsid w:val="00611795"/>
    <w:rsid w:val="00611952"/>
    <w:rsid w:val="00611B50"/>
    <w:rsid w:val="00611C48"/>
    <w:rsid w:val="00612F13"/>
    <w:rsid w:val="0061323A"/>
    <w:rsid w:val="00613318"/>
    <w:rsid w:val="006133F9"/>
    <w:rsid w:val="006139B0"/>
    <w:rsid w:val="00613D6B"/>
    <w:rsid w:val="00613DE6"/>
    <w:rsid w:val="00613F04"/>
    <w:rsid w:val="0061407F"/>
    <w:rsid w:val="0061432D"/>
    <w:rsid w:val="0061440A"/>
    <w:rsid w:val="00614583"/>
    <w:rsid w:val="006149AA"/>
    <w:rsid w:val="00614BD9"/>
    <w:rsid w:val="00614FD7"/>
    <w:rsid w:val="0061524F"/>
    <w:rsid w:val="006152D7"/>
    <w:rsid w:val="006152F0"/>
    <w:rsid w:val="006155F8"/>
    <w:rsid w:val="00615808"/>
    <w:rsid w:val="00615AAB"/>
    <w:rsid w:val="00615CD1"/>
    <w:rsid w:val="00615E06"/>
    <w:rsid w:val="00615FC5"/>
    <w:rsid w:val="006160FE"/>
    <w:rsid w:val="006161CF"/>
    <w:rsid w:val="006164C0"/>
    <w:rsid w:val="006166DD"/>
    <w:rsid w:val="00616AEA"/>
    <w:rsid w:val="00616D7C"/>
    <w:rsid w:val="00617148"/>
    <w:rsid w:val="0061718E"/>
    <w:rsid w:val="00617644"/>
    <w:rsid w:val="0062033E"/>
    <w:rsid w:val="0062088D"/>
    <w:rsid w:val="006209E7"/>
    <w:rsid w:val="00620A05"/>
    <w:rsid w:val="00620AE6"/>
    <w:rsid w:val="00621208"/>
    <w:rsid w:val="0062142E"/>
    <w:rsid w:val="006217E1"/>
    <w:rsid w:val="00621A9D"/>
    <w:rsid w:val="00621D3B"/>
    <w:rsid w:val="00621E4C"/>
    <w:rsid w:val="006224C7"/>
    <w:rsid w:val="00622507"/>
    <w:rsid w:val="00622817"/>
    <w:rsid w:val="00622EAB"/>
    <w:rsid w:val="00622FA1"/>
    <w:rsid w:val="006232F5"/>
    <w:rsid w:val="006242CE"/>
    <w:rsid w:val="00624418"/>
    <w:rsid w:val="00624557"/>
    <w:rsid w:val="00624FD1"/>
    <w:rsid w:val="006252CC"/>
    <w:rsid w:val="006255BD"/>
    <w:rsid w:val="006257BB"/>
    <w:rsid w:val="006259A1"/>
    <w:rsid w:val="006260E4"/>
    <w:rsid w:val="0062614E"/>
    <w:rsid w:val="00626C98"/>
    <w:rsid w:val="00626D0E"/>
    <w:rsid w:val="00626E8D"/>
    <w:rsid w:val="00626F9D"/>
    <w:rsid w:val="0062790B"/>
    <w:rsid w:val="00627B92"/>
    <w:rsid w:val="00627BE4"/>
    <w:rsid w:val="00630049"/>
    <w:rsid w:val="00630A9F"/>
    <w:rsid w:val="00630B8B"/>
    <w:rsid w:val="00630E38"/>
    <w:rsid w:val="006311FD"/>
    <w:rsid w:val="00631BF6"/>
    <w:rsid w:val="00631E18"/>
    <w:rsid w:val="00631E71"/>
    <w:rsid w:val="00632306"/>
    <w:rsid w:val="00632CF8"/>
    <w:rsid w:val="00632DDE"/>
    <w:rsid w:val="0063322F"/>
    <w:rsid w:val="006334DA"/>
    <w:rsid w:val="006337B8"/>
    <w:rsid w:val="006337D7"/>
    <w:rsid w:val="00633EB6"/>
    <w:rsid w:val="0063420E"/>
    <w:rsid w:val="0063484E"/>
    <w:rsid w:val="006350D3"/>
    <w:rsid w:val="00635129"/>
    <w:rsid w:val="00635ACC"/>
    <w:rsid w:val="00635DBB"/>
    <w:rsid w:val="00635F34"/>
    <w:rsid w:val="00635F9E"/>
    <w:rsid w:val="00636D73"/>
    <w:rsid w:val="00637409"/>
    <w:rsid w:val="006374FC"/>
    <w:rsid w:val="006379AA"/>
    <w:rsid w:val="00637B72"/>
    <w:rsid w:val="00637B8F"/>
    <w:rsid w:val="00637D30"/>
    <w:rsid w:val="006403BD"/>
    <w:rsid w:val="006405FD"/>
    <w:rsid w:val="006406E5"/>
    <w:rsid w:val="00640BB6"/>
    <w:rsid w:val="0064157B"/>
    <w:rsid w:val="006415C1"/>
    <w:rsid w:val="006421C2"/>
    <w:rsid w:val="00642711"/>
    <w:rsid w:val="00642921"/>
    <w:rsid w:val="00642E70"/>
    <w:rsid w:val="0064329F"/>
    <w:rsid w:val="006436FD"/>
    <w:rsid w:val="006437AE"/>
    <w:rsid w:val="00643897"/>
    <w:rsid w:val="00643D14"/>
    <w:rsid w:val="00643E1C"/>
    <w:rsid w:val="00643F01"/>
    <w:rsid w:val="006440AB"/>
    <w:rsid w:val="0064413F"/>
    <w:rsid w:val="0064438D"/>
    <w:rsid w:val="00644508"/>
    <w:rsid w:val="00644802"/>
    <w:rsid w:val="00644CD0"/>
    <w:rsid w:val="00644D65"/>
    <w:rsid w:val="0064543D"/>
    <w:rsid w:val="00645526"/>
    <w:rsid w:val="00645AC4"/>
    <w:rsid w:val="00645BE5"/>
    <w:rsid w:val="00645F71"/>
    <w:rsid w:val="00646248"/>
    <w:rsid w:val="006465CF"/>
    <w:rsid w:val="006466AB"/>
    <w:rsid w:val="006466B3"/>
    <w:rsid w:val="006467F2"/>
    <w:rsid w:val="00646EF5"/>
    <w:rsid w:val="006470F0"/>
    <w:rsid w:val="00647368"/>
    <w:rsid w:val="0065030E"/>
    <w:rsid w:val="0065040D"/>
    <w:rsid w:val="006506C4"/>
    <w:rsid w:val="00650B40"/>
    <w:rsid w:val="00650D84"/>
    <w:rsid w:val="0065129A"/>
    <w:rsid w:val="006513C6"/>
    <w:rsid w:val="00651401"/>
    <w:rsid w:val="00652644"/>
    <w:rsid w:val="006528B1"/>
    <w:rsid w:val="006535D1"/>
    <w:rsid w:val="0065366B"/>
    <w:rsid w:val="00653FFA"/>
    <w:rsid w:val="0065433E"/>
    <w:rsid w:val="00654A19"/>
    <w:rsid w:val="00654AE1"/>
    <w:rsid w:val="00654C19"/>
    <w:rsid w:val="00654C55"/>
    <w:rsid w:val="006550DC"/>
    <w:rsid w:val="0065555A"/>
    <w:rsid w:val="00655595"/>
    <w:rsid w:val="006559EF"/>
    <w:rsid w:val="00655B08"/>
    <w:rsid w:val="00655E8A"/>
    <w:rsid w:val="00655F21"/>
    <w:rsid w:val="0065602C"/>
    <w:rsid w:val="0065673B"/>
    <w:rsid w:val="00656DC7"/>
    <w:rsid w:val="006571CE"/>
    <w:rsid w:val="006577C3"/>
    <w:rsid w:val="006579FF"/>
    <w:rsid w:val="00657C6D"/>
    <w:rsid w:val="00657FCA"/>
    <w:rsid w:val="006604C5"/>
    <w:rsid w:val="00660808"/>
    <w:rsid w:val="00660A08"/>
    <w:rsid w:val="00660C44"/>
    <w:rsid w:val="00660D6D"/>
    <w:rsid w:val="00660DFC"/>
    <w:rsid w:val="00660F02"/>
    <w:rsid w:val="0066120F"/>
    <w:rsid w:val="006617B2"/>
    <w:rsid w:val="00661C5B"/>
    <w:rsid w:val="00662562"/>
    <w:rsid w:val="006625D2"/>
    <w:rsid w:val="00662B4A"/>
    <w:rsid w:val="00662EAE"/>
    <w:rsid w:val="0066325D"/>
    <w:rsid w:val="0066341B"/>
    <w:rsid w:val="00663423"/>
    <w:rsid w:val="0066356C"/>
    <w:rsid w:val="00663585"/>
    <w:rsid w:val="00663781"/>
    <w:rsid w:val="00663885"/>
    <w:rsid w:val="0066389C"/>
    <w:rsid w:val="00663AB1"/>
    <w:rsid w:val="00663B68"/>
    <w:rsid w:val="00663C93"/>
    <w:rsid w:val="00663D64"/>
    <w:rsid w:val="00664113"/>
    <w:rsid w:val="006643AF"/>
    <w:rsid w:val="00664BCB"/>
    <w:rsid w:val="00664C8A"/>
    <w:rsid w:val="00664CF9"/>
    <w:rsid w:val="006651FD"/>
    <w:rsid w:val="00665330"/>
    <w:rsid w:val="0066552A"/>
    <w:rsid w:val="006657EB"/>
    <w:rsid w:val="006658DA"/>
    <w:rsid w:val="00665F61"/>
    <w:rsid w:val="0066680E"/>
    <w:rsid w:val="00666E15"/>
    <w:rsid w:val="0066723F"/>
    <w:rsid w:val="00667432"/>
    <w:rsid w:val="006674DD"/>
    <w:rsid w:val="00667A69"/>
    <w:rsid w:val="00667EB1"/>
    <w:rsid w:val="00667FC0"/>
    <w:rsid w:val="00670134"/>
    <w:rsid w:val="00670135"/>
    <w:rsid w:val="006701E1"/>
    <w:rsid w:val="00670C53"/>
    <w:rsid w:val="00671312"/>
    <w:rsid w:val="00671856"/>
    <w:rsid w:val="00671961"/>
    <w:rsid w:val="00671BE2"/>
    <w:rsid w:val="00671C39"/>
    <w:rsid w:val="00672395"/>
    <w:rsid w:val="00672671"/>
    <w:rsid w:val="00672DF0"/>
    <w:rsid w:val="00673825"/>
    <w:rsid w:val="00673A82"/>
    <w:rsid w:val="00673D6F"/>
    <w:rsid w:val="00673E46"/>
    <w:rsid w:val="00673E77"/>
    <w:rsid w:val="0067414A"/>
    <w:rsid w:val="006745CB"/>
    <w:rsid w:val="006746E9"/>
    <w:rsid w:val="006752F8"/>
    <w:rsid w:val="006760CC"/>
    <w:rsid w:val="00676327"/>
    <w:rsid w:val="006768B8"/>
    <w:rsid w:val="00676C12"/>
    <w:rsid w:val="00676D05"/>
    <w:rsid w:val="006778A9"/>
    <w:rsid w:val="00677A4D"/>
    <w:rsid w:val="00677CAE"/>
    <w:rsid w:val="00677E45"/>
    <w:rsid w:val="00677EA4"/>
    <w:rsid w:val="006806C5"/>
    <w:rsid w:val="00680775"/>
    <w:rsid w:val="00680E3C"/>
    <w:rsid w:val="0068132E"/>
    <w:rsid w:val="0068174F"/>
    <w:rsid w:val="0068207F"/>
    <w:rsid w:val="00682156"/>
    <w:rsid w:val="00682178"/>
    <w:rsid w:val="006826CF"/>
    <w:rsid w:val="00682771"/>
    <w:rsid w:val="00682DC2"/>
    <w:rsid w:val="00682E7A"/>
    <w:rsid w:val="006830C7"/>
    <w:rsid w:val="0068314A"/>
    <w:rsid w:val="006833A7"/>
    <w:rsid w:val="006835B2"/>
    <w:rsid w:val="00683D42"/>
    <w:rsid w:val="00683D98"/>
    <w:rsid w:val="006841DA"/>
    <w:rsid w:val="00684ABC"/>
    <w:rsid w:val="00684B5D"/>
    <w:rsid w:val="006852DD"/>
    <w:rsid w:val="00685BDE"/>
    <w:rsid w:val="00685EAD"/>
    <w:rsid w:val="00686128"/>
    <w:rsid w:val="00686585"/>
    <w:rsid w:val="006866CF"/>
    <w:rsid w:val="00686BEA"/>
    <w:rsid w:val="00686C94"/>
    <w:rsid w:val="00687049"/>
    <w:rsid w:val="006878A6"/>
    <w:rsid w:val="00687D66"/>
    <w:rsid w:val="00690012"/>
    <w:rsid w:val="00690480"/>
    <w:rsid w:val="00690738"/>
    <w:rsid w:val="00690789"/>
    <w:rsid w:val="006909F0"/>
    <w:rsid w:val="00690A1A"/>
    <w:rsid w:val="0069144B"/>
    <w:rsid w:val="006919F2"/>
    <w:rsid w:val="006920F1"/>
    <w:rsid w:val="00692AF2"/>
    <w:rsid w:val="006936F7"/>
    <w:rsid w:val="00693A28"/>
    <w:rsid w:val="00693C17"/>
    <w:rsid w:val="00693ED4"/>
    <w:rsid w:val="00693F2C"/>
    <w:rsid w:val="0069485F"/>
    <w:rsid w:val="006958BB"/>
    <w:rsid w:val="00695CAD"/>
    <w:rsid w:val="00695E42"/>
    <w:rsid w:val="00696601"/>
    <w:rsid w:val="006966FF"/>
    <w:rsid w:val="00696A44"/>
    <w:rsid w:val="00696BF7"/>
    <w:rsid w:val="00697482"/>
    <w:rsid w:val="00697530"/>
    <w:rsid w:val="006978B0"/>
    <w:rsid w:val="00697C15"/>
    <w:rsid w:val="00697DC1"/>
    <w:rsid w:val="006A0B62"/>
    <w:rsid w:val="006A0BC9"/>
    <w:rsid w:val="006A0EA8"/>
    <w:rsid w:val="006A13CA"/>
    <w:rsid w:val="006A13F2"/>
    <w:rsid w:val="006A1685"/>
    <w:rsid w:val="006A1C0C"/>
    <w:rsid w:val="006A1EDC"/>
    <w:rsid w:val="006A22F7"/>
    <w:rsid w:val="006A247D"/>
    <w:rsid w:val="006A2602"/>
    <w:rsid w:val="006A26F0"/>
    <w:rsid w:val="006A2A5A"/>
    <w:rsid w:val="006A303E"/>
    <w:rsid w:val="006A31F1"/>
    <w:rsid w:val="006A32F1"/>
    <w:rsid w:val="006A3A43"/>
    <w:rsid w:val="006A3B32"/>
    <w:rsid w:val="006A3DCD"/>
    <w:rsid w:val="006A3EBF"/>
    <w:rsid w:val="006A4632"/>
    <w:rsid w:val="006A4A5B"/>
    <w:rsid w:val="006A4B92"/>
    <w:rsid w:val="006A565B"/>
    <w:rsid w:val="006A5F96"/>
    <w:rsid w:val="006A6EA4"/>
    <w:rsid w:val="006A75B2"/>
    <w:rsid w:val="006A76C9"/>
    <w:rsid w:val="006A79CF"/>
    <w:rsid w:val="006A7EA9"/>
    <w:rsid w:val="006B02FA"/>
    <w:rsid w:val="006B0DDB"/>
    <w:rsid w:val="006B132B"/>
    <w:rsid w:val="006B173F"/>
    <w:rsid w:val="006B1799"/>
    <w:rsid w:val="006B17BE"/>
    <w:rsid w:val="006B184C"/>
    <w:rsid w:val="006B1A0B"/>
    <w:rsid w:val="006B1D4D"/>
    <w:rsid w:val="006B1E56"/>
    <w:rsid w:val="006B22EE"/>
    <w:rsid w:val="006B2960"/>
    <w:rsid w:val="006B2EB1"/>
    <w:rsid w:val="006B2F0C"/>
    <w:rsid w:val="006B32C0"/>
    <w:rsid w:val="006B3A4B"/>
    <w:rsid w:val="006B41E3"/>
    <w:rsid w:val="006B4537"/>
    <w:rsid w:val="006B466A"/>
    <w:rsid w:val="006B4698"/>
    <w:rsid w:val="006B481B"/>
    <w:rsid w:val="006B49BA"/>
    <w:rsid w:val="006B4A6F"/>
    <w:rsid w:val="006B4BF0"/>
    <w:rsid w:val="006B4DD5"/>
    <w:rsid w:val="006B511B"/>
    <w:rsid w:val="006B5462"/>
    <w:rsid w:val="006B573C"/>
    <w:rsid w:val="006B581A"/>
    <w:rsid w:val="006B60EA"/>
    <w:rsid w:val="006B696E"/>
    <w:rsid w:val="006B6EC3"/>
    <w:rsid w:val="006B74B6"/>
    <w:rsid w:val="006B7626"/>
    <w:rsid w:val="006B76D7"/>
    <w:rsid w:val="006B772E"/>
    <w:rsid w:val="006B78C8"/>
    <w:rsid w:val="006B7E8C"/>
    <w:rsid w:val="006C0008"/>
    <w:rsid w:val="006C00A9"/>
    <w:rsid w:val="006C074C"/>
    <w:rsid w:val="006C07A0"/>
    <w:rsid w:val="006C0869"/>
    <w:rsid w:val="006C0B03"/>
    <w:rsid w:val="006C1206"/>
    <w:rsid w:val="006C12CE"/>
    <w:rsid w:val="006C1647"/>
    <w:rsid w:val="006C1B85"/>
    <w:rsid w:val="006C207D"/>
    <w:rsid w:val="006C2215"/>
    <w:rsid w:val="006C2546"/>
    <w:rsid w:val="006C2814"/>
    <w:rsid w:val="006C28C0"/>
    <w:rsid w:val="006C2B4B"/>
    <w:rsid w:val="006C3157"/>
    <w:rsid w:val="006C33CD"/>
    <w:rsid w:val="006C356C"/>
    <w:rsid w:val="006C3670"/>
    <w:rsid w:val="006C3742"/>
    <w:rsid w:val="006C3A34"/>
    <w:rsid w:val="006C3CC7"/>
    <w:rsid w:val="006C4110"/>
    <w:rsid w:val="006C445C"/>
    <w:rsid w:val="006C455C"/>
    <w:rsid w:val="006C45E0"/>
    <w:rsid w:val="006C48E8"/>
    <w:rsid w:val="006C4B27"/>
    <w:rsid w:val="006C4DAD"/>
    <w:rsid w:val="006C5E78"/>
    <w:rsid w:val="006C6352"/>
    <w:rsid w:val="006C6755"/>
    <w:rsid w:val="006C68A2"/>
    <w:rsid w:val="006C6CA3"/>
    <w:rsid w:val="006C75F2"/>
    <w:rsid w:val="006C76C4"/>
    <w:rsid w:val="006C7912"/>
    <w:rsid w:val="006C7A0E"/>
    <w:rsid w:val="006C7D36"/>
    <w:rsid w:val="006D0C0C"/>
    <w:rsid w:val="006D0CE6"/>
    <w:rsid w:val="006D12C3"/>
    <w:rsid w:val="006D14FF"/>
    <w:rsid w:val="006D18DF"/>
    <w:rsid w:val="006D1D5D"/>
    <w:rsid w:val="006D1ED3"/>
    <w:rsid w:val="006D2160"/>
    <w:rsid w:val="006D2DD4"/>
    <w:rsid w:val="006D2E67"/>
    <w:rsid w:val="006D31F3"/>
    <w:rsid w:val="006D327F"/>
    <w:rsid w:val="006D3596"/>
    <w:rsid w:val="006D37E7"/>
    <w:rsid w:val="006D393C"/>
    <w:rsid w:val="006D417E"/>
    <w:rsid w:val="006D4625"/>
    <w:rsid w:val="006D4723"/>
    <w:rsid w:val="006D484E"/>
    <w:rsid w:val="006D4AAB"/>
    <w:rsid w:val="006D4DCF"/>
    <w:rsid w:val="006D5167"/>
    <w:rsid w:val="006D59E5"/>
    <w:rsid w:val="006D5ACD"/>
    <w:rsid w:val="006D5D58"/>
    <w:rsid w:val="006D5D59"/>
    <w:rsid w:val="006D5FBD"/>
    <w:rsid w:val="006D6121"/>
    <w:rsid w:val="006D626E"/>
    <w:rsid w:val="006D62E1"/>
    <w:rsid w:val="006D682D"/>
    <w:rsid w:val="006D6A69"/>
    <w:rsid w:val="006D6A73"/>
    <w:rsid w:val="006D6B03"/>
    <w:rsid w:val="006D6B1C"/>
    <w:rsid w:val="006D6B9A"/>
    <w:rsid w:val="006D6D02"/>
    <w:rsid w:val="006D6DA0"/>
    <w:rsid w:val="006D72EF"/>
    <w:rsid w:val="006D734E"/>
    <w:rsid w:val="006D77B3"/>
    <w:rsid w:val="006D7947"/>
    <w:rsid w:val="006D7C0A"/>
    <w:rsid w:val="006E0158"/>
    <w:rsid w:val="006E017F"/>
    <w:rsid w:val="006E0236"/>
    <w:rsid w:val="006E028E"/>
    <w:rsid w:val="006E07BD"/>
    <w:rsid w:val="006E10BC"/>
    <w:rsid w:val="006E12F1"/>
    <w:rsid w:val="006E13EE"/>
    <w:rsid w:val="006E1CA3"/>
    <w:rsid w:val="006E2065"/>
    <w:rsid w:val="006E2077"/>
    <w:rsid w:val="006E207D"/>
    <w:rsid w:val="006E21B1"/>
    <w:rsid w:val="006E21DA"/>
    <w:rsid w:val="006E2D0B"/>
    <w:rsid w:val="006E2E3F"/>
    <w:rsid w:val="006E337E"/>
    <w:rsid w:val="006E34B0"/>
    <w:rsid w:val="006E3D82"/>
    <w:rsid w:val="006E3E5C"/>
    <w:rsid w:val="006E3E77"/>
    <w:rsid w:val="006E44E6"/>
    <w:rsid w:val="006E453C"/>
    <w:rsid w:val="006E4905"/>
    <w:rsid w:val="006E4DE9"/>
    <w:rsid w:val="006E54F5"/>
    <w:rsid w:val="006E56AB"/>
    <w:rsid w:val="006E592C"/>
    <w:rsid w:val="006E5B7C"/>
    <w:rsid w:val="006E5C7C"/>
    <w:rsid w:val="006E5C8D"/>
    <w:rsid w:val="006E5D15"/>
    <w:rsid w:val="006E5D7B"/>
    <w:rsid w:val="006E5FA8"/>
    <w:rsid w:val="006E6678"/>
    <w:rsid w:val="006E66FC"/>
    <w:rsid w:val="006E6917"/>
    <w:rsid w:val="006E6DDE"/>
    <w:rsid w:val="006E6E37"/>
    <w:rsid w:val="006E712B"/>
    <w:rsid w:val="006E7215"/>
    <w:rsid w:val="006E7417"/>
    <w:rsid w:val="006E7851"/>
    <w:rsid w:val="006E7A4B"/>
    <w:rsid w:val="006F0576"/>
    <w:rsid w:val="006F05BD"/>
    <w:rsid w:val="006F130F"/>
    <w:rsid w:val="006F13C2"/>
    <w:rsid w:val="006F1465"/>
    <w:rsid w:val="006F16A2"/>
    <w:rsid w:val="006F1BDA"/>
    <w:rsid w:val="006F2302"/>
    <w:rsid w:val="006F2418"/>
    <w:rsid w:val="006F2770"/>
    <w:rsid w:val="006F28F4"/>
    <w:rsid w:val="006F2B8C"/>
    <w:rsid w:val="006F304A"/>
    <w:rsid w:val="006F34BE"/>
    <w:rsid w:val="006F3D29"/>
    <w:rsid w:val="006F4756"/>
    <w:rsid w:val="006F48AB"/>
    <w:rsid w:val="006F5226"/>
    <w:rsid w:val="006F5398"/>
    <w:rsid w:val="006F54BF"/>
    <w:rsid w:val="006F5668"/>
    <w:rsid w:val="006F56D0"/>
    <w:rsid w:val="006F59F3"/>
    <w:rsid w:val="006F5D42"/>
    <w:rsid w:val="006F619F"/>
    <w:rsid w:val="006F6E21"/>
    <w:rsid w:val="006F7252"/>
    <w:rsid w:val="006F771D"/>
    <w:rsid w:val="006F7758"/>
    <w:rsid w:val="006F790E"/>
    <w:rsid w:val="006F7F95"/>
    <w:rsid w:val="0070028E"/>
    <w:rsid w:val="007002CD"/>
    <w:rsid w:val="007002FA"/>
    <w:rsid w:val="00700355"/>
    <w:rsid w:val="00700404"/>
    <w:rsid w:val="00700796"/>
    <w:rsid w:val="007010E5"/>
    <w:rsid w:val="0070127C"/>
    <w:rsid w:val="0070134C"/>
    <w:rsid w:val="007013F4"/>
    <w:rsid w:val="00701466"/>
    <w:rsid w:val="007017AC"/>
    <w:rsid w:val="007018AE"/>
    <w:rsid w:val="0070242A"/>
    <w:rsid w:val="0070255E"/>
    <w:rsid w:val="0070258B"/>
    <w:rsid w:val="007028E7"/>
    <w:rsid w:val="00702CA9"/>
    <w:rsid w:val="00702DD5"/>
    <w:rsid w:val="00703256"/>
    <w:rsid w:val="00703317"/>
    <w:rsid w:val="007033CB"/>
    <w:rsid w:val="007040DE"/>
    <w:rsid w:val="007044C7"/>
    <w:rsid w:val="00704602"/>
    <w:rsid w:val="00704969"/>
    <w:rsid w:val="0070553F"/>
    <w:rsid w:val="0070559E"/>
    <w:rsid w:val="00705649"/>
    <w:rsid w:val="00705833"/>
    <w:rsid w:val="007059CA"/>
    <w:rsid w:val="00705A62"/>
    <w:rsid w:val="007061BF"/>
    <w:rsid w:val="007061D8"/>
    <w:rsid w:val="0070679A"/>
    <w:rsid w:val="007067F1"/>
    <w:rsid w:val="007067F9"/>
    <w:rsid w:val="00706AEF"/>
    <w:rsid w:val="00706E79"/>
    <w:rsid w:val="0070731A"/>
    <w:rsid w:val="007076A0"/>
    <w:rsid w:val="0070785F"/>
    <w:rsid w:val="00707DE1"/>
    <w:rsid w:val="007102FB"/>
    <w:rsid w:val="00710509"/>
    <w:rsid w:val="00710799"/>
    <w:rsid w:val="00710C50"/>
    <w:rsid w:val="00710F9F"/>
    <w:rsid w:val="0071102E"/>
    <w:rsid w:val="0071121D"/>
    <w:rsid w:val="00711317"/>
    <w:rsid w:val="0071152B"/>
    <w:rsid w:val="007115DA"/>
    <w:rsid w:val="00711833"/>
    <w:rsid w:val="00711EA9"/>
    <w:rsid w:val="00712144"/>
    <w:rsid w:val="0071228A"/>
    <w:rsid w:val="00712AF9"/>
    <w:rsid w:val="00712FE2"/>
    <w:rsid w:val="007138D6"/>
    <w:rsid w:val="00713C29"/>
    <w:rsid w:val="00714B40"/>
    <w:rsid w:val="00714BD8"/>
    <w:rsid w:val="0071573C"/>
    <w:rsid w:val="00715FDC"/>
    <w:rsid w:val="00716018"/>
    <w:rsid w:val="00716365"/>
    <w:rsid w:val="007165E2"/>
    <w:rsid w:val="00716827"/>
    <w:rsid w:val="00716EB4"/>
    <w:rsid w:val="00717391"/>
    <w:rsid w:val="0071787E"/>
    <w:rsid w:val="007201A4"/>
    <w:rsid w:val="00720D4B"/>
    <w:rsid w:val="007210F4"/>
    <w:rsid w:val="007211AA"/>
    <w:rsid w:val="00721543"/>
    <w:rsid w:val="007217CD"/>
    <w:rsid w:val="00721840"/>
    <w:rsid w:val="00721E57"/>
    <w:rsid w:val="007220D2"/>
    <w:rsid w:val="0072222C"/>
    <w:rsid w:val="0072264B"/>
    <w:rsid w:val="0072269B"/>
    <w:rsid w:val="00722987"/>
    <w:rsid w:val="00722E9B"/>
    <w:rsid w:val="00722EF3"/>
    <w:rsid w:val="0072306E"/>
    <w:rsid w:val="0072313E"/>
    <w:rsid w:val="007239A7"/>
    <w:rsid w:val="007240E5"/>
    <w:rsid w:val="00725163"/>
    <w:rsid w:val="0072568F"/>
    <w:rsid w:val="00725788"/>
    <w:rsid w:val="00725D58"/>
    <w:rsid w:val="00725FC5"/>
    <w:rsid w:val="0072604A"/>
    <w:rsid w:val="00726648"/>
    <w:rsid w:val="00726D21"/>
    <w:rsid w:val="00727015"/>
    <w:rsid w:val="00727A4D"/>
    <w:rsid w:val="00727EB7"/>
    <w:rsid w:val="007301C2"/>
    <w:rsid w:val="007302E1"/>
    <w:rsid w:val="00730C76"/>
    <w:rsid w:val="00730E7E"/>
    <w:rsid w:val="007314F3"/>
    <w:rsid w:val="0073155F"/>
    <w:rsid w:val="00731566"/>
    <w:rsid w:val="00731A9E"/>
    <w:rsid w:val="00731B5B"/>
    <w:rsid w:val="00731C0E"/>
    <w:rsid w:val="00731DDD"/>
    <w:rsid w:val="00731E86"/>
    <w:rsid w:val="00732839"/>
    <w:rsid w:val="00732C4A"/>
    <w:rsid w:val="00732E8B"/>
    <w:rsid w:val="00733072"/>
    <w:rsid w:val="00733369"/>
    <w:rsid w:val="00733747"/>
    <w:rsid w:val="0073384C"/>
    <w:rsid w:val="00733919"/>
    <w:rsid w:val="0073395B"/>
    <w:rsid w:val="007339FF"/>
    <w:rsid w:val="00733EF7"/>
    <w:rsid w:val="007343E1"/>
    <w:rsid w:val="007343F2"/>
    <w:rsid w:val="007346AC"/>
    <w:rsid w:val="00734E70"/>
    <w:rsid w:val="00734EF9"/>
    <w:rsid w:val="00735155"/>
    <w:rsid w:val="00735710"/>
    <w:rsid w:val="00735E3F"/>
    <w:rsid w:val="00735EDC"/>
    <w:rsid w:val="00735FA2"/>
    <w:rsid w:val="007360DE"/>
    <w:rsid w:val="00736504"/>
    <w:rsid w:val="007365C7"/>
    <w:rsid w:val="00736ACC"/>
    <w:rsid w:val="0073712E"/>
    <w:rsid w:val="007371EC"/>
    <w:rsid w:val="0073751B"/>
    <w:rsid w:val="00737659"/>
    <w:rsid w:val="00737962"/>
    <w:rsid w:val="00737C6F"/>
    <w:rsid w:val="0074007E"/>
    <w:rsid w:val="00740213"/>
    <w:rsid w:val="00740F0E"/>
    <w:rsid w:val="0074166B"/>
    <w:rsid w:val="007416C9"/>
    <w:rsid w:val="00741C33"/>
    <w:rsid w:val="0074250F"/>
    <w:rsid w:val="0074271A"/>
    <w:rsid w:val="007435F0"/>
    <w:rsid w:val="007435FE"/>
    <w:rsid w:val="00743994"/>
    <w:rsid w:val="00743E71"/>
    <w:rsid w:val="00743F6D"/>
    <w:rsid w:val="00744000"/>
    <w:rsid w:val="00744366"/>
    <w:rsid w:val="00744B22"/>
    <w:rsid w:val="00744D53"/>
    <w:rsid w:val="00745504"/>
    <w:rsid w:val="00745601"/>
    <w:rsid w:val="00745A87"/>
    <w:rsid w:val="00745CD6"/>
    <w:rsid w:val="0074613D"/>
    <w:rsid w:val="00746325"/>
    <w:rsid w:val="0074637E"/>
    <w:rsid w:val="007465D6"/>
    <w:rsid w:val="007467ED"/>
    <w:rsid w:val="00747669"/>
    <w:rsid w:val="00747CB3"/>
    <w:rsid w:val="00747FC9"/>
    <w:rsid w:val="007507DD"/>
    <w:rsid w:val="00750A94"/>
    <w:rsid w:val="00750C88"/>
    <w:rsid w:val="00750D1B"/>
    <w:rsid w:val="00750E09"/>
    <w:rsid w:val="0075134B"/>
    <w:rsid w:val="007515A2"/>
    <w:rsid w:val="00751894"/>
    <w:rsid w:val="00751C1A"/>
    <w:rsid w:val="0075203E"/>
    <w:rsid w:val="0075220F"/>
    <w:rsid w:val="007527AE"/>
    <w:rsid w:val="00752A04"/>
    <w:rsid w:val="00752A37"/>
    <w:rsid w:val="0075347E"/>
    <w:rsid w:val="00754188"/>
    <w:rsid w:val="00754268"/>
    <w:rsid w:val="00754467"/>
    <w:rsid w:val="00754760"/>
    <w:rsid w:val="00754991"/>
    <w:rsid w:val="00754F6D"/>
    <w:rsid w:val="007552BF"/>
    <w:rsid w:val="00755575"/>
    <w:rsid w:val="00755826"/>
    <w:rsid w:val="00756592"/>
    <w:rsid w:val="007567C7"/>
    <w:rsid w:val="00756804"/>
    <w:rsid w:val="0075691E"/>
    <w:rsid w:val="00757104"/>
    <w:rsid w:val="00757566"/>
    <w:rsid w:val="00757786"/>
    <w:rsid w:val="00757CF1"/>
    <w:rsid w:val="00757EFE"/>
    <w:rsid w:val="007600C0"/>
    <w:rsid w:val="00760745"/>
    <w:rsid w:val="007607F3"/>
    <w:rsid w:val="007609E6"/>
    <w:rsid w:val="00760ABB"/>
    <w:rsid w:val="00760C7F"/>
    <w:rsid w:val="00760CD9"/>
    <w:rsid w:val="0076110A"/>
    <w:rsid w:val="007614F8"/>
    <w:rsid w:val="00761B2C"/>
    <w:rsid w:val="00761BE4"/>
    <w:rsid w:val="00761EC8"/>
    <w:rsid w:val="0076226D"/>
    <w:rsid w:val="0076285D"/>
    <w:rsid w:val="00762AA2"/>
    <w:rsid w:val="00763168"/>
    <w:rsid w:val="007632EF"/>
    <w:rsid w:val="007634C9"/>
    <w:rsid w:val="00763881"/>
    <w:rsid w:val="007640B2"/>
    <w:rsid w:val="00764152"/>
    <w:rsid w:val="00764647"/>
    <w:rsid w:val="00764668"/>
    <w:rsid w:val="007648E7"/>
    <w:rsid w:val="00764E0A"/>
    <w:rsid w:val="007653A2"/>
    <w:rsid w:val="00765CE9"/>
    <w:rsid w:val="00765E9A"/>
    <w:rsid w:val="00766314"/>
    <w:rsid w:val="00766482"/>
    <w:rsid w:val="0076650D"/>
    <w:rsid w:val="00766A7A"/>
    <w:rsid w:val="00766B3B"/>
    <w:rsid w:val="00766C61"/>
    <w:rsid w:val="00767899"/>
    <w:rsid w:val="00767B6D"/>
    <w:rsid w:val="00767CF7"/>
    <w:rsid w:val="00770428"/>
    <w:rsid w:val="007704FA"/>
    <w:rsid w:val="00770B96"/>
    <w:rsid w:val="00770FAC"/>
    <w:rsid w:val="0077111C"/>
    <w:rsid w:val="0077176B"/>
    <w:rsid w:val="007718E5"/>
    <w:rsid w:val="00771A35"/>
    <w:rsid w:val="00771DC0"/>
    <w:rsid w:val="00771E20"/>
    <w:rsid w:val="00771EF2"/>
    <w:rsid w:val="00772185"/>
    <w:rsid w:val="007721B6"/>
    <w:rsid w:val="007726F0"/>
    <w:rsid w:val="00772C24"/>
    <w:rsid w:val="00772D03"/>
    <w:rsid w:val="00772D07"/>
    <w:rsid w:val="00772E1D"/>
    <w:rsid w:val="00773A6B"/>
    <w:rsid w:val="00773EB4"/>
    <w:rsid w:val="007742A0"/>
    <w:rsid w:val="0077463A"/>
    <w:rsid w:val="00774C08"/>
    <w:rsid w:val="00774ED6"/>
    <w:rsid w:val="0077552D"/>
    <w:rsid w:val="007755B7"/>
    <w:rsid w:val="007759C3"/>
    <w:rsid w:val="007759E6"/>
    <w:rsid w:val="00776406"/>
    <w:rsid w:val="0077684A"/>
    <w:rsid w:val="007768A8"/>
    <w:rsid w:val="007768E3"/>
    <w:rsid w:val="00776DD0"/>
    <w:rsid w:val="00777176"/>
    <w:rsid w:val="00777319"/>
    <w:rsid w:val="007773DD"/>
    <w:rsid w:val="007774B7"/>
    <w:rsid w:val="0077751B"/>
    <w:rsid w:val="0077757F"/>
    <w:rsid w:val="00777675"/>
    <w:rsid w:val="0077774B"/>
    <w:rsid w:val="00777E26"/>
    <w:rsid w:val="00780054"/>
    <w:rsid w:val="00780511"/>
    <w:rsid w:val="00780516"/>
    <w:rsid w:val="007806E7"/>
    <w:rsid w:val="00781686"/>
    <w:rsid w:val="00781721"/>
    <w:rsid w:val="00781CF9"/>
    <w:rsid w:val="00781ED3"/>
    <w:rsid w:val="0078206D"/>
    <w:rsid w:val="0078222C"/>
    <w:rsid w:val="007823DF"/>
    <w:rsid w:val="0078290D"/>
    <w:rsid w:val="0078376D"/>
    <w:rsid w:val="007839D3"/>
    <w:rsid w:val="00783BFA"/>
    <w:rsid w:val="00783F50"/>
    <w:rsid w:val="0078400B"/>
    <w:rsid w:val="007845C0"/>
    <w:rsid w:val="00784A78"/>
    <w:rsid w:val="00784BCE"/>
    <w:rsid w:val="007851DA"/>
    <w:rsid w:val="00785830"/>
    <w:rsid w:val="007858F5"/>
    <w:rsid w:val="00786266"/>
    <w:rsid w:val="007869FA"/>
    <w:rsid w:val="00786B4D"/>
    <w:rsid w:val="00787741"/>
    <w:rsid w:val="00787BC0"/>
    <w:rsid w:val="00787DBC"/>
    <w:rsid w:val="00790267"/>
    <w:rsid w:val="00790391"/>
    <w:rsid w:val="0079045F"/>
    <w:rsid w:val="007906EC"/>
    <w:rsid w:val="00790C68"/>
    <w:rsid w:val="007911EB"/>
    <w:rsid w:val="00791956"/>
    <w:rsid w:val="00791EC7"/>
    <w:rsid w:val="007923EA"/>
    <w:rsid w:val="0079280B"/>
    <w:rsid w:val="00792AA0"/>
    <w:rsid w:val="0079304E"/>
    <w:rsid w:val="0079317F"/>
    <w:rsid w:val="00793225"/>
    <w:rsid w:val="00793585"/>
    <w:rsid w:val="00793694"/>
    <w:rsid w:val="00793703"/>
    <w:rsid w:val="00793D3C"/>
    <w:rsid w:val="00794054"/>
    <w:rsid w:val="007941D5"/>
    <w:rsid w:val="00795073"/>
    <w:rsid w:val="00795134"/>
    <w:rsid w:val="007954A0"/>
    <w:rsid w:val="007956F1"/>
    <w:rsid w:val="007957C6"/>
    <w:rsid w:val="007959E4"/>
    <w:rsid w:val="00795A44"/>
    <w:rsid w:val="00795EB0"/>
    <w:rsid w:val="00795EDC"/>
    <w:rsid w:val="00795FA7"/>
    <w:rsid w:val="00796C4F"/>
    <w:rsid w:val="0079797A"/>
    <w:rsid w:val="00797A32"/>
    <w:rsid w:val="00797D92"/>
    <w:rsid w:val="00797DC9"/>
    <w:rsid w:val="00797E8A"/>
    <w:rsid w:val="007A068F"/>
    <w:rsid w:val="007A08BB"/>
    <w:rsid w:val="007A0D08"/>
    <w:rsid w:val="007A1637"/>
    <w:rsid w:val="007A1A87"/>
    <w:rsid w:val="007A1A8E"/>
    <w:rsid w:val="007A1CA3"/>
    <w:rsid w:val="007A2D92"/>
    <w:rsid w:val="007A3945"/>
    <w:rsid w:val="007A3D18"/>
    <w:rsid w:val="007A3DE3"/>
    <w:rsid w:val="007A3EBF"/>
    <w:rsid w:val="007A4199"/>
    <w:rsid w:val="007A477F"/>
    <w:rsid w:val="007A47D9"/>
    <w:rsid w:val="007A4E90"/>
    <w:rsid w:val="007A4FF3"/>
    <w:rsid w:val="007A5065"/>
    <w:rsid w:val="007A59F5"/>
    <w:rsid w:val="007A5E6A"/>
    <w:rsid w:val="007A6189"/>
    <w:rsid w:val="007A6262"/>
    <w:rsid w:val="007A67FF"/>
    <w:rsid w:val="007A6CF6"/>
    <w:rsid w:val="007A70E5"/>
    <w:rsid w:val="007A748C"/>
    <w:rsid w:val="007A75D0"/>
    <w:rsid w:val="007A7B92"/>
    <w:rsid w:val="007A7BA5"/>
    <w:rsid w:val="007A7F8E"/>
    <w:rsid w:val="007B014B"/>
    <w:rsid w:val="007B0795"/>
    <w:rsid w:val="007B0874"/>
    <w:rsid w:val="007B0940"/>
    <w:rsid w:val="007B095A"/>
    <w:rsid w:val="007B0F37"/>
    <w:rsid w:val="007B1D59"/>
    <w:rsid w:val="007B1F4D"/>
    <w:rsid w:val="007B2493"/>
    <w:rsid w:val="007B265F"/>
    <w:rsid w:val="007B29FE"/>
    <w:rsid w:val="007B3170"/>
    <w:rsid w:val="007B3386"/>
    <w:rsid w:val="007B33C1"/>
    <w:rsid w:val="007B3490"/>
    <w:rsid w:val="007B3C67"/>
    <w:rsid w:val="007B4248"/>
    <w:rsid w:val="007B470F"/>
    <w:rsid w:val="007B506D"/>
    <w:rsid w:val="007B5439"/>
    <w:rsid w:val="007B6395"/>
    <w:rsid w:val="007B677E"/>
    <w:rsid w:val="007B694C"/>
    <w:rsid w:val="007B6AA3"/>
    <w:rsid w:val="007B7C52"/>
    <w:rsid w:val="007B7D03"/>
    <w:rsid w:val="007C08ED"/>
    <w:rsid w:val="007C0B3E"/>
    <w:rsid w:val="007C0C78"/>
    <w:rsid w:val="007C0C9B"/>
    <w:rsid w:val="007C147D"/>
    <w:rsid w:val="007C17CD"/>
    <w:rsid w:val="007C1AF0"/>
    <w:rsid w:val="007C1CEA"/>
    <w:rsid w:val="007C230B"/>
    <w:rsid w:val="007C23A8"/>
    <w:rsid w:val="007C2B51"/>
    <w:rsid w:val="007C2B63"/>
    <w:rsid w:val="007C2C6D"/>
    <w:rsid w:val="007C3406"/>
    <w:rsid w:val="007C34BC"/>
    <w:rsid w:val="007C360F"/>
    <w:rsid w:val="007C43AE"/>
    <w:rsid w:val="007C4A62"/>
    <w:rsid w:val="007C4B47"/>
    <w:rsid w:val="007C510F"/>
    <w:rsid w:val="007C5A24"/>
    <w:rsid w:val="007C5B65"/>
    <w:rsid w:val="007C5F14"/>
    <w:rsid w:val="007C600A"/>
    <w:rsid w:val="007C6545"/>
    <w:rsid w:val="007C6E40"/>
    <w:rsid w:val="007C7593"/>
    <w:rsid w:val="007C7902"/>
    <w:rsid w:val="007C7B2B"/>
    <w:rsid w:val="007C7B4B"/>
    <w:rsid w:val="007C7FB9"/>
    <w:rsid w:val="007D0836"/>
    <w:rsid w:val="007D0CF5"/>
    <w:rsid w:val="007D0DDF"/>
    <w:rsid w:val="007D0EBF"/>
    <w:rsid w:val="007D1050"/>
    <w:rsid w:val="007D16F8"/>
    <w:rsid w:val="007D19E0"/>
    <w:rsid w:val="007D1A5E"/>
    <w:rsid w:val="007D2118"/>
    <w:rsid w:val="007D215F"/>
    <w:rsid w:val="007D22C9"/>
    <w:rsid w:val="007D261C"/>
    <w:rsid w:val="007D264F"/>
    <w:rsid w:val="007D2F3C"/>
    <w:rsid w:val="007D3037"/>
    <w:rsid w:val="007D3350"/>
    <w:rsid w:val="007D34B3"/>
    <w:rsid w:val="007D3693"/>
    <w:rsid w:val="007D38ED"/>
    <w:rsid w:val="007D3B9C"/>
    <w:rsid w:val="007D3CCE"/>
    <w:rsid w:val="007D3E6C"/>
    <w:rsid w:val="007D4218"/>
    <w:rsid w:val="007D4904"/>
    <w:rsid w:val="007D4CE2"/>
    <w:rsid w:val="007D4CEC"/>
    <w:rsid w:val="007D5077"/>
    <w:rsid w:val="007D52DF"/>
    <w:rsid w:val="007D5450"/>
    <w:rsid w:val="007D5633"/>
    <w:rsid w:val="007D5982"/>
    <w:rsid w:val="007D5C1B"/>
    <w:rsid w:val="007D5E51"/>
    <w:rsid w:val="007D639C"/>
    <w:rsid w:val="007D6F7C"/>
    <w:rsid w:val="007D71BC"/>
    <w:rsid w:val="007D7A90"/>
    <w:rsid w:val="007E0054"/>
    <w:rsid w:val="007E006B"/>
    <w:rsid w:val="007E02B0"/>
    <w:rsid w:val="007E0316"/>
    <w:rsid w:val="007E0416"/>
    <w:rsid w:val="007E05D4"/>
    <w:rsid w:val="007E05E5"/>
    <w:rsid w:val="007E0671"/>
    <w:rsid w:val="007E08B0"/>
    <w:rsid w:val="007E0B15"/>
    <w:rsid w:val="007E136C"/>
    <w:rsid w:val="007E1499"/>
    <w:rsid w:val="007E17BC"/>
    <w:rsid w:val="007E2703"/>
    <w:rsid w:val="007E2899"/>
    <w:rsid w:val="007E2948"/>
    <w:rsid w:val="007E2BE4"/>
    <w:rsid w:val="007E3419"/>
    <w:rsid w:val="007E351F"/>
    <w:rsid w:val="007E3639"/>
    <w:rsid w:val="007E3697"/>
    <w:rsid w:val="007E3797"/>
    <w:rsid w:val="007E392A"/>
    <w:rsid w:val="007E3C66"/>
    <w:rsid w:val="007E41F8"/>
    <w:rsid w:val="007E4340"/>
    <w:rsid w:val="007E45FA"/>
    <w:rsid w:val="007E4D1B"/>
    <w:rsid w:val="007E4D92"/>
    <w:rsid w:val="007E4FBB"/>
    <w:rsid w:val="007E521E"/>
    <w:rsid w:val="007E55D5"/>
    <w:rsid w:val="007E58D0"/>
    <w:rsid w:val="007E5E10"/>
    <w:rsid w:val="007E602E"/>
    <w:rsid w:val="007E69F2"/>
    <w:rsid w:val="007E6ED3"/>
    <w:rsid w:val="007E770B"/>
    <w:rsid w:val="007E78A8"/>
    <w:rsid w:val="007F024C"/>
    <w:rsid w:val="007F0645"/>
    <w:rsid w:val="007F0D19"/>
    <w:rsid w:val="007F0E1C"/>
    <w:rsid w:val="007F10F7"/>
    <w:rsid w:val="007F13F6"/>
    <w:rsid w:val="007F14A1"/>
    <w:rsid w:val="007F14D2"/>
    <w:rsid w:val="007F178D"/>
    <w:rsid w:val="007F1B11"/>
    <w:rsid w:val="007F240E"/>
    <w:rsid w:val="007F29BC"/>
    <w:rsid w:val="007F2A61"/>
    <w:rsid w:val="007F317F"/>
    <w:rsid w:val="007F33D8"/>
    <w:rsid w:val="007F348D"/>
    <w:rsid w:val="007F3921"/>
    <w:rsid w:val="007F3956"/>
    <w:rsid w:val="007F3F12"/>
    <w:rsid w:val="007F42C0"/>
    <w:rsid w:val="007F471D"/>
    <w:rsid w:val="007F4789"/>
    <w:rsid w:val="007F4845"/>
    <w:rsid w:val="007F48CA"/>
    <w:rsid w:val="007F5516"/>
    <w:rsid w:val="007F553F"/>
    <w:rsid w:val="007F55D6"/>
    <w:rsid w:val="007F55FC"/>
    <w:rsid w:val="007F56FB"/>
    <w:rsid w:val="007F63C2"/>
    <w:rsid w:val="007F6A11"/>
    <w:rsid w:val="007F77F8"/>
    <w:rsid w:val="007F78D6"/>
    <w:rsid w:val="007F7982"/>
    <w:rsid w:val="00800287"/>
    <w:rsid w:val="00800834"/>
    <w:rsid w:val="0080089B"/>
    <w:rsid w:val="00801AB7"/>
    <w:rsid w:val="00801D4C"/>
    <w:rsid w:val="00802042"/>
    <w:rsid w:val="008021AD"/>
    <w:rsid w:val="0080268E"/>
    <w:rsid w:val="00802732"/>
    <w:rsid w:val="008027BA"/>
    <w:rsid w:val="0080344F"/>
    <w:rsid w:val="008034C3"/>
    <w:rsid w:val="00804A15"/>
    <w:rsid w:val="00805499"/>
    <w:rsid w:val="008054E7"/>
    <w:rsid w:val="00805933"/>
    <w:rsid w:val="00805C31"/>
    <w:rsid w:val="00805DD4"/>
    <w:rsid w:val="0080632E"/>
    <w:rsid w:val="00806417"/>
    <w:rsid w:val="008070BA"/>
    <w:rsid w:val="008073F4"/>
    <w:rsid w:val="008078A1"/>
    <w:rsid w:val="00807A3D"/>
    <w:rsid w:val="00807B75"/>
    <w:rsid w:val="00807F07"/>
    <w:rsid w:val="00807F6E"/>
    <w:rsid w:val="00810546"/>
    <w:rsid w:val="008108A6"/>
    <w:rsid w:val="00810FD7"/>
    <w:rsid w:val="0081104B"/>
    <w:rsid w:val="008114D7"/>
    <w:rsid w:val="008114E3"/>
    <w:rsid w:val="00811535"/>
    <w:rsid w:val="0081154F"/>
    <w:rsid w:val="00811678"/>
    <w:rsid w:val="0081176A"/>
    <w:rsid w:val="00811ABB"/>
    <w:rsid w:val="00811C4C"/>
    <w:rsid w:val="0081241E"/>
    <w:rsid w:val="0081244A"/>
    <w:rsid w:val="008124FB"/>
    <w:rsid w:val="008129CF"/>
    <w:rsid w:val="00813838"/>
    <w:rsid w:val="00813AA2"/>
    <w:rsid w:val="00813CC3"/>
    <w:rsid w:val="0081410F"/>
    <w:rsid w:val="00814330"/>
    <w:rsid w:val="00814470"/>
    <w:rsid w:val="00814BB5"/>
    <w:rsid w:val="0081522E"/>
    <w:rsid w:val="008153C0"/>
    <w:rsid w:val="00815672"/>
    <w:rsid w:val="008157C5"/>
    <w:rsid w:val="008159DB"/>
    <w:rsid w:val="00815BD0"/>
    <w:rsid w:val="00815CDE"/>
    <w:rsid w:val="0081614C"/>
    <w:rsid w:val="00816162"/>
    <w:rsid w:val="00816580"/>
    <w:rsid w:val="00816983"/>
    <w:rsid w:val="00816E01"/>
    <w:rsid w:val="00816E1F"/>
    <w:rsid w:val="00816F60"/>
    <w:rsid w:val="00816FA7"/>
    <w:rsid w:val="00817515"/>
    <w:rsid w:val="00817A78"/>
    <w:rsid w:val="00817ED8"/>
    <w:rsid w:val="00817EFB"/>
    <w:rsid w:val="00820C2F"/>
    <w:rsid w:val="00821C31"/>
    <w:rsid w:val="00821EE7"/>
    <w:rsid w:val="00822AA3"/>
    <w:rsid w:val="00822F99"/>
    <w:rsid w:val="00823347"/>
    <w:rsid w:val="008233B0"/>
    <w:rsid w:val="0082348D"/>
    <w:rsid w:val="00823F61"/>
    <w:rsid w:val="00824442"/>
    <w:rsid w:val="00825068"/>
    <w:rsid w:val="008251F7"/>
    <w:rsid w:val="00825EDB"/>
    <w:rsid w:val="00826464"/>
    <w:rsid w:val="008266D8"/>
    <w:rsid w:val="00826A06"/>
    <w:rsid w:val="00826B8F"/>
    <w:rsid w:val="0082702F"/>
    <w:rsid w:val="00827F34"/>
    <w:rsid w:val="008301BB"/>
    <w:rsid w:val="008302BD"/>
    <w:rsid w:val="0083036D"/>
    <w:rsid w:val="008303F5"/>
    <w:rsid w:val="008306C3"/>
    <w:rsid w:val="00830846"/>
    <w:rsid w:val="00830EDC"/>
    <w:rsid w:val="008316EA"/>
    <w:rsid w:val="0083214D"/>
    <w:rsid w:val="008323D0"/>
    <w:rsid w:val="00832610"/>
    <w:rsid w:val="00832712"/>
    <w:rsid w:val="008332F1"/>
    <w:rsid w:val="00835694"/>
    <w:rsid w:val="00835D16"/>
    <w:rsid w:val="00835E9E"/>
    <w:rsid w:val="008367AE"/>
    <w:rsid w:val="00836C7E"/>
    <w:rsid w:val="00836DD1"/>
    <w:rsid w:val="00837120"/>
    <w:rsid w:val="00837B55"/>
    <w:rsid w:val="008403C9"/>
    <w:rsid w:val="0084057A"/>
    <w:rsid w:val="00840AF2"/>
    <w:rsid w:val="0084174B"/>
    <w:rsid w:val="008417E9"/>
    <w:rsid w:val="00841865"/>
    <w:rsid w:val="0084197A"/>
    <w:rsid w:val="00841CBE"/>
    <w:rsid w:val="00841F04"/>
    <w:rsid w:val="008424B8"/>
    <w:rsid w:val="00842F35"/>
    <w:rsid w:val="0084332D"/>
    <w:rsid w:val="00843CC8"/>
    <w:rsid w:val="00843DBB"/>
    <w:rsid w:val="00844148"/>
    <w:rsid w:val="0084418C"/>
    <w:rsid w:val="008444A7"/>
    <w:rsid w:val="008451F8"/>
    <w:rsid w:val="008457F7"/>
    <w:rsid w:val="00845ECC"/>
    <w:rsid w:val="00846135"/>
    <w:rsid w:val="00846896"/>
    <w:rsid w:val="008469DE"/>
    <w:rsid w:val="0084749C"/>
    <w:rsid w:val="00847B1F"/>
    <w:rsid w:val="00847C25"/>
    <w:rsid w:val="00847F55"/>
    <w:rsid w:val="00850DCC"/>
    <w:rsid w:val="00850DDE"/>
    <w:rsid w:val="00850E44"/>
    <w:rsid w:val="00850F86"/>
    <w:rsid w:val="008514AB"/>
    <w:rsid w:val="00851BFE"/>
    <w:rsid w:val="00851F75"/>
    <w:rsid w:val="00852074"/>
    <w:rsid w:val="00852620"/>
    <w:rsid w:val="008528D8"/>
    <w:rsid w:val="00852952"/>
    <w:rsid w:val="0085299A"/>
    <w:rsid w:val="008529C4"/>
    <w:rsid w:val="0085372E"/>
    <w:rsid w:val="00853999"/>
    <w:rsid w:val="00853B18"/>
    <w:rsid w:val="00853C4A"/>
    <w:rsid w:val="00853DFC"/>
    <w:rsid w:val="00854045"/>
    <w:rsid w:val="008549B0"/>
    <w:rsid w:val="00855813"/>
    <w:rsid w:val="008558C9"/>
    <w:rsid w:val="00856241"/>
    <w:rsid w:val="0085632C"/>
    <w:rsid w:val="008563F7"/>
    <w:rsid w:val="0085670A"/>
    <w:rsid w:val="0085678B"/>
    <w:rsid w:val="00856C82"/>
    <w:rsid w:val="0085738E"/>
    <w:rsid w:val="00857529"/>
    <w:rsid w:val="0086026B"/>
    <w:rsid w:val="008606C0"/>
    <w:rsid w:val="008613A9"/>
    <w:rsid w:val="00861523"/>
    <w:rsid w:val="0086188F"/>
    <w:rsid w:val="00862090"/>
    <w:rsid w:val="00862172"/>
    <w:rsid w:val="008622A2"/>
    <w:rsid w:val="0086254C"/>
    <w:rsid w:val="008625E5"/>
    <w:rsid w:val="008627A7"/>
    <w:rsid w:val="00862B6F"/>
    <w:rsid w:val="00862F99"/>
    <w:rsid w:val="008636AB"/>
    <w:rsid w:val="00863E89"/>
    <w:rsid w:val="00863E9C"/>
    <w:rsid w:val="00863F21"/>
    <w:rsid w:val="00864308"/>
    <w:rsid w:val="008643A7"/>
    <w:rsid w:val="0086446B"/>
    <w:rsid w:val="00864D1C"/>
    <w:rsid w:val="00865041"/>
    <w:rsid w:val="00865155"/>
    <w:rsid w:val="00865528"/>
    <w:rsid w:val="0086560C"/>
    <w:rsid w:val="00865964"/>
    <w:rsid w:val="00865C27"/>
    <w:rsid w:val="00865C98"/>
    <w:rsid w:val="008660CC"/>
    <w:rsid w:val="0086690A"/>
    <w:rsid w:val="0086699F"/>
    <w:rsid w:val="00867999"/>
    <w:rsid w:val="008679BA"/>
    <w:rsid w:val="00867C7F"/>
    <w:rsid w:val="00867C99"/>
    <w:rsid w:val="00867EDB"/>
    <w:rsid w:val="0087003C"/>
    <w:rsid w:val="00870414"/>
    <w:rsid w:val="0087064D"/>
    <w:rsid w:val="00871524"/>
    <w:rsid w:val="0087191F"/>
    <w:rsid w:val="00871AF0"/>
    <w:rsid w:val="008720F8"/>
    <w:rsid w:val="008724EF"/>
    <w:rsid w:val="00872888"/>
    <w:rsid w:val="00872F26"/>
    <w:rsid w:val="0087300A"/>
    <w:rsid w:val="00873103"/>
    <w:rsid w:val="00873123"/>
    <w:rsid w:val="00873C72"/>
    <w:rsid w:val="00873F96"/>
    <w:rsid w:val="0087454D"/>
    <w:rsid w:val="0087462C"/>
    <w:rsid w:val="008748D4"/>
    <w:rsid w:val="00874E5E"/>
    <w:rsid w:val="00875178"/>
    <w:rsid w:val="00875231"/>
    <w:rsid w:val="0087553B"/>
    <w:rsid w:val="008756A5"/>
    <w:rsid w:val="008758D0"/>
    <w:rsid w:val="00876107"/>
    <w:rsid w:val="00876E30"/>
    <w:rsid w:val="008773B9"/>
    <w:rsid w:val="00877B88"/>
    <w:rsid w:val="00877EE5"/>
    <w:rsid w:val="00880818"/>
    <w:rsid w:val="00880EBC"/>
    <w:rsid w:val="008815BF"/>
    <w:rsid w:val="0088160F"/>
    <w:rsid w:val="00881736"/>
    <w:rsid w:val="008818C1"/>
    <w:rsid w:val="00881AFE"/>
    <w:rsid w:val="0088204F"/>
    <w:rsid w:val="00882861"/>
    <w:rsid w:val="00882BE2"/>
    <w:rsid w:val="00882D06"/>
    <w:rsid w:val="00883214"/>
    <w:rsid w:val="00883653"/>
    <w:rsid w:val="008836F9"/>
    <w:rsid w:val="00883886"/>
    <w:rsid w:val="008839A7"/>
    <w:rsid w:val="00883C1A"/>
    <w:rsid w:val="00884171"/>
    <w:rsid w:val="00884BFD"/>
    <w:rsid w:val="00884E3E"/>
    <w:rsid w:val="00884ED6"/>
    <w:rsid w:val="008851CD"/>
    <w:rsid w:val="0088551A"/>
    <w:rsid w:val="0088567E"/>
    <w:rsid w:val="008856F3"/>
    <w:rsid w:val="00885F18"/>
    <w:rsid w:val="00885F7C"/>
    <w:rsid w:val="008867AD"/>
    <w:rsid w:val="008868BF"/>
    <w:rsid w:val="00886BEE"/>
    <w:rsid w:val="00886D5E"/>
    <w:rsid w:val="008875F0"/>
    <w:rsid w:val="0089043E"/>
    <w:rsid w:val="00890C6E"/>
    <w:rsid w:val="008911AE"/>
    <w:rsid w:val="00891A96"/>
    <w:rsid w:val="00891F7D"/>
    <w:rsid w:val="00892673"/>
    <w:rsid w:val="008926BB"/>
    <w:rsid w:val="00892901"/>
    <w:rsid w:val="00892A8E"/>
    <w:rsid w:val="00892D21"/>
    <w:rsid w:val="00892EAF"/>
    <w:rsid w:val="00893028"/>
    <w:rsid w:val="008932AC"/>
    <w:rsid w:val="00893370"/>
    <w:rsid w:val="0089344C"/>
    <w:rsid w:val="00893533"/>
    <w:rsid w:val="0089353F"/>
    <w:rsid w:val="008943F7"/>
    <w:rsid w:val="00894BF4"/>
    <w:rsid w:val="00894CE7"/>
    <w:rsid w:val="0089529C"/>
    <w:rsid w:val="0089534C"/>
    <w:rsid w:val="0089586E"/>
    <w:rsid w:val="00895A68"/>
    <w:rsid w:val="0089624F"/>
    <w:rsid w:val="008964AA"/>
    <w:rsid w:val="008965A9"/>
    <w:rsid w:val="008966B5"/>
    <w:rsid w:val="00896725"/>
    <w:rsid w:val="00896765"/>
    <w:rsid w:val="00896779"/>
    <w:rsid w:val="00896B0C"/>
    <w:rsid w:val="00896C4A"/>
    <w:rsid w:val="00897B6F"/>
    <w:rsid w:val="00897E7F"/>
    <w:rsid w:val="00897FA9"/>
    <w:rsid w:val="008A016C"/>
    <w:rsid w:val="008A03F9"/>
    <w:rsid w:val="008A044A"/>
    <w:rsid w:val="008A0B64"/>
    <w:rsid w:val="008A0DE7"/>
    <w:rsid w:val="008A119C"/>
    <w:rsid w:val="008A1A50"/>
    <w:rsid w:val="008A2325"/>
    <w:rsid w:val="008A28A3"/>
    <w:rsid w:val="008A2F7D"/>
    <w:rsid w:val="008A32D8"/>
    <w:rsid w:val="008A38AA"/>
    <w:rsid w:val="008A3B32"/>
    <w:rsid w:val="008A3C2F"/>
    <w:rsid w:val="008A41A7"/>
    <w:rsid w:val="008A45D7"/>
    <w:rsid w:val="008A4669"/>
    <w:rsid w:val="008A4675"/>
    <w:rsid w:val="008A48BE"/>
    <w:rsid w:val="008A4901"/>
    <w:rsid w:val="008A4C4D"/>
    <w:rsid w:val="008A4E2B"/>
    <w:rsid w:val="008A550F"/>
    <w:rsid w:val="008A57AA"/>
    <w:rsid w:val="008A596C"/>
    <w:rsid w:val="008A59EE"/>
    <w:rsid w:val="008A6089"/>
    <w:rsid w:val="008A636C"/>
    <w:rsid w:val="008A66AA"/>
    <w:rsid w:val="008A6D1D"/>
    <w:rsid w:val="008A6FC6"/>
    <w:rsid w:val="008A71E4"/>
    <w:rsid w:val="008A7755"/>
    <w:rsid w:val="008A7B6D"/>
    <w:rsid w:val="008A7FB3"/>
    <w:rsid w:val="008A7FDC"/>
    <w:rsid w:val="008B0129"/>
    <w:rsid w:val="008B0324"/>
    <w:rsid w:val="008B0997"/>
    <w:rsid w:val="008B0A7F"/>
    <w:rsid w:val="008B0AA0"/>
    <w:rsid w:val="008B0EAA"/>
    <w:rsid w:val="008B108F"/>
    <w:rsid w:val="008B12A9"/>
    <w:rsid w:val="008B147D"/>
    <w:rsid w:val="008B150A"/>
    <w:rsid w:val="008B17F7"/>
    <w:rsid w:val="008B1A44"/>
    <w:rsid w:val="008B206F"/>
    <w:rsid w:val="008B2618"/>
    <w:rsid w:val="008B2CC6"/>
    <w:rsid w:val="008B2D9A"/>
    <w:rsid w:val="008B2DB1"/>
    <w:rsid w:val="008B3290"/>
    <w:rsid w:val="008B3F42"/>
    <w:rsid w:val="008B418F"/>
    <w:rsid w:val="008B4519"/>
    <w:rsid w:val="008B47AD"/>
    <w:rsid w:val="008B4A04"/>
    <w:rsid w:val="008B51A6"/>
    <w:rsid w:val="008B558B"/>
    <w:rsid w:val="008B59F4"/>
    <w:rsid w:val="008B5CF5"/>
    <w:rsid w:val="008B5F5A"/>
    <w:rsid w:val="008B6043"/>
    <w:rsid w:val="008B6458"/>
    <w:rsid w:val="008B64EC"/>
    <w:rsid w:val="008B66D5"/>
    <w:rsid w:val="008B6C3D"/>
    <w:rsid w:val="008B6DC8"/>
    <w:rsid w:val="008B763F"/>
    <w:rsid w:val="008B76F8"/>
    <w:rsid w:val="008B7BEE"/>
    <w:rsid w:val="008C0109"/>
    <w:rsid w:val="008C0329"/>
    <w:rsid w:val="008C0DB3"/>
    <w:rsid w:val="008C0ECC"/>
    <w:rsid w:val="008C143F"/>
    <w:rsid w:val="008C1546"/>
    <w:rsid w:val="008C18DF"/>
    <w:rsid w:val="008C1BE4"/>
    <w:rsid w:val="008C1D3C"/>
    <w:rsid w:val="008C27ED"/>
    <w:rsid w:val="008C2A23"/>
    <w:rsid w:val="008C2D59"/>
    <w:rsid w:val="008C3294"/>
    <w:rsid w:val="008C37BF"/>
    <w:rsid w:val="008C3D5A"/>
    <w:rsid w:val="008C427E"/>
    <w:rsid w:val="008C46FA"/>
    <w:rsid w:val="008C4906"/>
    <w:rsid w:val="008C4B4C"/>
    <w:rsid w:val="008C511C"/>
    <w:rsid w:val="008C5178"/>
    <w:rsid w:val="008C52B8"/>
    <w:rsid w:val="008C584D"/>
    <w:rsid w:val="008C5D13"/>
    <w:rsid w:val="008C6DEB"/>
    <w:rsid w:val="008C6F10"/>
    <w:rsid w:val="008C6F5C"/>
    <w:rsid w:val="008C7110"/>
    <w:rsid w:val="008C720A"/>
    <w:rsid w:val="008C7F48"/>
    <w:rsid w:val="008C7FE1"/>
    <w:rsid w:val="008D0A7F"/>
    <w:rsid w:val="008D13A8"/>
    <w:rsid w:val="008D17BA"/>
    <w:rsid w:val="008D1BCB"/>
    <w:rsid w:val="008D1F0B"/>
    <w:rsid w:val="008D200A"/>
    <w:rsid w:val="008D20B3"/>
    <w:rsid w:val="008D2FC4"/>
    <w:rsid w:val="008D31D8"/>
    <w:rsid w:val="008D3511"/>
    <w:rsid w:val="008D3D46"/>
    <w:rsid w:val="008D43AE"/>
    <w:rsid w:val="008D4A68"/>
    <w:rsid w:val="008D4ADF"/>
    <w:rsid w:val="008D5203"/>
    <w:rsid w:val="008D5762"/>
    <w:rsid w:val="008D57DC"/>
    <w:rsid w:val="008D5994"/>
    <w:rsid w:val="008D62A1"/>
    <w:rsid w:val="008D6700"/>
    <w:rsid w:val="008D69F7"/>
    <w:rsid w:val="008D6B17"/>
    <w:rsid w:val="008D6FFF"/>
    <w:rsid w:val="008D71C8"/>
    <w:rsid w:val="008D7510"/>
    <w:rsid w:val="008D76A6"/>
    <w:rsid w:val="008D77BA"/>
    <w:rsid w:val="008D7960"/>
    <w:rsid w:val="008D7CBD"/>
    <w:rsid w:val="008D7FFA"/>
    <w:rsid w:val="008E0591"/>
    <w:rsid w:val="008E0967"/>
    <w:rsid w:val="008E0CC2"/>
    <w:rsid w:val="008E0DC6"/>
    <w:rsid w:val="008E0DFB"/>
    <w:rsid w:val="008E0E23"/>
    <w:rsid w:val="008E0F59"/>
    <w:rsid w:val="008E11B6"/>
    <w:rsid w:val="008E11F2"/>
    <w:rsid w:val="008E19C0"/>
    <w:rsid w:val="008E1A28"/>
    <w:rsid w:val="008E1C5C"/>
    <w:rsid w:val="008E1D19"/>
    <w:rsid w:val="008E1F04"/>
    <w:rsid w:val="008E26AF"/>
    <w:rsid w:val="008E2D3A"/>
    <w:rsid w:val="008E340D"/>
    <w:rsid w:val="008E37C8"/>
    <w:rsid w:val="008E389F"/>
    <w:rsid w:val="008E41E9"/>
    <w:rsid w:val="008E4260"/>
    <w:rsid w:val="008E4B40"/>
    <w:rsid w:val="008E4F8B"/>
    <w:rsid w:val="008E5302"/>
    <w:rsid w:val="008E5359"/>
    <w:rsid w:val="008E5C48"/>
    <w:rsid w:val="008E5FD5"/>
    <w:rsid w:val="008E60E4"/>
    <w:rsid w:val="008E63ED"/>
    <w:rsid w:val="008E6B5A"/>
    <w:rsid w:val="008E7529"/>
    <w:rsid w:val="008E78EF"/>
    <w:rsid w:val="008E7CD8"/>
    <w:rsid w:val="008E7DEE"/>
    <w:rsid w:val="008F06C0"/>
    <w:rsid w:val="008F0734"/>
    <w:rsid w:val="008F0759"/>
    <w:rsid w:val="008F0A6E"/>
    <w:rsid w:val="008F0E6C"/>
    <w:rsid w:val="008F1474"/>
    <w:rsid w:val="008F1746"/>
    <w:rsid w:val="008F1ADA"/>
    <w:rsid w:val="008F1DA5"/>
    <w:rsid w:val="008F1FF8"/>
    <w:rsid w:val="008F2292"/>
    <w:rsid w:val="008F2A91"/>
    <w:rsid w:val="008F2B36"/>
    <w:rsid w:val="008F2B59"/>
    <w:rsid w:val="008F2D70"/>
    <w:rsid w:val="008F2EA2"/>
    <w:rsid w:val="008F3494"/>
    <w:rsid w:val="008F3A5E"/>
    <w:rsid w:val="008F3D0A"/>
    <w:rsid w:val="008F3EFD"/>
    <w:rsid w:val="008F3FF0"/>
    <w:rsid w:val="008F4A27"/>
    <w:rsid w:val="008F4BB2"/>
    <w:rsid w:val="008F4D79"/>
    <w:rsid w:val="008F51AA"/>
    <w:rsid w:val="008F5409"/>
    <w:rsid w:val="008F563C"/>
    <w:rsid w:val="008F5B27"/>
    <w:rsid w:val="008F6532"/>
    <w:rsid w:val="008F65A7"/>
    <w:rsid w:val="008F69C3"/>
    <w:rsid w:val="008F6CCC"/>
    <w:rsid w:val="008F6D48"/>
    <w:rsid w:val="008F7438"/>
    <w:rsid w:val="008F74F1"/>
    <w:rsid w:val="008F799C"/>
    <w:rsid w:val="008F7F73"/>
    <w:rsid w:val="009005A6"/>
    <w:rsid w:val="00900991"/>
    <w:rsid w:val="00900A4B"/>
    <w:rsid w:val="00900D93"/>
    <w:rsid w:val="00901296"/>
    <w:rsid w:val="00901373"/>
    <w:rsid w:val="00901425"/>
    <w:rsid w:val="009016F1"/>
    <w:rsid w:val="00901B0E"/>
    <w:rsid w:val="00901C10"/>
    <w:rsid w:val="00901C32"/>
    <w:rsid w:val="00901C44"/>
    <w:rsid w:val="00901D59"/>
    <w:rsid w:val="00902432"/>
    <w:rsid w:val="009029EC"/>
    <w:rsid w:val="00902A3B"/>
    <w:rsid w:val="00902EF5"/>
    <w:rsid w:val="00903047"/>
    <w:rsid w:val="00903F04"/>
    <w:rsid w:val="0090484C"/>
    <w:rsid w:val="00904DBB"/>
    <w:rsid w:val="00904DF6"/>
    <w:rsid w:val="00905A14"/>
    <w:rsid w:val="00905C36"/>
    <w:rsid w:val="00905CC7"/>
    <w:rsid w:val="00905DDD"/>
    <w:rsid w:val="00905E48"/>
    <w:rsid w:val="00905E56"/>
    <w:rsid w:val="00905F1F"/>
    <w:rsid w:val="0090606E"/>
    <w:rsid w:val="00906816"/>
    <w:rsid w:val="00906E92"/>
    <w:rsid w:val="00907A38"/>
    <w:rsid w:val="00907B34"/>
    <w:rsid w:val="00907C4F"/>
    <w:rsid w:val="00907EF2"/>
    <w:rsid w:val="0091004A"/>
    <w:rsid w:val="009104B8"/>
    <w:rsid w:val="00910A62"/>
    <w:rsid w:val="00910C5F"/>
    <w:rsid w:val="00910DAC"/>
    <w:rsid w:val="00910E25"/>
    <w:rsid w:val="009112DB"/>
    <w:rsid w:val="00911D10"/>
    <w:rsid w:val="00911DDF"/>
    <w:rsid w:val="00912917"/>
    <w:rsid w:val="00912D73"/>
    <w:rsid w:val="00913047"/>
    <w:rsid w:val="009133AE"/>
    <w:rsid w:val="00913646"/>
    <w:rsid w:val="00913E7C"/>
    <w:rsid w:val="00914281"/>
    <w:rsid w:val="0091509C"/>
    <w:rsid w:val="009150CF"/>
    <w:rsid w:val="00915325"/>
    <w:rsid w:val="009154D4"/>
    <w:rsid w:val="00915713"/>
    <w:rsid w:val="00915A0F"/>
    <w:rsid w:val="009160B1"/>
    <w:rsid w:val="0091624B"/>
    <w:rsid w:val="009163FE"/>
    <w:rsid w:val="00916981"/>
    <w:rsid w:val="00916BDC"/>
    <w:rsid w:val="00916D13"/>
    <w:rsid w:val="0091700B"/>
    <w:rsid w:val="0091777F"/>
    <w:rsid w:val="009178DA"/>
    <w:rsid w:val="00917F6B"/>
    <w:rsid w:val="0092017C"/>
    <w:rsid w:val="009204DA"/>
    <w:rsid w:val="00920634"/>
    <w:rsid w:val="0092067B"/>
    <w:rsid w:val="00920C0C"/>
    <w:rsid w:val="00920E34"/>
    <w:rsid w:val="00920ED5"/>
    <w:rsid w:val="00921670"/>
    <w:rsid w:val="00921900"/>
    <w:rsid w:val="00922598"/>
    <w:rsid w:val="0092289C"/>
    <w:rsid w:val="00922903"/>
    <w:rsid w:val="00922A8C"/>
    <w:rsid w:val="00922CA1"/>
    <w:rsid w:val="00922CA8"/>
    <w:rsid w:val="00923047"/>
    <w:rsid w:val="009234D4"/>
    <w:rsid w:val="009235A1"/>
    <w:rsid w:val="00923B5B"/>
    <w:rsid w:val="00923D36"/>
    <w:rsid w:val="00924B20"/>
    <w:rsid w:val="00925037"/>
    <w:rsid w:val="00925C9C"/>
    <w:rsid w:val="00925DA7"/>
    <w:rsid w:val="00925F1B"/>
    <w:rsid w:val="0092611A"/>
    <w:rsid w:val="00926790"/>
    <w:rsid w:val="00926C24"/>
    <w:rsid w:val="00926FC9"/>
    <w:rsid w:val="00927498"/>
    <w:rsid w:val="009278EE"/>
    <w:rsid w:val="00927FE0"/>
    <w:rsid w:val="0093022F"/>
    <w:rsid w:val="009302BA"/>
    <w:rsid w:val="00930736"/>
    <w:rsid w:val="00930E40"/>
    <w:rsid w:val="0093148E"/>
    <w:rsid w:val="00931622"/>
    <w:rsid w:val="00931B28"/>
    <w:rsid w:val="0093204B"/>
    <w:rsid w:val="00932073"/>
    <w:rsid w:val="009324A3"/>
    <w:rsid w:val="00932543"/>
    <w:rsid w:val="00932640"/>
    <w:rsid w:val="00932946"/>
    <w:rsid w:val="0093302E"/>
    <w:rsid w:val="00933323"/>
    <w:rsid w:val="00933432"/>
    <w:rsid w:val="00933758"/>
    <w:rsid w:val="00933C32"/>
    <w:rsid w:val="00933EE2"/>
    <w:rsid w:val="00934189"/>
    <w:rsid w:val="009341C4"/>
    <w:rsid w:val="0093421A"/>
    <w:rsid w:val="00934305"/>
    <w:rsid w:val="0093483E"/>
    <w:rsid w:val="00935FA7"/>
    <w:rsid w:val="009366B1"/>
    <w:rsid w:val="00937208"/>
    <w:rsid w:val="00937408"/>
    <w:rsid w:val="00937B23"/>
    <w:rsid w:val="00937FE9"/>
    <w:rsid w:val="00940088"/>
    <w:rsid w:val="0094026C"/>
    <w:rsid w:val="009404F0"/>
    <w:rsid w:val="0094127B"/>
    <w:rsid w:val="00941587"/>
    <w:rsid w:val="00941653"/>
    <w:rsid w:val="009416F8"/>
    <w:rsid w:val="00941864"/>
    <w:rsid w:val="00941909"/>
    <w:rsid w:val="00941D0D"/>
    <w:rsid w:val="00941FA2"/>
    <w:rsid w:val="0094226C"/>
    <w:rsid w:val="00942810"/>
    <w:rsid w:val="00942997"/>
    <w:rsid w:val="00942B6B"/>
    <w:rsid w:val="009432AD"/>
    <w:rsid w:val="009432D2"/>
    <w:rsid w:val="009437CE"/>
    <w:rsid w:val="00943B1F"/>
    <w:rsid w:val="00943C5D"/>
    <w:rsid w:val="00943FDF"/>
    <w:rsid w:val="00944015"/>
    <w:rsid w:val="00944F41"/>
    <w:rsid w:val="0094551E"/>
    <w:rsid w:val="009458C1"/>
    <w:rsid w:val="009468FF"/>
    <w:rsid w:val="009469D0"/>
    <w:rsid w:val="00946C2D"/>
    <w:rsid w:val="00946C3F"/>
    <w:rsid w:val="0094737C"/>
    <w:rsid w:val="00947EA6"/>
    <w:rsid w:val="00950074"/>
    <w:rsid w:val="00950B2D"/>
    <w:rsid w:val="00950BA2"/>
    <w:rsid w:val="00950D42"/>
    <w:rsid w:val="00950F01"/>
    <w:rsid w:val="00951AE7"/>
    <w:rsid w:val="00951D93"/>
    <w:rsid w:val="00951E86"/>
    <w:rsid w:val="00951ED3"/>
    <w:rsid w:val="0095207C"/>
    <w:rsid w:val="009520D3"/>
    <w:rsid w:val="009523AF"/>
    <w:rsid w:val="009525A6"/>
    <w:rsid w:val="009527F7"/>
    <w:rsid w:val="00952A1A"/>
    <w:rsid w:val="00952F99"/>
    <w:rsid w:val="009532CD"/>
    <w:rsid w:val="009534FA"/>
    <w:rsid w:val="00953608"/>
    <w:rsid w:val="00953A74"/>
    <w:rsid w:val="00953CD1"/>
    <w:rsid w:val="00953DA4"/>
    <w:rsid w:val="00954058"/>
    <w:rsid w:val="00954D35"/>
    <w:rsid w:val="00954E4A"/>
    <w:rsid w:val="00954FA8"/>
    <w:rsid w:val="00955141"/>
    <w:rsid w:val="00955417"/>
    <w:rsid w:val="009555FE"/>
    <w:rsid w:val="00955AC8"/>
    <w:rsid w:val="00956343"/>
    <w:rsid w:val="00956DEE"/>
    <w:rsid w:val="00957111"/>
    <w:rsid w:val="0095783A"/>
    <w:rsid w:val="009578A4"/>
    <w:rsid w:val="009578CF"/>
    <w:rsid w:val="009579D2"/>
    <w:rsid w:val="00957F1B"/>
    <w:rsid w:val="00960150"/>
    <w:rsid w:val="009602B9"/>
    <w:rsid w:val="009602EE"/>
    <w:rsid w:val="0096033F"/>
    <w:rsid w:val="00960661"/>
    <w:rsid w:val="009608E7"/>
    <w:rsid w:val="00960E1F"/>
    <w:rsid w:val="00960F70"/>
    <w:rsid w:val="009616DE"/>
    <w:rsid w:val="009619CE"/>
    <w:rsid w:val="00961E72"/>
    <w:rsid w:val="00961EBD"/>
    <w:rsid w:val="00961F8B"/>
    <w:rsid w:val="00962339"/>
    <w:rsid w:val="0096278C"/>
    <w:rsid w:val="00962D8D"/>
    <w:rsid w:val="00962DAA"/>
    <w:rsid w:val="00962EE6"/>
    <w:rsid w:val="00962F92"/>
    <w:rsid w:val="0096359A"/>
    <w:rsid w:val="00963CBB"/>
    <w:rsid w:val="00964961"/>
    <w:rsid w:val="00964ACE"/>
    <w:rsid w:val="009651ED"/>
    <w:rsid w:val="009659BB"/>
    <w:rsid w:val="00965E8B"/>
    <w:rsid w:val="009661AD"/>
    <w:rsid w:val="009666DB"/>
    <w:rsid w:val="00966788"/>
    <w:rsid w:val="0096692C"/>
    <w:rsid w:val="00966F80"/>
    <w:rsid w:val="009671FD"/>
    <w:rsid w:val="00967985"/>
    <w:rsid w:val="00967A49"/>
    <w:rsid w:val="00967CD6"/>
    <w:rsid w:val="00970C44"/>
    <w:rsid w:val="00971216"/>
    <w:rsid w:val="0097142B"/>
    <w:rsid w:val="0097182B"/>
    <w:rsid w:val="00971A3E"/>
    <w:rsid w:val="00971A98"/>
    <w:rsid w:val="00971AA1"/>
    <w:rsid w:val="00972A11"/>
    <w:rsid w:val="00972D5F"/>
    <w:rsid w:val="009734BB"/>
    <w:rsid w:val="009737AF"/>
    <w:rsid w:val="00973961"/>
    <w:rsid w:val="00973A0A"/>
    <w:rsid w:val="00973B0E"/>
    <w:rsid w:val="00974252"/>
    <w:rsid w:val="00974284"/>
    <w:rsid w:val="009742C7"/>
    <w:rsid w:val="009743AA"/>
    <w:rsid w:val="0097454D"/>
    <w:rsid w:val="00974B12"/>
    <w:rsid w:val="00974DCD"/>
    <w:rsid w:val="00975606"/>
    <w:rsid w:val="009758DF"/>
    <w:rsid w:val="00975B7F"/>
    <w:rsid w:val="00975E88"/>
    <w:rsid w:val="009761DE"/>
    <w:rsid w:val="009769D6"/>
    <w:rsid w:val="00976BDA"/>
    <w:rsid w:val="00976E9A"/>
    <w:rsid w:val="00976F94"/>
    <w:rsid w:val="0097721B"/>
    <w:rsid w:val="009774B6"/>
    <w:rsid w:val="00977555"/>
    <w:rsid w:val="00977788"/>
    <w:rsid w:val="00977959"/>
    <w:rsid w:val="009779C5"/>
    <w:rsid w:val="00977F0B"/>
    <w:rsid w:val="00977FDE"/>
    <w:rsid w:val="0098080B"/>
    <w:rsid w:val="00980C19"/>
    <w:rsid w:val="00981339"/>
    <w:rsid w:val="009817FD"/>
    <w:rsid w:val="00981CE0"/>
    <w:rsid w:val="00981E28"/>
    <w:rsid w:val="009826A1"/>
    <w:rsid w:val="00982F64"/>
    <w:rsid w:val="009830C5"/>
    <w:rsid w:val="00983350"/>
    <w:rsid w:val="00983964"/>
    <w:rsid w:val="00983CF4"/>
    <w:rsid w:val="00984012"/>
    <w:rsid w:val="00984263"/>
    <w:rsid w:val="009844C0"/>
    <w:rsid w:val="00984882"/>
    <w:rsid w:val="00984B61"/>
    <w:rsid w:val="00984FEA"/>
    <w:rsid w:val="00985AB3"/>
    <w:rsid w:val="00985DBD"/>
    <w:rsid w:val="00985E2B"/>
    <w:rsid w:val="0098641A"/>
    <w:rsid w:val="00986AAB"/>
    <w:rsid w:val="00986BF4"/>
    <w:rsid w:val="00986BFB"/>
    <w:rsid w:val="00986C9B"/>
    <w:rsid w:val="00986CDD"/>
    <w:rsid w:val="00986D4A"/>
    <w:rsid w:val="00987380"/>
    <w:rsid w:val="0098739A"/>
    <w:rsid w:val="0098767D"/>
    <w:rsid w:val="00987EED"/>
    <w:rsid w:val="0099000A"/>
    <w:rsid w:val="00990586"/>
    <w:rsid w:val="009905D5"/>
    <w:rsid w:val="009905D8"/>
    <w:rsid w:val="009905F6"/>
    <w:rsid w:val="00990BC2"/>
    <w:rsid w:val="00990CE1"/>
    <w:rsid w:val="0099108E"/>
    <w:rsid w:val="0099148E"/>
    <w:rsid w:val="0099220F"/>
    <w:rsid w:val="00992401"/>
    <w:rsid w:val="00992578"/>
    <w:rsid w:val="00992730"/>
    <w:rsid w:val="00992737"/>
    <w:rsid w:val="0099273B"/>
    <w:rsid w:val="009927F6"/>
    <w:rsid w:val="00992A8A"/>
    <w:rsid w:val="00992D24"/>
    <w:rsid w:val="00992D73"/>
    <w:rsid w:val="00992F46"/>
    <w:rsid w:val="0099311F"/>
    <w:rsid w:val="0099324A"/>
    <w:rsid w:val="009932D0"/>
    <w:rsid w:val="009945E0"/>
    <w:rsid w:val="009949FE"/>
    <w:rsid w:val="00994B93"/>
    <w:rsid w:val="00994BA5"/>
    <w:rsid w:val="00994C65"/>
    <w:rsid w:val="00994DD5"/>
    <w:rsid w:val="00995410"/>
    <w:rsid w:val="0099596E"/>
    <w:rsid w:val="009959EC"/>
    <w:rsid w:val="00995D82"/>
    <w:rsid w:val="00995E77"/>
    <w:rsid w:val="00996272"/>
    <w:rsid w:val="0099631B"/>
    <w:rsid w:val="009965FC"/>
    <w:rsid w:val="00996A24"/>
    <w:rsid w:val="00996B4F"/>
    <w:rsid w:val="00996E7D"/>
    <w:rsid w:val="0099794C"/>
    <w:rsid w:val="009A02F0"/>
    <w:rsid w:val="009A067C"/>
    <w:rsid w:val="009A06CD"/>
    <w:rsid w:val="009A0961"/>
    <w:rsid w:val="009A09A5"/>
    <w:rsid w:val="009A1544"/>
    <w:rsid w:val="009A1607"/>
    <w:rsid w:val="009A1892"/>
    <w:rsid w:val="009A1938"/>
    <w:rsid w:val="009A2663"/>
    <w:rsid w:val="009A298C"/>
    <w:rsid w:val="009A29CF"/>
    <w:rsid w:val="009A2DB7"/>
    <w:rsid w:val="009A3BD1"/>
    <w:rsid w:val="009A3EE3"/>
    <w:rsid w:val="009A45EA"/>
    <w:rsid w:val="009A464C"/>
    <w:rsid w:val="009A4AD9"/>
    <w:rsid w:val="009A51C4"/>
    <w:rsid w:val="009A5372"/>
    <w:rsid w:val="009A5555"/>
    <w:rsid w:val="009A586D"/>
    <w:rsid w:val="009A5AFF"/>
    <w:rsid w:val="009A5C85"/>
    <w:rsid w:val="009A6543"/>
    <w:rsid w:val="009A69E9"/>
    <w:rsid w:val="009A6BDD"/>
    <w:rsid w:val="009A6D28"/>
    <w:rsid w:val="009A7314"/>
    <w:rsid w:val="009A771E"/>
    <w:rsid w:val="009B0259"/>
    <w:rsid w:val="009B042D"/>
    <w:rsid w:val="009B18CC"/>
    <w:rsid w:val="009B2A3B"/>
    <w:rsid w:val="009B2ADC"/>
    <w:rsid w:val="009B2BF8"/>
    <w:rsid w:val="009B2D20"/>
    <w:rsid w:val="009B2DC1"/>
    <w:rsid w:val="009B2E86"/>
    <w:rsid w:val="009B32DF"/>
    <w:rsid w:val="009B331F"/>
    <w:rsid w:val="009B3D6A"/>
    <w:rsid w:val="009B416D"/>
    <w:rsid w:val="009B424D"/>
    <w:rsid w:val="009B4440"/>
    <w:rsid w:val="009B46B4"/>
    <w:rsid w:val="009B4738"/>
    <w:rsid w:val="009B4C5A"/>
    <w:rsid w:val="009B51AA"/>
    <w:rsid w:val="009B5845"/>
    <w:rsid w:val="009B59B9"/>
    <w:rsid w:val="009B5B83"/>
    <w:rsid w:val="009B5BB5"/>
    <w:rsid w:val="009B6222"/>
    <w:rsid w:val="009B6286"/>
    <w:rsid w:val="009B6779"/>
    <w:rsid w:val="009B6A4C"/>
    <w:rsid w:val="009B7817"/>
    <w:rsid w:val="009B7A01"/>
    <w:rsid w:val="009C059E"/>
    <w:rsid w:val="009C06AD"/>
    <w:rsid w:val="009C06B9"/>
    <w:rsid w:val="009C1021"/>
    <w:rsid w:val="009C12DE"/>
    <w:rsid w:val="009C171D"/>
    <w:rsid w:val="009C1C20"/>
    <w:rsid w:val="009C1DE1"/>
    <w:rsid w:val="009C2BD1"/>
    <w:rsid w:val="009C2F95"/>
    <w:rsid w:val="009C3BB0"/>
    <w:rsid w:val="009C4121"/>
    <w:rsid w:val="009C41C0"/>
    <w:rsid w:val="009C4CE1"/>
    <w:rsid w:val="009C55B6"/>
    <w:rsid w:val="009C5B0E"/>
    <w:rsid w:val="009C5C2D"/>
    <w:rsid w:val="009C5E79"/>
    <w:rsid w:val="009C6341"/>
    <w:rsid w:val="009C6D11"/>
    <w:rsid w:val="009C758A"/>
    <w:rsid w:val="009C769D"/>
    <w:rsid w:val="009C7A60"/>
    <w:rsid w:val="009C7A62"/>
    <w:rsid w:val="009C7B02"/>
    <w:rsid w:val="009C7EF1"/>
    <w:rsid w:val="009D005F"/>
    <w:rsid w:val="009D0375"/>
    <w:rsid w:val="009D113F"/>
    <w:rsid w:val="009D1308"/>
    <w:rsid w:val="009D18B0"/>
    <w:rsid w:val="009D24CF"/>
    <w:rsid w:val="009D37D5"/>
    <w:rsid w:val="009D398A"/>
    <w:rsid w:val="009D3AE5"/>
    <w:rsid w:val="009D40F3"/>
    <w:rsid w:val="009D4A5D"/>
    <w:rsid w:val="009D4CF4"/>
    <w:rsid w:val="009D5206"/>
    <w:rsid w:val="009D56BE"/>
    <w:rsid w:val="009D574A"/>
    <w:rsid w:val="009D57CB"/>
    <w:rsid w:val="009D5E8E"/>
    <w:rsid w:val="009D5F2B"/>
    <w:rsid w:val="009D5F75"/>
    <w:rsid w:val="009D608A"/>
    <w:rsid w:val="009D6578"/>
    <w:rsid w:val="009D66A4"/>
    <w:rsid w:val="009D672F"/>
    <w:rsid w:val="009D68ED"/>
    <w:rsid w:val="009D6AAE"/>
    <w:rsid w:val="009D6C33"/>
    <w:rsid w:val="009D72F9"/>
    <w:rsid w:val="009D7599"/>
    <w:rsid w:val="009D771B"/>
    <w:rsid w:val="009D78D3"/>
    <w:rsid w:val="009D7DB7"/>
    <w:rsid w:val="009E0139"/>
    <w:rsid w:val="009E09AE"/>
    <w:rsid w:val="009E0A44"/>
    <w:rsid w:val="009E103E"/>
    <w:rsid w:val="009E166D"/>
    <w:rsid w:val="009E16D4"/>
    <w:rsid w:val="009E1761"/>
    <w:rsid w:val="009E1855"/>
    <w:rsid w:val="009E1A9F"/>
    <w:rsid w:val="009E1C25"/>
    <w:rsid w:val="009E1C49"/>
    <w:rsid w:val="009E1F2F"/>
    <w:rsid w:val="009E216B"/>
    <w:rsid w:val="009E228C"/>
    <w:rsid w:val="009E2322"/>
    <w:rsid w:val="009E2A66"/>
    <w:rsid w:val="009E30FB"/>
    <w:rsid w:val="009E3231"/>
    <w:rsid w:val="009E3259"/>
    <w:rsid w:val="009E426D"/>
    <w:rsid w:val="009E4D78"/>
    <w:rsid w:val="009E4E9F"/>
    <w:rsid w:val="009E5781"/>
    <w:rsid w:val="009E5917"/>
    <w:rsid w:val="009E5C6E"/>
    <w:rsid w:val="009E6080"/>
    <w:rsid w:val="009E65CF"/>
    <w:rsid w:val="009E6883"/>
    <w:rsid w:val="009E7299"/>
    <w:rsid w:val="009E7321"/>
    <w:rsid w:val="009E77FC"/>
    <w:rsid w:val="009E7932"/>
    <w:rsid w:val="009E7A39"/>
    <w:rsid w:val="009F01CA"/>
    <w:rsid w:val="009F0B73"/>
    <w:rsid w:val="009F133B"/>
    <w:rsid w:val="009F1654"/>
    <w:rsid w:val="009F1BD4"/>
    <w:rsid w:val="009F208B"/>
    <w:rsid w:val="009F211F"/>
    <w:rsid w:val="009F21CE"/>
    <w:rsid w:val="009F28F9"/>
    <w:rsid w:val="009F2998"/>
    <w:rsid w:val="009F2A5A"/>
    <w:rsid w:val="009F2A90"/>
    <w:rsid w:val="009F2D9F"/>
    <w:rsid w:val="009F368E"/>
    <w:rsid w:val="009F3DF7"/>
    <w:rsid w:val="009F41A6"/>
    <w:rsid w:val="009F4530"/>
    <w:rsid w:val="009F4681"/>
    <w:rsid w:val="009F4D0E"/>
    <w:rsid w:val="009F4D4D"/>
    <w:rsid w:val="009F5127"/>
    <w:rsid w:val="009F5335"/>
    <w:rsid w:val="009F607A"/>
    <w:rsid w:val="009F6440"/>
    <w:rsid w:val="009F65D6"/>
    <w:rsid w:val="009F6B2B"/>
    <w:rsid w:val="009F6FA2"/>
    <w:rsid w:val="009F7100"/>
    <w:rsid w:val="009F7635"/>
    <w:rsid w:val="00A002F9"/>
    <w:rsid w:val="00A00321"/>
    <w:rsid w:val="00A00357"/>
    <w:rsid w:val="00A00929"/>
    <w:rsid w:val="00A00972"/>
    <w:rsid w:val="00A00A4E"/>
    <w:rsid w:val="00A00B8D"/>
    <w:rsid w:val="00A00D05"/>
    <w:rsid w:val="00A00F30"/>
    <w:rsid w:val="00A00F86"/>
    <w:rsid w:val="00A01282"/>
    <w:rsid w:val="00A01772"/>
    <w:rsid w:val="00A01A31"/>
    <w:rsid w:val="00A01BD1"/>
    <w:rsid w:val="00A01EBB"/>
    <w:rsid w:val="00A0232A"/>
    <w:rsid w:val="00A0273F"/>
    <w:rsid w:val="00A02787"/>
    <w:rsid w:val="00A0283F"/>
    <w:rsid w:val="00A034B9"/>
    <w:rsid w:val="00A03718"/>
    <w:rsid w:val="00A03D0D"/>
    <w:rsid w:val="00A046B6"/>
    <w:rsid w:val="00A046DF"/>
    <w:rsid w:val="00A04F09"/>
    <w:rsid w:val="00A05CDE"/>
    <w:rsid w:val="00A05EF4"/>
    <w:rsid w:val="00A05EF7"/>
    <w:rsid w:val="00A06260"/>
    <w:rsid w:val="00A068B3"/>
    <w:rsid w:val="00A0721A"/>
    <w:rsid w:val="00A073B9"/>
    <w:rsid w:val="00A07414"/>
    <w:rsid w:val="00A077FF"/>
    <w:rsid w:val="00A07981"/>
    <w:rsid w:val="00A07D66"/>
    <w:rsid w:val="00A07FAF"/>
    <w:rsid w:val="00A10062"/>
    <w:rsid w:val="00A106C2"/>
    <w:rsid w:val="00A10A3B"/>
    <w:rsid w:val="00A1154D"/>
    <w:rsid w:val="00A11D80"/>
    <w:rsid w:val="00A11EB1"/>
    <w:rsid w:val="00A12410"/>
    <w:rsid w:val="00A124E8"/>
    <w:rsid w:val="00A126B5"/>
    <w:rsid w:val="00A129BE"/>
    <w:rsid w:val="00A12A80"/>
    <w:rsid w:val="00A12B30"/>
    <w:rsid w:val="00A12C2F"/>
    <w:rsid w:val="00A1315B"/>
    <w:rsid w:val="00A13445"/>
    <w:rsid w:val="00A1357F"/>
    <w:rsid w:val="00A13B9E"/>
    <w:rsid w:val="00A13D3D"/>
    <w:rsid w:val="00A15082"/>
    <w:rsid w:val="00A15692"/>
    <w:rsid w:val="00A157D7"/>
    <w:rsid w:val="00A15B33"/>
    <w:rsid w:val="00A16C42"/>
    <w:rsid w:val="00A16E9F"/>
    <w:rsid w:val="00A17103"/>
    <w:rsid w:val="00A1722A"/>
    <w:rsid w:val="00A173DA"/>
    <w:rsid w:val="00A175E6"/>
    <w:rsid w:val="00A17745"/>
    <w:rsid w:val="00A178D9"/>
    <w:rsid w:val="00A1793C"/>
    <w:rsid w:val="00A17E61"/>
    <w:rsid w:val="00A17F6B"/>
    <w:rsid w:val="00A20441"/>
    <w:rsid w:val="00A2116E"/>
    <w:rsid w:val="00A21473"/>
    <w:rsid w:val="00A21B66"/>
    <w:rsid w:val="00A22336"/>
    <w:rsid w:val="00A2242F"/>
    <w:rsid w:val="00A226F0"/>
    <w:rsid w:val="00A22CAD"/>
    <w:rsid w:val="00A22D55"/>
    <w:rsid w:val="00A22E24"/>
    <w:rsid w:val="00A23173"/>
    <w:rsid w:val="00A231E4"/>
    <w:rsid w:val="00A23533"/>
    <w:rsid w:val="00A23DFB"/>
    <w:rsid w:val="00A241F4"/>
    <w:rsid w:val="00A2426E"/>
    <w:rsid w:val="00A2433B"/>
    <w:rsid w:val="00A2457C"/>
    <w:rsid w:val="00A2461F"/>
    <w:rsid w:val="00A2472E"/>
    <w:rsid w:val="00A2583B"/>
    <w:rsid w:val="00A25862"/>
    <w:rsid w:val="00A25988"/>
    <w:rsid w:val="00A2600A"/>
    <w:rsid w:val="00A26297"/>
    <w:rsid w:val="00A2648A"/>
    <w:rsid w:val="00A269D8"/>
    <w:rsid w:val="00A271B3"/>
    <w:rsid w:val="00A2734B"/>
    <w:rsid w:val="00A273EF"/>
    <w:rsid w:val="00A273F3"/>
    <w:rsid w:val="00A2776C"/>
    <w:rsid w:val="00A27B36"/>
    <w:rsid w:val="00A27CF1"/>
    <w:rsid w:val="00A301B4"/>
    <w:rsid w:val="00A306B7"/>
    <w:rsid w:val="00A30D67"/>
    <w:rsid w:val="00A31C93"/>
    <w:rsid w:val="00A32134"/>
    <w:rsid w:val="00A32412"/>
    <w:rsid w:val="00A32580"/>
    <w:rsid w:val="00A32C76"/>
    <w:rsid w:val="00A332AF"/>
    <w:rsid w:val="00A33305"/>
    <w:rsid w:val="00A33649"/>
    <w:rsid w:val="00A33C27"/>
    <w:rsid w:val="00A33CC2"/>
    <w:rsid w:val="00A33CCA"/>
    <w:rsid w:val="00A33DD3"/>
    <w:rsid w:val="00A33E9D"/>
    <w:rsid w:val="00A33F10"/>
    <w:rsid w:val="00A33F61"/>
    <w:rsid w:val="00A3407D"/>
    <w:rsid w:val="00A342B9"/>
    <w:rsid w:val="00A345EA"/>
    <w:rsid w:val="00A345FD"/>
    <w:rsid w:val="00A34A90"/>
    <w:rsid w:val="00A359FE"/>
    <w:rsid w:val="00A35FC1"/>
    <w:rsid w:val="00A3626C"/>
    <w:rsid w:val="00A3673B"/>
    <w:rsid w:val="00A36A78"/>
    <w:rsid w:val="00A36AF8"/>
    <w:rsid w:val="00A36EA8"/>
    <w:rsid w:val="00A376E1"/>
    <w:rsid w:val="00A379ED"/>
    <w:rsid w:val="00A37D26"/>
    <w:rsid w:val="00A404F7"/>
    <w:rsid w:val="00A406C2"/>
    <w:rsid w:val="00A40847"/>
    <w:rsid w:val="00A4091D"/>
    <w:rsid w:val="00A40D80"/>
    <w:rsid w:val="00A4103C"/>
    <w:rsid w:val="00A413F9"/>
    <w:rsid w:val="00A41809"/>
    <w:rsid w:val="00A41950"/>
    <w:rsid w:val="00A41B09"/>
    <w:rsid w:val="00A41F3D"/>
    <w:rsid w:val="00A41F9A"/>
    <w:rsid w:val="00A42686"/>
    <w:rsid w:val="00A426B3"/>
    <w:rsid w:val="00A4270C"/>
    <w:rsid w:val="00A42AE3"/>
    <w:rsid w:val="00A43487"/>
    <w:rsid w:val="00A43605"/>
    <w:rsid w:val="00A43622"/>
    <w:rsid w:val="00A43E83"/>
    <w:rsid w:val="00A44484"/>
    <w:rsid w:val="00A447CA"/>
    <w:rsid w:val="00A44A4E"/>
    <w:rsid w:val="00A44B92"/>
    <w:rsid w:val="00A44C01"/>
    <w:rsid w:val="00A44D66"/>
    <w:rsid w:val="00A44F91"/>
    <w:rsid w:val="00A456D5"/>
    <w:rsid w:val="00A45973"/>
    <w:rsid w:val="00A45CED"/>
    <w:rsid w:val="00A46079"/>
    <w:rsid w:val="00A461B3"/>
    <w:rsid w:val="00A4629F"/>
    <w:rsid w:val="00A463F8"/>
    <w:rsid w:val="00A46587"/>
    <w:rsid w:val="00A46846"/>
    <w:rsid w:val="00A4702F"/>
    <w:rsid w:val="00A47392"/>
    <w:rsid w:val="00A4747A"/>
    <w:rsid w:val="00A47BAF"/>
    <w:rsid w:val="00A47BF5"/>
    <w:rsid w:val="00A5017C"/>
    <w:rsid w:val="00A5032F"/>
    <w:rsid w:val="00A507A2"/>
    <w:rsid w:val="00A508A7"/>
    <w:rsid w:val="00A509B2"/>
    <w:rsid w:val="00A50AEC"/>
    <w:rsid w:val="00A50C81"/>
    <w:rsid w:val="00A511BA"/>
    <w:rsid w:val="00A5162A"/>
    <w:rsid w:val="00A51954"/>
    <w:rsid w:val="00A51BF6"/>
    <w:rsid w:val="00A5231E"/>
    <w:rsid w:val="00A525FC"/>
    <w:rsid w:val="00A52783"/>
    <w:rsid w:val="00A529D5"/>
    <w:rsid w:val="00A52E29"/>
    <w:rsid w:val="00A52FE4"/>
    <w:rsid w:val="00A531CA"/>
    <w:rsid w:val="00A53E93"/>
    <w:rsid w:val="00A53F2C"/>
    <w:rsid w:val="00A53FCA"/>
    <w:rsid w:val="00A540D7"/>
    <w:rsid w:val="00A54A71"/>
    <w:rsid w:val="00A54AF0"/>
    <w:rsid w:val="00A55162"/>
    <w:rsid w:val="00A55B0A"/>
    <w:rsid w:val="00A562B8"/>
    <w:rsid w:val="00A5725A"/>
    <w:rsid w:val="00A57674"/>
    <w:rsid w:val="00A576E5"/>
    <w:rsid w:val="00A57708"/>
    <w:rsid w:val="00A579FF"/>
    <w:rsid w:val="00A6007D"/>
    <w:rsid w:val="00A605DA"/>
    <w:rsid w:val="00A60635"/>
    <w:rsid w:val="00A61399"/>
    <w:rsid w:val="00A6155D"/>
    <w:rsid w:val="00A6193D"/>
    <w:rsid w:val="00A6215E"/>
    <w:rsid w:val="00A62228"/>
    <w:rsid w:val="00A6268E"/>
    <w:rsid w:val="00A62C9B"/>
    <w:rsid w:val="00A6311A"/>
    <w:rsid w:val="00A63915"/>
    <w:rsid w:val="00A639A7"/>
    <w:rsid w:val="00A63D9F"/>
    <w:rsid w:val="00A643A0"/>
    <w:rsid w:val="00A647C3"/>
    <w:rsid w:val="00A64DDD"/>
    <w:rsid w:val="00A6521A"/>
    <w:rsid w:val="00A652FE"/>
    <w:rsid w:val="00A65340"/>
    <w:rsid w:val="00A653C3"/>
    <w:rsid w:val="00A6575D"/>
    <w:rsid w:val="00A65C7F"/>
    <w:rsid w:val="00A660A1"/>
    <w:rsid w:val="00A66171"/>
    <w:rsid w:val="00A663C9"/>
    <w:rsid w:val="00A66B6F"/>
    <w:rsid w:val="00A66BBA"/>
    <w:rsid w:val="00A67339"/>
    <w:rsid w:val="00A678B5"/>
    <w:rsid w:val="00A678C8"/>
    <w:rsid w:val="00A67AEE"/>
    <w:rsid w:val="00A67BF1"/>
    <w:rsid w:val="00A70437"/>
    <w:rsid w:val="00A7078C"/>
    <w:rsid w:val="00A70A0E"/>
    <w:rsid w:val="00A70D3D"/>
    <w:rsid w:val="00A70D8F"/>
    <w:rsid w:val="00A7137C"/>
    <w:rsid w:val="00A714FF"/>
    <w:rsid w:val="00A71AAD"/>
    <w:rsid w:val="00A71AFE"/>
    <w:rsid w:val="00A71B4D"/>
    <w:rsid w:val="00A71DE4"/>
    <w:rsid w:val="00A722CF"/>
    <w:rsid w:val="00A728DB"/>
    <w:rsid w:val="00A72D9D"/>
    <w:rsid w:val="00A72EE1"/>
    <w:rsid w:val="00A737BD"/>
    <w:rsid w:val="00A737D9"/>
    <w:rsid w:val="00A739F0"/>
    <w:rsid w:val="00A739F7"/>
    <w:rsid w:val="00A73BBB"/>
    <w:rsid w:val="00A73BDB"/>
    <w:rsid w:val="00A73D26"/>
    <w:rsid w:val="00A73E9D"/>
    <w:rsid w:val="00A74516"/>
    <w:rsid w:val="00A74B24"/>
    <w:rsid w:val="00A74C46"/>
    <w:rsid w:val="00A74D75"/>
    <w:rsid w:val="00A7530D"/>
    <w:rsid w:val="00A754CE"/>
    <w:rsid w:val="00A75A55"/>
    <w:rsid w:val="00A75BC8"/>
    <w:rsid w:val="00A75EF3"/>
    <w:rsid w:val="00A7647B"/>
    <w:rsid w:val="00A76597"/>
    <w:rsid w:val="00A76761"/>
    <w:rsid w:val="00A768DC"/>
    <w:rsid w:val="00A76921"/>
    <w:rsid w:val="00A76D6A"/>
    <w:rsid w:val="00A76E0D"/>
    <w:rsid w:val="00A76F6E"/>
    <w:rsid w:val="00A772FE"/>
    <w:rsid w:val="00A77F0C"/>
    <w:rsid w:val="00A80233"/>
    <w:rsid w:val="00A806D8"/>
    <w:rsid w:val="00A80B7E"/>
    <w:rsid w:val="00A80CA6"/>
    <w:rsid w:val="00A80EC6"/>
    <w:rsid w:val="00A813A6"/>
    <w:rsid w:val="00A8174C"/>
    <w:rsid w:val="00A81894"/>
    <w:rsid w:val="00A81E48"/>
    <w:rsid w:val="00A81E6B"/>
    <w:rsid w:val="00A820A3"/>
    <w:rsid w:val="00A8216C"/>
    <w:rsid w:val="00A82517"/>
    <w:rsid w:val="00A82573"/>
    <w:rsid w:val="00A826B7"/>
    <w:rsid w:val="00A8286D"/>
    <w:rsid w:val="00A82AA2"/>
    <w:rsid w:val="00A82DA9"/>
    <w:rsid w:val="00A83059"/>
    <w:rsid w:val="00A834AD"/>
    <w:rsid w:val="00A83616"/>
    <w:rsid w:val="00A83A69"/>
    <w:rsid w:val="00A83F93"/>
    <w:rsid w:val="00A84748"/>
    <w:rsid w:val="00A84F4B"/>
    <w:rsid w:val="00A8519B"/>
    <w:rsid w:val="00A853A6"/>
    <w:rsid w:val="00A854B7"/>
    <w:rsid w:val="00A858CD"/>
    <w:rsid w:val="00A858F4"/>
    <w:rsid w:val="00A85C5E"/>
    <w:rsid w:val="00A861DA"/>
    <w:rsid w:val="00A86669"/>
    <w:rsid w:val="00A87210"/>
    <w:rsid w:val="00A872CF"/>
    <w:rsid w:val="00A87572"/>
    <w:rsid w:val="00A876B2"/>
    <w:rsid w:val="00A90548"/>
    <w:rsid w:val="00A90CCC"/>
    <w:rsid w:val="00A90D49"/>
    <w:rsid w:val="00A911FE"/>
    <w:rsid w:val="00A91779"/>
    <w:rsid w:val="00A919CC"/>
    <w:rsid w:val="00A919EA"/>
    <w:rsid w:val="00A91AB8"/>
    <w:rsid w:val="00A92124"/>
    <w:rsid w:val="00A92A07"/>
    <w:rsid w:val="00A92E19"/>
    <w:rsid w:val="00A93525"/>
    <w:rsid w:val="00A9354B"/>
    <w:rsid w:val="00A939E6"/>
    <w:rsid w:val="00A93DF2"/>
    <w:rsid w:val="00A942CB"/>
    <w:rsid w:val="00A94972"/>
    <w:rsid w:val="00A94C64"/>
    <w:rsid w:val="00A94E2F"/>
    <w:rsid w:val="00A94FEE"/>
    <w:rsid w:val="00A950C9"/>
    <w:rsid w:val="00A95973"/>
    <w:rsid w:val="00A95F5E"/>
    <w:rsid w:val="00A961F4"/>
    <w:rsid w:val="00A963DF"/>
    <w:rsid w:val="00A96782"/>
    <w:rsid w:val="00A96C73"/>
    <w:rsid w:val="00A96F2E"/>
    <w:rsid w:val="00A96FE8"/>
    <w:rsid w:val="00A97178"/>
    <w:rsid w:val="00A973DA"/>
    <w:rsid w:val="00A97699"/>
    <w:rsid w:val="00A977F2"/>
    <w:rsid w:val="00A97ADE"/>
    <w:rsid w:val="00A97BE6"/>
    <w:rsid w:val="00AA0749"/>
    <w:rsid w:val="00AA0803"/>
    <w:rsid w:val="00AA09F3"/>
    <w:rsid w:val="00AA0A41"/>
    <w:rsid w:val="00AA0C4A"/>
    <w:rsid w:val="00AA112E"/>
    <w:rsid w:val="00AA11FD"/>
    <w:rsid w:val="00AA12DD"/>
    <w:rsid w:val="00AA1482"/>
    <w:rsid w:val="00AA16FA"/>
    <w:rsid w:val="00AA1E75"/>
    <w:rsid w:val="00AA2176"/>
    <w:rsid w:val="00AA2311"/>
    <w:rsid w:val="00AA2321"/>
    <w:rsid w:val="00AA2439"/>
    <w:rsid w:val="00AA255F"/>
    <w:rsid w:val="00AA27D3"/>
    <w:rsid w:val="00AA2836"/>
    <w:rsid w:val="00AA3478"/>
    <w:rsid w:val="00AA3A6F"/>
    <w:rsid w:val="00AA4464"/>
    <w:rsid w:val="00AA46D4"/>
    <w:rsid w:val="00AA4866"/>
    <w:rsid w:val="00AA4F68"/>
    <w:rsid w:val="00AA529C"/>
    <w:rsid w:val="00AA53DD"/>
    <w:rsid w:val="00AA5845"/>
    <w:rsid w:val="00AA5881"/>
    <w:rsid w:val="00AA5999"/>
    <w:rsid w:val="00AA5E6D"/>
    <w:rsid w:val="00AA63BA"/>
    <w:rsid w:val="00AA6739"/>
    <w:rsid w:val="00AA6AFD"/>
    <w:rsid w:val="00AA6C72"/>
    <w:rsid w:val="00AA6D6C"/>
    <w:rsid w:val="00AA6DAB"/>
    <w:rsid w:val="00AA73E1"/>
    <w:rsid w:val="00AA78D8"/>
    <w:rsid w:val="00AB02EA"/>
    <w:rsid w:val="00AB0874"/>
    <w:rsid w:val="00AB0C31"/>
    <w:rsid w:val="00AB0C63"/>
    <w:rsid w:val="00AB14C6"/>
    <w:rsid w:val="00AB2C56"/>
    <w:rsid w:val="00AB2F42"/>
    <w:rsid w:val="00AB305B"/>
    <w:rsid w:val="00AB312B"/>
    <w:rsid w:val="00AB423E"/>
    <w:rsid w:val="00AB4612"/>
    <w:rsid w:val="00AB48BC"/>
    <w:rsid w:val="00AB4966"/>
    <w:rsid w:val="00AB4F92"/>
    <w:rsid w:val="00AB5052"/>
    <w:rsid w:val="00AB5169"/>
    <w:rsid w:val="00AB5374"/>
    <w:rsid w:val="00AB5610"/>
    <w:rsid w:val="00AB5799"/>
    <w:rsid w:val="00AB5823"/>
    <w:rsid w:val="00AB5827"/>
    <w:rsid w:val="00AB5AA9"/>
    <w:rsid w:val="00AB5F7A"/>
    <w:rsid w:val="00AB6246"/>
    <w:rsid w:val="00AB6475"/>
    <w:rsid w:val="00AB6582"/>
    <w:rsid w:val="00AB6C80"/>
    <w:rsid w:val="00AB6F81"/>
    <w:rsid w:val="00AB735A"/>
    <w:rsid w:val="00AB74E3"/>
    <w:rsid w:val="00AB7D08"/>
    <w:rsid w:val="00AB7EE6"/>
    <w:rsid w:val="00AC01DC"/>
    <w:rsid w:val="00AC02A3"/>
    <w:rsid w:val="00AC0CF6"/>
    <w:rsid w:val="00AC1423"/>
    <w:rsid w:val="00AC1E97"/>
    <w:rsid w:val="00AC21A4"/>
    <w:rsid w:val="00AC27EE"/>
    <w:rsid w:val="00AC314E"/>
    <w:rsid w:val="00AC31DD"/>
    <w:rsid w:val="00AC351F"/>
    <w:rsid w:val="00AC3AC8"/>
    <w:rsid w:val="00AC3D1F"/>
    <w:rsid w:val="00AC3E87"/>
    <w:rsid w:val="00AC40AB"/>
    <w:rsid w:val="00AC4243"/>
    <w:rsid w:val="00AC42E1"/>
    <w:rsid w:val="00AC4855"/>
    <w:rsid w:val="00AC4C3F"/>
    <w:rsid w:val="00AC52F5"/>
    <w:rsid w:val="00AC56A8"/>
    <w:rsid w:val="00AC5C2A"/>
    <w:rsid w:val="00AC5D39"/>
    <w:rsid w:val="00AC6947"/>
    <w:rsid w:val="00AC6EA2"/>
    <w:rsid w:val="00AC6FB7"/>
    <w:rsid w:val="00AC7313"/>
    <w:rsid w:val="00AC76B8"/>
    <w:rsid w:val="00AC7C81"/>
    <w:rsid w:val="00AC7F03"/>
    <w:rsid w:val="00AC7F9E"/>
    <w:rsid w:val="00AD02D2"/>
    <w:rsid w:val="00AD040F"/>
    <w:rsid w:val="00AD0C51"/>
    <w:rsid w:val="00AD0CFD"/>
    <w:rsid w:val="00AD0FE5"/>
    <w:rsid w:val="00AD14B8"/>
    <w:rsid w:val="00AD20D7"/>
    <w:rsid w:val="00AD22D3"/>
    <w:rsid w:val="00AD22E4"/>
    <w:rsid w:val="00AD281F"/>
    <w:rsid w:val="00AD2AFB"/>
    <w:rsid w:val="00AD2D8A"/>
    <w:rsid w:val="00AD300C"/>
    <w:rsid w:val="00AD312D"/>
    <w:rsid w:val="00AD38D6"/>
    <w:rsid w:val="00AD3A56"/>
    <w:rsid w:val="00AD3C03"/>
    <w:rsid w:val="00AD41AD"/>
    <w:rsid w:val="00AD4AD5"/>
    <w:rsid w:val="00AD5455"/>
    <w:rsid w:val="00AD5FB0"/>
    <w:rsid w:val="00AD625E"/>
    <w:rsid w:val="00AD6485"/>
    <w:rsid w:val="00AD66CE"/>
    <w:rsid w:val="00AD694C"/>
    <w:rsid w:val="00AD6C94"/>
    <w:rsid w:val="00AD7478"/>
    <w:rsid w:val="00AD76F2"/>
    <w:rsid w:val="00AD7DEA"/>
    <w:rsid w:val="00AD7E98"/>
    <w:rsid w:val="00AD7EC1"/>
    <w:rsid w:val="00AD7FEA"/>
    <w:rsid w:val="00AD7FF3"/>
    <w:rsid w:val="00AE0D8C"/>
    <w:rsid w:val="00AE0FEC"/>
    <w:rsid w:val="00AE13A4"/>
    <w:rsid w:val="00AE18BD"/>
    <w:rsid w:val="00AE19DB"/>
    <w:rsid w:val="00AE1CED"/>
    <w:rsid w:val="00AE2191"/>
    <w:rsid w:val="00AE22D8"/>
    <w:rsid w:val="00AE24B3"/>
    <w:rsid w:val="00AE26D4"/>
    <w:rsid w:val="00AE2F14"/>
    <w:rsid w:val="00AE3022"/>
    <w:rsid w:val="00AE31E7"/>
    <w:rsid w:val="00AE3862"/>
    <w:rsid w:val="00AE395F"/>
    <w:rsid w:val="00AE3A23"/>
    <w:rsid w:val="00AE3B18"/>
    <w:rsid w:val="00AE3BA2"/>
    <w:rsid w:val="00AE3F79"/>
    <w:rsid w:val="00AE3F89"/>
    <w:rsid w:val="00AE41E4"/>
    <w:rsid w:val="00AE48CF"/>
    <w:rsid w:val="00AE4A6D"/>
    <w:rsid w:val="00AE4A8E"/>
    <w:rsid w:val="00AE4C4A"/>
    <w:rsid w:val="00AE4D55"/>
    <w:rsid w:val="00AE5001"/>
    <w:rsid w:val="00AE5179"/>
    <w:rsid w:val="00AE585E"/>
    <w:rsid w:val="00AE59F9"/>
    <w:rsid w:val="00AE5AFC"/>
    <w:rsid w:val="00AE5E85"/>
    <w:rsid w:val="00AE6316"/>
    <w:rsid w:val="00AE650F"/>
    <w:rsid w:val="00AE767E"/>
    <w:rsid w:val="00AE7F3E"/>
    <w:rsid w:val="00AF0018"/>
    <w:rsid w:val="00AF00BE"/>
    <w:rsid w:val="00AF027C"/>
    <w:rsid w:val="00AF080A"/>
    <w:rsid w:val="00AF0A32"/>
    <w:rsid w:val="00AF0A5A"/>
    <w:rsid w:val="00AF0C78"/>
    <w:rsid w:val="00AF1079"/>
    <w:rsid w:val="00AF12BF"/>
    <w:rsid w:val="00AF1CBD"/>
    <w:rsid w:val="00AF1EE2"/>
    <w:rsid w:val="00AF2B77"/>
    <w:rsid w:val="00AF2BCD"/>
    <w:rsid w:val="00AF2C8E"/>
    <w:rsid w:val="00AF3202"/>
    <w:rsid w:val="00AF36E7"/>
    <w:rsid w:val="00AF3742"/>
    <w:rsid w:val="00AF38A7"/>
    <w:rsid w:val="00AF3B87"/>
    <w:rsid w:val="00AF3BCE"/>
    <w:rsid w:val="00AF4115"/>
    <w:rsid w:val="00AF418B"/>
    <w:rsid w:val="00AF4586"/>
    <w:rsid w:val="00AF4749"/>
    <w:rsid w:val="00AF4A96"/>
    <w:rsid w:val="00AF4B9F"/>
    <w:rsid w:val="00AF4BC3"/>
    <w:rsid w:val="00AF4BCE"/>
    <w:rsid w:val="00AF53C8"/>
    <w:rsid w:val="00AF56EF"/>
    <w:rsid w:val="00AF5709"/>
    <w:rsid w:val="00AF60D0"/>
    <w:rsid w:val="00AF692C"/>
    <w:rsid w:val="00AF6BE9"/>
    <w:rsid w:val="00AF7171"/>
    <w:rsid w:val="00AF7227"/>
    <w:rsid w:val="00AF7279"/>
    <w:rsid w:val="00AF7603"/>
    <w:rsid w:val="00AF78A4"/>
    <w:rsid w:val="00AF7A73"/>
    <w:rsid w:val="00AF7E02"/>
    <w:rsid w:val="00AF7FF0"/>
    <w:rsid w:val="00B00266"/>
    <w:rsid w:val="00B00A99"/>
    <w:rsid w:val="00B00FF9"/>
    <w:rsid w:val="00B013FF"/>
    <w:rsid w:val="00B0202D"/>
    <w:rsid w:val="00B0226F"/>
    <w:rsid w:val="00B02473"/>
    <w:rsid w:val="00B02E97"/>
    <w:rsid w:val="00B02F5C"/>
    <w:rsid w:val="00B03039"/>
    <w:rsid w:val="00B030FF"/>
    <w:rsid w:val="00B03731"/>
    <w:rsid w:val="00B03D2E"/>
    <w:rsid w:val="00B0437C"/>
    <w:rsid w:val="00B044ED"/>
    <w:rsid w:val="00B05048"/>
    <w:rsid w:val="00B0621D"/>
    <w:rsid w:val="00B062A3"/>
    <w:rsid w:val="00B066C7"/>
    <w:rsid w:val="00B06B8C"/>
    <w:rsid w:val="00B06D2F"/>
    <w:rsid w:val="00B06F10"/>
    <w:rsid w:val="00B07010"/>
    <w:rsid w:val="00B070A3"/>
    <w:rsid w:val="00B07306"/>
    <w:rsid w:val="00B07F43"/>
    <w:rsid w:val="00B10130"/>
    <w:rsid w:val="00B10325"/>
    <w:rsid w:val="00B1035B"/>
    <w:rsid w:val="00B1056F"/>
    <w:rsid w:val="00B10683"/>
    <w:rsid w:val="00B10707"/>
    <w:rsid w:val="00B1086D"/>
    <w:rsid w:val="00B10A81"/>
    <w:rsid w:val="00B10D56"/>
    <w:rsid w:val="00B112F7"/>
    <w:rsid w:val="00B11633"/>
    <w:rsid w:val="00B11897"/>
    <w:rsid w:val="00B11B24"/>
    <w:rsid w:val="00B11B58"/>
    <w:rsid w:val="00B11BC1"/>
    <w:rsid w:val="00B11BE7"/>
    <w:rsid w:val="00B1231B"/>
    <w:rsid w:val="00B12834"/>
    <w:rsid w:val="00B12BBD"/>
    <w:rsid w:val="00B12F0B"/>
    <w:rsid w:val="00B1343B"/>
    <w:rsid w:val="00B13884"/>
    <w:rsid w:val="00B14D43"/>
    <w:rsid w:val="00B14D4C"/>
    <w:rsid w:val="00B15112"/>
    <w:rsid w:val="00B15336"/>
    <w:rsid w:val="00B155E2"/>
    <w:rsid w:val="00B156C2"/>
    <w:rsid w:val="00B15D56"/>
    <w:rsid w:val="00B15D5A"/>
    <w:rsid w:val="00B1628F"/>
    <w:rsid w:val="00B16416"/>
    <w:rsid w:val="00B172D1"/>
    <w:rsid w:val="00B177CC"/>
    <w:rsid w:val="00B17DB5"/>
    <w:rsid w:val="00B206E1"/>
    <w:rsid w:val="00B20AA9"/>
    <w:rsid w:val="00B20B53"/>
    <w:rsid w:val="00B20E73"/>
    <w:rsid w:val="00B20FBB"/>
    <w:rsid w:val="00B2177A"/>
    <w:rsid w:val="00B21956"/>
    <w:rsid w:val="00B21A46"/>
    <w:rsid w:val="00B21EED"/>
    <w:rsid w:val="00B223CC"/>
    <w:rsid w:val="00B22721"/>
    <w:rsid w:val="00B22B9F"/>
    <w:rsid w:val="00B22DB9"/>
    <w:rsid w:val="00B22DF5"/>
    <w:rsid w:val="00B232FD"/>
    <w:rsid w:val="00B233CB"/>
    <w:rsid w:val="00B2346C"/>
    <w:rsid w:val="00B2346F"/>
    <w:rsid w:val="00B236A5"/>
    <w:rsid w:val="00B23CF0"/>
    <w:rsid w:val="00B23E70"/>
    <w:rsid w:val="00B240F3"/>
    <w:rsid w:val="00B24279"/>
    <w:rsid w:val="00B24AA0"/>
    <w:rsid w:val="00B24C00"/>
    <w:rsid w:val="00B256D5"/>
    <w:rsid w:val="00B259CD"/>
    <w:rsid w:val="00B25A06"/>
    <w:rsid w:val="00B25F25"/>
    <w:rsid w:val="00B262F4"/>
    <w:rsid w:val="00B265C0"/>
    <w:rsid w:val="00B2677C"/>
    <w:rsid w:val="00B267EF"/>
    <w:rsid w:val="00B26CA1"/>
    <w:rsid w:val="00B26D9C"/>
    <w:rsid w:val="00B27230"/>
    <w:rsid w:val="00B27330"/>
    <w:rsid w:val="00B27604"/>
    <w:rsid w:val="00B27C48"/>
    <w:rsid w:val="00B30197"/>
    <w:rsid w:val="00B30572"/>
    <w:rsid w:val="00B30927"/>
    <w:rsid w:val="00B30B63"/>
    <w:rsid w:val="00B31102"/>
    <w:rsid w:val="00B31175"/>
    <w:rsid w:val="00B31581"/>
    <w:rsid w:val="00B317FA"/>
    <w:rsid w:val="00B31CC8"/>
    <w:rsid w:val="00B31D2A"/>
    <w:rsid w:val="00B31D86"/>
    <w:rsid w:val="00B31D9F"/>
    <w:rsid w:val="00B32179"/>
    <w:rsid w:val="00B32674"/>
    <w:rsid w:val="00B326B1"/>
    <w:rsid w:val="00B32952"/>
    <w:rsid w:val="00B329AB"/>
    <w:rsid w:val="00B32B42"/>
    <w:rsid w:val="00B3303A"/>
    <w:rsid w:val="00B33B76"/>
    <w:rsid w:val="00B34491"/>
    <w:rsid w:val="00B34EEF"/>
    <w:rsid w:val="00B35327"/>
    <w:rsid w:val="00B3541B"/>
    <w:rsid w:val="00B35DFD"/>
    <w:rsid w:val="00B36C48"/>
    <w:rsid w:val="00B36CEB"/>
    <w:rsid w:val="00B36D73"/>
    <w:rsid w:val="00B37736"/>
    <w:rsid w:val="00B378C2"/>
    <w:rsid w:val="00B379E2"/>
    <w:rsid w:val="00B37C45"/>
    <w:rsid w:val="00B37E7E"/>
    <w:rsid w:val="00B40084"/>
    <w:rsid w:val="00B400FE"/>
    <w:rsid w:val="00B40A0F"/>
    <w:rsid w:val="00B41BA5"/>
    <w:rsid w:val="00B41BD2"/>
    <w:rsid w:val="00B41D13"/>
    <w:rsid w:val="00B42443"/>
    <w:rsid w:val="00B426A3"/>
    <w:rsid w:val="00B427FF"/>
    <w:rsid w:val="00B42804"/>
    <w:rsid w:val="00B42C10"/>
    <w:rsid w:val="00B42E7A"/>
    <w:rsid w:val="00B43095"/>
    <w:rsid w:val="00B431DA"/>
    <w:rsid w:val="00B433DB"/>
    <w:rsid w:val="00B437F0"/>
    <w:rsid w:val="00B43867"/>
    <w:rsid w:val="00B439D5"/>
    <w:rsid w:val="00B43C84"/>
    <w:rsid w:val="00B43D70"/>
    <w:rsid w:val="00B443F0"/>
    <w:rsid w:val="00B44697"/>
    <w:rsid w:val="00B446FB"/>
    <w:rsid w:val="00B447C8"/>
    <w:rsid w:val="00B44942"/>
    <w:rsid w:val="00B44B39"/>
    <w:rsid w:val="00B44CD2"/>
    <w:rsid w:val="00B44EF8"/>
    <w:rsid w:val="00B451DD"/>
    <w:rsid w:val="00B45254"/>
    <w:rsid w:val="00B45295"/>
    <w:rsid w:val="00B4543C"/>
    <w:rsid w:val="00B45598"/>
    <w:rsid w:val="00B455F9"/>
    <w:rsid w:val="00B457AC"/>
    <w:rsid w:val="00B45ECA"/>
    <w:rsid w:val="00B4605B"/>
    <w:rsid w:val="00B46176"/>
    <w:rsid w:val="00B46243"/>
    <w:rsid w:val="00B46BDD"/>
    <w:rsid w:val="00B46BEE"/>
    <w:rsid w:val="00B46CFA"/>
    <w:rsid w:val="00B46EF5"/>
    <w:rsid w:val="00B4712E"/>
    <w:rsid w:val="00B47301"/>
    <w:rsid w:val="00B4796A"/>
    <w:rsid w:val="00B47DAA"/>
    <w:rsid w:val="00B47FFA"/>
    <w:rsid w:val="00B50239"/>
    <w:rsid w:val="00B50391"/>
    <w:rsid w:val="00B504D5"/>
    <w:rsid w:val="00B50546"/>
    <w:rsid w:val="00B509FF"/>
    <w:rsid w:val="00B50BB0"/>
    <w:rsid w:val="00B50BCB"/>
    <w:rsid w:val="00B50ED2"/>
    <w:rsid w:val="00B511E3"/>
    <w:rsid w:val="00B515C1"/>
    <w:rsid w:val="00B51BA4"/>
    <w:rsid w:val="00B51C25"/>
    <w:rsid w:val="00B51C27"/>
    <w:rsid w:val="00B51D2B"/>
    <w:rsid w:val="00B5229E"/>
    <w:rsid w:val="00B52379"/>
    <w:rsid w:val="00B52576"/>
    <w:rsid w:val="00B52DFA"/>
    <w:rsid w:val="00B52E65"/>
    <w:rsid w:val="00B532A5"/>
    <w:rsid w:val="00B533B3"/>
    <w:rsid w:val="00B533C0"/>
    <w:rsid w:val="00B53EAC"/>
    <w:rsid w:val="00B54156"/>
    <w:rsid w:val="00B54B4B"/>
    <w:rsid w:val="00B55271"/>
    <w:rsid w:val="00B55315"/>
    <w:rsid w:val="00B56110"/>
    <w:rsid w:val="00B56657"/>
    <w:rsid w:val="00B566DF"/>
    <w:rsid w:val="00B5671A"/>
    <w:rsid w:val="00B5702A"/>
    <w:rsid w:val="00B572AF"/>
    <w:rsid w:val="00B57B9F"/>
    <w:rsid w:val="00B60236"/>
    <w:rsid w:val="00B6073D"/>
    <w:rsid w:val="00B60F57"/>
    <w:rsid w:val="00B611AC"/>
    <w:rsid w:val="00B612BA"/>
    <w:rsid w:val="00B61968"/>
    <w:rsid w:val="00B61ACC"/>
    <w:rsid w:val="00B61C66"/>
    <w:rsid w:val="00B61D89"/>
    <w:rsid w:val="00B6297B"/>
    <w:rsid w:val="00B62A75"/>
    <w:rsid w:val="00B62B13"/>
    <w:rsid w:val="00B62E42"/>
    <w:rsid w:val="00B62EC1"/>
    <w:rsid w:val="00B636F6"/>
    <w:rsid w:val="00B636F7"/>
    <w:rsid w:val="00B6375D"/>
    <w:rsid w:val="00B63E6B"/>
    <w:rsid w:val="00B643FB"/>
    <w:rsid w:val="00B648F4"/>
    <w:rsid w:val="00B64ED8"/>
    <w:rsid w:val="00B6545D"/>
    <w:rsid w:val="00B65713"/>
    <w:rsid w:val="00B65773"/>
    <w:rsid w:val="00B65A58"/>
    <w:rsid w:val="00B65EB3"/>
    <w:rsid w:val="00B66358"/>
    <w:rsid w:val="00B669B0"/>
    <w:rsid w:val="00B67654"/>
    <w:rsid w:val="00B67A1C"/>
    <w:rsid w:val="00B700D4"/>
    <w:rsid w:val="00B7090A"/>
    <w:rsid w:val="00B70BA3"/>
    <w:rsid w:val="00B71070"/>
    <w:rsid w:val="00B71618"/>
    <w:rsid w:val="00B71812"/>
    <w:rsid w:val="00B71FE3"/>
    <w:rsid w:val="00B72160"/>
    <w:rsid w:val="00B72873"/>
    <w:rsid w:val="00B72EC0"/>
    <w:rsid w:val="00B72FE5"/>
    <w:rsid w:val="00B73E3C"/>
    <w:rsid w:val="00B73F0F"/>
    <w:rsid w:val="00B7430F"/>
    <w:rsid w:val="00B74BE9"/>
    <w:rsid w:val="00B752C1"/>
    <w:rsid w:val="00B75499"/>
    <w:rsid w:val="00B75E08"/>
    <w:rsid w:val="00B76791"/>
    <w:rsid w:val="00B76BD5"/>
    <w:rsid w:val="00B77410"/>
    <w:rsid w:val="00B80620"/>
    <w:rsid w:val="00B80649"/>
    <w:rsid w:val="00B808A9"/>
    <w:rsid w:val="00B80A57"/>
    <w:rsid w:val="00B81242"/>
    <w:rsid w:val="00B81380"/>
    <w:rsid w:val="00B8156C"/>
    <w:rsid w:val="00B81A58"/>
    <w:rsid w:val="00B81C48"/>
    <w:rsid w:val="00B82044"/>
    <w:rsid w:val="00B83026"/>
    <w:rsid w:val="00B83028"/>
    <w:rsid w:val="00B831DB"/>
    <w:rsid w:val="00B8324E"/>
    <w:rsid w:val="00B832C7"/>
    <w:rsid w:val="00B835E5"/>
    <w:rsid w:val="00B838FF"/>
    <w:rsid w:val="00B83978"/>
    <w:rsid w:val="00B83989"/>
    <w:rsid w:val="00B840EC"/>
    <w:rsid w:val="00B8448F"/>
    <w:rsid w:val="00B84491"/>
    <w:rsid w:val="00B84963"/>
    <w:rsid w:val="00B85161"/>
    <w:rsid w:val="00B8597B"/>
    <w:rsid w:val="00B85F50"/>
    <w:rsid w:val="00B86056"/>
    <w:rsid w:val="00B860B0"/>
    <w:rsid w:val="00B86248"/>
    <w:rsid w:val="00B863F9"/>
    <w:rsid w:val="00B87954"/>
    <w:rsid w:val="00B903A3"/>
    <w:rsid w:val="00B905FE"/>
    <w:rsid w:val="00B909A3"/>
    <w:rsid w:val="00B90A94"/>
    <w:rsid w:val="00B90D5A"/>
    <w:rsid w:val="00B90E85"/>
    <w:rsid w:val="00B90EB2"/>
    <w:rsid w:val="00B913A3"/>
    <w:rsid w:val="00B917B8"/>
    <w:rsid w:val="00B91F02"/>
    <w:rsid w:val="00B92571"/>
    <w:rsid w:val="00B92639"/>
    <w:rsid w:val="00B92703"/>
    <w:rsid w:val="00B927A1"/>
    <w:rsid w:val="00B92AED"/>
    <w:rsid w:val="00B92DFF"/>
    <w:rsid w:val="00B92FAA"/>
    <w:rsid w:val="00B93501"/>
    <w:rsid w:val="00B93954"/>
    <w:rsid w:val="00B93D1A"/>
    <w:rsid w:val="00B93F2C"/>
    <w:rsid w:val="00B94CE9"/>
    <w:rsid w:val="00B9536A"/>
    <w:rsid w:val="00B956B4"/>
    <w:rsid w:val="00B956F9"/>
    <w:rsid w:val="00B9570B"/>
    <w:rsid w:val="00B95791"/>
    <w:rsid w:val="00B959F0"/>
    <w:rsid w:val="00B95B1D"/>
    <w:rsid w:val="00B95B78"/>
    <w:rsid w:val="00B95F24"/>
    <w:rsid w:val="00B963E4"/>
    <w:rsid w:val="00B963FC"/>
    <w:rsid w:val="00B9645E"/>
    <w:rsid w:val="00B974AD"/>
    <w:rsid w:val="00B97530"/>
    <w:rsid w:val="00B978CB"/>
    <w:rsid w:val="00B97A30"/>
    <w:rsid w:val="00B97BAD"/>
    <w:rsid w:val="00B97C94"/>
    <w:rsid w:val="00B97E13"/>
    <w:rsid w:val="00BA000D"/>
    <w:rsid w:val="00BA0E42"/>
    <w:rsid w:val="00BA0E47"/>
    <w:rsid w:val="00BA11F9"/>
    <w:rsid w:val="00BA12B6"/>
    <w:rsid w:val="00BA13A2"/>
    <w:rsid w:val="00BA14DD"/>
    <w:rsid w:val="00BA17C5"/>
    <w:rsid w:val="00BA18E0"/>
    <w:rsid w:val="00BA1D2D"/>
    <w:rsid w:val="00BA1E35"/>
    <w:rsid w:val="00BA2500"/>
    <w:rsid w:val="00BA263C"/>
    <w:rsid w:val="00BA26AD"/>
    <w:rsid w:val="00BA293C"/>
    <w:rsid w:val="00BA3016"/>
    <w:rsid w:val="00BA3280"/>
    <w:rsid w:val="00BA34C7"/>
    <w:rsid w:val="00BA3835"/>
    <w:rsid w:val="00BA3F95"/>
    <w:rsid w:val="00BA4721"/>
    <w:rsid w:val="00BA4B05"/>
    <w:rsid w:val="00BA4B7E"/>
    <w:rsid w:val="00BA4C6E"/>
    <w:rsid w:val="00BA6377"/>
    <w:rsid w:val="00BA681D"/>
    <w:rsid w:val="00BA70DA"/>
    <w:rsid w:val="00BA717F"/>
    <w:rsid w:val="00BA7729"/>
    <w:rsid w:val="00BA78F0"/>
    <w:rsid w:val="00BA790E"/>
    <w:rsid w:val="00BA7DF5"/>
    <w:rsid w:val="00BB0373"/>
    <w:rsid w:val="00BB0FE6"/>
    <w:rsid w:val="00BB144E"/>
    <w:rsid w:val="00BB1587"/>
    <w:rsid w:val="00BB170A"/>
    <w:rsid w:val="00BB1873"/>
    <w:rsid w:val="00BB1DB7"/>
    <w:rsid w:val="00BB2446"/>
    <w:rsid w:val="00BB24D6"/>
    <w:rsid w:val="00BB2711"/>
    <w:rsid w:val="00BB27FE"/>
    <w:rsid w:val="00BB3079"/>
    <w:rsid w:val="00BB3086"/>
    <w:rsid w:val="00BB35C6"/>
    <w:rsid w:val="00BB3649"/>
    <w:rsid w:val="00BB3AC1"/>
    <w:rsid w:val="00BB3BD1"/>
    <w:rsid w:val="00BB3C9E"/>
    <w:rsid w:val="00BB3F9F"/>
    <w:rsid w:val="00BB422B"/>
    <w:rsid w:val="00BB446A"/>
    <w:rsid w:val="00BB470E"/>
    <w:rsid w:val="00BB48CA"/>
    <w:rsid w:val="00BB4C19"/>
    <w:rsid w:val="00BB4DF4"/>
    <w:rsid w:val="00BB51F8"/>
    <w:rsid w:val="00BB5449"/>
    <w:rsid w:val="00BB5591"/>
    <w:rsid w:val="00BB5974"/>
    <w:rsid w:val="00BB59E1"/>
    <w:rsid w:val="00BB5A7E"/>
    <w:rsid w:val="00BB5B3D"/>
    <w:rsid w:val="00BB61A0"/>
    <w:rsid w:val="00BB6444"/>
    <w:rsid w:val="00BB668B"/>
    <w:rsid w:val="00BB6AC9"/>
    <w:rsid w:val="00BB71AD"/>
    <w:rsid w:val="00BB7302"/>
    <w:rsid w:val="00BB7B9D"/>
    <w:rsid w:val="00BC0146"/>
    <w:rsid w:val="00BC035B"/>
    <w:rsid w:val="00BC07BF"/>
    <w:rsid w:val="00BC1280"/>
    <w:rsid w:val="00BC14F7"/>
    <w:rsid w:val="00BC16AF"/>
    <w:rsid w:val="00BC1C14"/>
    <w:rsid w:val="00BC1CD7"/>
    <w:rsid w:val="00BC1D71"/>
    <w:rsid w:val="00BC23B4"/>
    <w:rsid w:val="00BC26A1"/>
    <w:rsid w:val="00BC2707"/>
    <w:rsid w:val="00BC2A5C"/>
    <w:rsid w:val="00BC3320"/>
    <w:rsid w:val="00BC3390"/>
    <w:rsid w:val="00BC3B28"/>
    <w:rsid w:val="00BC47AD"/>
    <w:rsid w:val="00BC4901"/>
    <w:rsid w:val="00BC5544"/>
    <w:rsid w:val="00BC5775"/>
    <w:rsid w:val="00BC590E"/>
    <w:rsid w:val="00BC5AC0"/>
    <w:rsid w:val="00BC5B56"/>
    <w:rsid w:val="00BC667E"/>
    <w:rsid w:val="00BC7205"/>
    <w:rsid w:val="00BC764B"/>
    <w:rsid w:val="00BC77EC"/>
    <w:rsid w:val="00BC7C66"/>
    <w:rsid w:val="00BC7E6C"/>
    <w:rsid w:val="00BD005E"/>
    <w:rsid w:val="00BD08C3"/>
    <w:rsid w:val="00BD0DB7"/>
    <w:rsid w:val="00BD0EF8"/>
    <w:rsid w:val="00BD11D5"/>
    <w:rsid w:val="00BD145A"/>
    <w:rsid w:val="00BD1965"/>
    <w:rsid w:val="00BD1C95"/>
    <w:rsid w:val="00BD1E92"/>
    <w:rsid w:val="00BD2902"/>
    <w:rsid w:val="00BD2D27"/>
    <w:rsid w:val="00BD2D43"/>
    <w:rsid w:val="00BD383A"/>
    <w:rsid w:val="00BD3A5A"/>
    <w:rsid w:val="00BD3E72"/>
    <w:rsid w:val="00BD3EF2"/>
    <w:rsid w:val="00BD4314"/>
    <w:rsid w:val="00BD4415"/>
    <w:rsid w:val="00BD45BB"/>
    <w:rsid w:val="00BD478B"/>
    <w:rsid w:val="00BD4B6A"/>
    <w:rsid w:val="00BD4CED"/>
    <w:rsid w:val="00BD4FC1"/>
    <w:rsid w:val="00BD58B9"/>
    <w:rsid w:val="00BD6378"/>
    <w:rsid w:val="00BD66B8"/>
    <w:rsid w:val="00BD6AF1"/>
    <w:rsid w:val="00BD6EAA"/>
    <w:rsid w:val="00BD7091"/>
    <w:rsid w:val="00BD7587"/>
    <w:rsid w:val="00BD7B09"/>
    <w:rsid w:val="00BD7B13"/>
    <w:rsid w:val="00BD7B3E"/>
    <w:rsid w:val="00BD7D7D"/>
    <w:rsid w:val="00BE002E"/>
    <w:rsid w:val="00BE01CD"/>
    <w:rsid w:val="00BE085F"/>
    <w:rsid w:val="00BE0C5F"/>
    <w:rsid w:val="00BE0E25"/>
    <w:rsid w:val="00BE201D"/>
    <w:rsid w:val="00BE226A"/>
    <w:rsid w:val="00BE23B7"/>
    <w:rsid w:val="00BE26C3"/>
    <w:rsid w:val="00BE2949"/>
    <w:rsid w:val="00BE2C72"/>
    <w:rsid w:val="00BE2D1C"/>
    <w:rsid w:val="00BE3069"/>
    <w:rsid w:val="00BE3323"/>
    <w:rsid w:val="00BE36D7"/>
    <w:rsid w:val="00BE40E7"/>
    <w:rsid w:val="00BE40EA"/>
    <w:rsid w:val="00BE4443"/>
    <w:rsid w:val="00BE494C"/>
    <w:rsid w:val="00BE4F58"/>
    <w:rsid w:val="00BE509D"/>
    <w:rsid w:val="00BE618D"/>
    <w:rsid w:val="00BE6263"/>
    <w:rsid w:val="00BE6514"/>
    <w:rsid w:val="00BE65EE"/>
    <w:rsid w:val="00BE65F7"/>
    <w:rsid w:val="00BE667F"/>
    <w:rsid w:val="00BE6EAD"/>
    <w:rsid w:val="00BE7402"/>
    <w:rsid w:val="00BE7D0B"/>
    <w:rsid w:val="00BE7E61"/>
    <w:rsid w:val="00BF00AE"/>
    <w:rsid w:val="00BF061F"/>
    <w:rsid w:val="00BF0C51"/>
    <w:rsid w:val="00BF0FCE"/>
    <w:rsid w:val="00BF19E0"/>
    <w:rsid w:val="00BF1ACB"/>
    <w:rsid w:val="00BF1C27"/>
    <w:rsid w:val="00BF1E82"/>
    <w:rsid w:val="00BF24B2"/>
    <w:rsid w:val="00BF2C30"/>
    <w:rsid w:val="00BF3801"/>
    <w:rsid w:val="00BF380A"/>
    <w:rsid w:val="00BF3CFA"/>
    <w:rsid w:val="00BF3D8B"/>
    <w:rsid w:val="00BF414F"/>
    <w:rsid w:val="00BF4238"/>
    <w:rsid w:val="00BF5111"/>
    <w:rsid w:val="00BF528E"/>
    <w:rsid w:val="00BF5459"/>
    <w:rsid w:val="00BF55D7"/>
    <w:rsid w:val="00BF55F3"/>
    <w:rsid w:val="00BF5963"/>
    <w:rsid w:val="00BF5AC6"/>
    <w:rsid w:val="00BF5EF6"/>
    <w:rsid w:val="00BF5F17"/>
    <w:rsid w:val="00BF6B6C"/>
    <w:rsid w:val="00BF6C9C"/>
    <w:rsid w:val="00BF715B"/>
    <w:rsid w:val="00BF7955"/>
    <w:rsid w:val="00BF79B5"/>
    <w:rsid w:val="00BF7CBC"/>
    <w:rsid w:val="00C00248"/>
    <w:rsid w:val="00C003AB"/>
    <w:rsid w:val="00C004EF"/>
    <w:rsid w:val="00C0078A"/>
    <w:rsid w:val="00C00A63"/>
    <w:rsid w:val="00C00C4F"/>
    <w:rsid w:val="00C00D86"/>
    <w:rsid w:val="00C0111E"/>
    <w:rsid w:val="00C012A6"/>
    <w:rsid w:val="00C0155A"/>
    <w:rsid w:val="00C01626"/>
    <w:rsid w:val="00C0168D"/>
    <w:rsid w:val="00C01A76"/>
    <w:rsid w:val="00C01CD4"/>
    <w:rsid w:val="00C01E89"/>
    <w:rsid w:val="00C020F4"/>
    <w:rsid w:val="00C0212B"/>
    <w:rsid w:val="00C02273"/>
    <w:rsid w:val="00C02375"/>
    <w:rsid w:val="00C02476"/>
    <w:rsid w:val="00C0299D"/>
    <w:rsid w:val="00C03C57"/>
    <w:rsid w:val="00C03F1C"/>
    <w:rsid w:val="00C04850"/>
    <w:rsid w:val="00C04B6A"/>
    <w:rsid w:val="00C04BE8"/>
    <w:rsid w:val="00C04F21"/>
    <w:rsid w:val="00C04F6F"/>
    <w:rsid w:val="00C0570A"/>
    <w:rsid w:val="00C05740"/>
    <w:rsid w:val="00C0587E"/>
    <w:rsid w:val="00C058F2"/>
    <w:rsid w:val="00C05A87"/>
    <w:rsid w:val="00C06195"/>
    <w:rsid w:val="00C0619D"/>
    <w:rsid w:val="00C06614"/>
    <w:rsid w:val="00C06974"/>
    <w:rsid w:val="00C06A30"/>
    <w:rsid w:val="00C06A95"/>
    <w:rsid w:val="00C06D85"/>
    <w:rsid w:val="00C07036"/>
    <w:rsid w:val="00C075D7"/>
    <w:rsid w:val="00C07617"/>
    <w:rsid w:val="00C07AD3"/>
    <w:rsid w:val="00C07C4C"/>
    <w:rsid w:val="00C10A54"/>
    <w:rsid w:val="00C10AB4"/>
    <w:rsid w:val="00C11169"/>
    <w:rsid w:val="00C11589"/>
    <w:rsid w:val="00C11961"/>
    <w:rsid w:val="00C11BA2"/>
    <w:rsid w:val="00C12286"/>
    <w:rsid w:val="00C127BC"/>
    <w:rsid w:val="00C12BFF"/>
    <w:rsid w:val="00C12DE2"/>
    <w:rsid w:val="00C13B27"/>
    <w:rsid w:val="00C13C45"/>
    <w:rsid w:val="00C13E36"/>
    <w:rsid w:val="00C14164"/>
    <w:rsid w:val="00C1433B"/>
    <w:rsid w:val="00C144D8"/>
    <w:rsid w:val="00C1457D"/>
    <w:rsid w:val="00C145FF"/>
    <w:rsid w:val="00C1468F"/>
    <w:rsid w:val="00C1493D"/>
    <w:rsid w:val="00C1496F"/>
    <w:rsid w:val="00C14F81"/>
    <w:rsid w:val="00C150B1"/>
    <w:rsid w:val="00C15304"/>
    <w:rsid w:val="00C155A8"/>
    <w:rsid w:val="00C155FF"/>
    <w:rsid w:val="00C15938"/>
    <w:rsid w:val="00C16064"/>
    <w:rsid w:val="00C1668A"/>
    <w:rsid w:val="00C16731"/>
    <w:rsid w:val="00C17069"/>
    <w:rsid w:val="00C17972"/>
    <w:rsid w:val="00C17D27"/>
    <w:rsid w:val="00C17E2A"/>
    <w:rsid w:val="00C17FC2"/>
    <w:rsid w:val="00C200DC"/>
    <w:rsid w:val="00C208D5"/>
    <w:rsid w:val="00C20B5C"/>
    <w:rsid w:val="00C20DA4"/>
    <w:rsid w:val="00C21124"/>
    <w:rsid w:val="00C21292"/>
    <w:rsid w:val="00C213D9"/>
    <w:rsid w:val="00C2164C"/>
    <w:rsid w:val="00C216C0"/>
    <w:rsid w:val="00C21C14"/>
    <w:rsid w:val="00C22270"/>
    <w:rsid w:val="00C226A0"/>
    <w:rsid w:val="00C23367"/>
    <w:rsid w:val="00C235A2"/>
    <w:rsid w:val="00C23612"/>
    <w:rsid w:val="00C2373A"/>
    <w:rsid w:val="00C24281"/>
    <w:rsid w:val="00C242C3"/>
    <w:rsid w:val="00C247F4"/>
    <w:rsid w:val="00C248F4"/>
    <w:rsid w:val="00C24B51"/>
    <w:rsid w:val="00C24C2D"/>
    <w:rsid w:val="00C24C7A"/>
    <w:rsid w:val="00C25070"/>
    <w:rsid w:val="00C2538D"/>
    <w:rsid w:val="00C25653"/>
    <w:rsid w:val="00C25809"/>
    <w:rsid w:val="00C27492"/>
    <w:rsid w:val="00C27BC9"/>
    <w:rsid w:val="00C30369"/>
    <w:rsid w:val="00C3045C"/>
    <w:rsid w:val="00C30CB0"/>
    <w:rsid w:val="00C312DE"/>
    <w:rsid w:val="00C312FB"/>
    <w:rsid w:val="00C3140B"/>
    <w:rsid w:val="00C316AD"/>
    <w:rsid w:val="00C3192D"/>
    <w:rsid w:val="00C31ED4"/>
    <w:rsid w:val="00C33437"/>
    <w:rsid w:val="00C339E4"/>
    <w:rsid w:val="00C33D3A"/>
    <w:rsid w:val="00C33DBF"/>
    <w:rsid w:val="00C33E2E"/>
    <w:rsid w:val="00C33E41"/>
    <w:rsid w:val="00C33EC4"/>
    <w:rsid w:val="00C3424A"/>
    <w:rsid w:val="00C34949"/>
    <w:rsid w:val="00C34A0F"/>
    <w:rsid w:val="00C34CB2"/>
    <w:rsid w:val="00C35234"/>
    <w:rsid w:val="00C35E48"/>
    <w:rsid w:val="00C35F27"/>
    <w:rsid w:val="00C36019"/>
    <w:rsid w:val="00C365B8"/>
    <w:rsid w:val="00C36C2B"/>
    <w:rsid w:val="00C36CDD"/>
    <w:rsid w:val="00C371F7"/>
    <w:rsid w:val="00C379DC"/>
    <w:rsid w:val="00C37D7A"/>
    <w:rsid w:val="00C4023C"/>
    <w:rsid w:val="00C40369"/>
    <w:rsid w:val="00C404FA"/>
    <w:rsid w:val="00C405D8"/>
    <w:rsid w:val="00C40787"/>
    <w:rsid w:val="00C4081E"/>
    <w:rsid w:val="00C409D5"/>
    <w:rsid w:val="00C40DA9"/>
    <w:rsid w:val="00C40F01"/>
    <w:rsid w:val="00C40FB4"/>
    <w:rsid w:val="00C4118B"/>
    <w:rsid w:val="00C411F2"/>
    <w:rsid w:val="00C418F4"/>
    <w:rsid w:val="00C420E2"/>
    <w:rsid w:val="00C42D8A"/>
    <w:rsid w:val="00C42DED"/>
    <w:rsid w:val="00C42F70"/>
    <w:rsid w:val="00C432C4"/>
    <w:rsid w:val="00C4343A"/>
    <w:rsid w:val="00C434DC"/>
    <w:rsid w:val="00C43F8B"/>
    <w:rsid w:val="00C44351"/>
    <w:rsid w:val="00C443BB"/>
    <w:rsid w:val="00C4489E"/>
    <w:rsid w:val="00C44911"/>
    <w:rsid w:val="00C44DDC"/>
    <w:rsid w:val="00C452D0"/>
    <w:rsid w:val="00C45A7D"/>
    <w:rsid w:val="00C46235"/>
    <w:rsid w:val="00C462C9"/>
    <w:rsid w:val="00C46349"/>
    <w:rsid w:val="00C4646F"/>
    <w:rsid w:val="00C4673F"/>
    <w:rsid w:val="00C46884"/>
    <w:rsid w:val="00C46919"/>
    <w:rsid w:val="00C469B3"/>
    <w:rsid w:val="00C46B79"/>
    <w:rsid w:val="00C46C80"/>
    <w:rsid w:val="00C472F2"/>
    <w:rsid w:val="00C47357"/>
    <w:rsid w:val="00C475BF"/>
    <w:rsid w:val="00C47771"/>
    <w:rsid w:val="00C478AE"/>
    <w:rsid w:val="00C4793C"/>
    <w:rsid w:val="00C50908"/>
    <w:rsid w:val="00C50926"/>
    <w:rsid w:val="00C50B04"/>
    <w:rsid w:val="00C50BAB"/>
    <w:rsid w:val="00C50DEF"/>
    <w:rsid w:val="00C50E11"/>
    <w:rsid w:val="00C511AA"/>
    <w:rsid w:val="00C51860"/>
    <w:rsid w:val="00C52083"/>
    <w:rsid w:val="00C522BB"/>
    <w:rsid w:val="00C52C45"/>
    <w:rsid w:val="00C535CC"/>
    <w:rsid w:val="00C53B4C"/>
    <w:rsid w:val="00C53D26"/>
    <w:rsid w:val="00C541D6"/>
    <w:rsid w:val="00C545E8"/>
    <w:rsid w:val="00C54672"/>
    <w:rsid w:val="00C548A7"/>
    <w:rsid w:val="00C548E3"/>
    <w:rsid w:val="00C54965"/>
    <w:rsid w:val="00C54B29"/>
    <w:rsid w:val="00C54EFE"/>
    <w:rsid w:val="00C55517"/>
    <w:rsid w:val="00C556E1"/>
    <w:rsid w:val="00C55933"/>
    <w:rsid w:val="00C55D99"/>
    <w:rsid w:val="00C5627B"/>
    <w:rsid w:val="00C56943"/>
    <w:rsid w:val="00C56956"/>
    <w:rsid w:val="00C5698E"/>
    <w:rsid w:val="00C56FB1"/>
    <w:rsid w:val="00C571B4"/>
    <w:rsid w:val="00C57351"/>
    <w:rsid w:val="00C573DD"/>
    <w:rsid w:val="00C57590"/>
    <w:rsid w:val="00C57A42"/>
    <w:rsid w:val="00C57FD0"/>
    <w:rsid w:val="00C600A8"/>
    <w:rsid w:val="00C602BD"/>
    <w:rsid w:val="00C60377"/>
    <w:rsid w:val="00C60668"/>
    <w:rsid w:val="00C6099F"/>
    <w:rsid w:val="00C60E34"/>
    <w:rsid w:val="00C60E42"/>
    <w:rsid w:val="00C610D2"/>
    <w:rsid w:val="00C613FA"/>
    <w:rsid w:val="00C614EC"/>
    <w:rsid w:val="00C61AAB"/>
    <w:rsid w:val="00C61E40"/>
    <w:rsid w:val="00C62B2F"/>
    <w:rsid w:val="00C636EE"/>
    <w:rsid w:val="00C63E6C"/>
    <w:rsid w:val="00C64158"/>
    <w:rsid w:val="00C6428C"/>
    <w:rsid w:val="00C64ACD"/>
    <w:rsid w:val="00C64D16"/>
    <w:rsid w:val="00C64D6A"/>
    <w:rsid w:val="00C64EDA"/>
    <w:rsid w:val="00C64F95"/>
    <w:rsid w:val="00C64FE0"/>
    <w:rsid w:val="00C6548E"/>
    <w:rsid w:val="00C6559B"/>
    <w:rsid w:val="00C65759"/>
    <w:rsid w:val="00C65933"/>
    <w:rsid w:val="00C659BA"/>
    <w:rsid w:val="00C65AB8"/>
    <w:rsid w:val="00C65C20"/>
    <w:rsid w:val="00C6645E"/>
    <w:rsid w:val="00C6673E"/>
    <w:rsid w:val="00C6697D"/>
    <w:rsid w:val="00C669B7"/>
    <w:rsid w:val="00C67FF7"/>
    <w:rsid w:val="00C70F61"/>
    <w:rsid w:val="00C713DE"/>
    <w:rsid w:val="00C7145F"/>
    <w:rsid w:val="00C71EE9"/>
    <w:rsid w:val="00C720F3"/>
    <w:rsid w:val="00C72154"/>
    <w:rsid w:val="00C72B6A"/>
    <w:rsid w:val="00C72EF3"/>
    <w:rsid w:val="00C7355B"/>
    <w:rsid w:val="00C73637"/>
    <w:rsid w:val="00C73A62"/>
    <w:rsid w:val="00C73B68"/>
    <w:rsid w:val="00C73BD7"/>
    <w:rsid w:val="00C73EBB"/>
    <w:rsid w:val="00C741BE"/>
    <w:rsid w:val="00C74DCD"/>
    <w:rsid w:val="00C75516"/>
    <w:rsid w:val="00C75809"/>
    <w:rsid w:val="00C75C43"/>
    <w:rsid w:val="00C76855"/>
    <w:rsid w:val="00C76C43"/>
    <w:rsid w:val="00C77669"/>
    <w:rsid w:val="00C77D51"/>
    <w:rsid w:val="00C77FEB"/>
    <w:rsid w:val="00C8009B"/>
    <w:rsid w:val="00C809EC"/>
    <w:rsid w:val="00C80ED6"/>
    <w:rsid w:val="00C8100B"/>
    <w:rsid w:val="00C81B27"/>
    <w:rsid w:val="00C81C0E"/>
    <w:rsid w:val="00C81CE6"/>
    <w:rsid w:val="00C82311"/>
    <w:rsid w:val="00C823B5"/>
    <w:rsid w:val="00C82B95"/>
    <w:rsid w:val="00C82CCB"/>
    <w:rsid w:val="00C82DE5"/>
    <w:rsid w:val="00C82F4B"/>
    <w:rsid w:val="00C82FB0"/>
    <w:rsid w:val="00C83AFD"/>
    <w:rsid w:val="00C847ED"/>
    <w:rsid w:val="00C84A86"/>
    <w:rsid w:val="00C84AB7"/>
    <w:rsid w:val="00C84C98"/>
    <w:rsid w:val="00C84D60"/>
    <w:rsid w:val="00C85577"/>
    <w:rsid w:val="00C859E1"/>
    <w:rsid w:val="00C85AF6"/>
    <w:rsid w:val="00C85C0F"/>
    <w:rsid w:val="00C85DE3"/>
    <w:rsid w:val="00C85E53"/>
    <w:rsid w:val="00C8617D"/>
    <w:rsid w:val="00C871ED"/>
    <w:rsid w:val="00C87254"/>
    <w:rsid w:val="00C87281"/>
    <w:rsid w:val="00C8730B"/>
    <w:rsid w:val="00C8784F"/>
    <w:rsid w:val="00C87A8F"/>
    <w:rsid w:val="00C9012D"/>
    <w:rsid w:val="00C9070B"/>
    <w:rsid w:val="00C9076F"/>
    <w:rsid w:val="00C907FE"/>
    <w:rsid w:val="00C908AD"/>
    <w:rsid w:val="00C90C1D"/>
    <w:rsid w:val="00C90F5A"/>
    <w:rsid w:val="00C914A8"/>
    <w:rsid w:val="00C91624"/>
    <w:rsid w:val="00C9179C"/>
    <w:rsid w:val="00C91A92"/>
    <w:rsid w:val="00C91E3C"/>
    <w:rsid w:val="00C923B7"/>
    <w:rsid w:val="00C924D6"/>
    <w:rsid w:val="00C927A7"/>
    <w:rsid w:val="00C931C4"/>
    <w:rsid w:val="00C93290"/>
    <w:rsid w:val="00C93B62"/>
    <w:rsid w:val="00C93D1E"/>
    <w:rsid w:val="00C9423F"/>
    <w:rsid w:val="00C9453B"/>
    <w:rsid w:val="00C94751"/>
    <w:rsid w:val="00C948D6"/>
    <w:rsid w:val="00C949C1"/>
    <w:rsid w:val="00C94D7E"/>
    <w:rsid w:val="00C94E3C"/>
    <w:rsid w:val="00C95601"/>
    <w:rsid w:val="00C95721"/>
    <w:rsid w:val="00C95E0F"/>
    <w:rsid w:val="00C95F15"/>
    <w:rsid w:val="00C95FE1"/>
    <w:rsid w:val="00C9615E"/>
    <w:rsid w:val="00C9616A"/>
    <w:rsid w:val="00C964AF"/>
    <w:rsid w:val="00C9654E"/>
    <w:rsid w:val="00C965D5"/>
    <w:rsid w:val="00C969B7"/>
    <w:rsid w:val="00C96AF6"/>
    <w:rsid w:val="00C96B83"/>
    <w:rsid w:val="00C96EAD"/>
    <w:rsid w:val="00C972E1"/>
    <w:rsid w:val="00C97E44"/>
    <w:rsid w:val="00C97F4E"/>
    <w:rsid w:val="00CA04FC"/>
    <w:rsid w:val="00CA07F8"/>
    <w:rsid w:val="00CA0823"/>
    <w:rsid w:val="00CA0F3A"/>
    <w:rsid w:val="00CA11B6"/>
    <w:rsid w:val="00CA1518"/>
    <w:rsid w:val="00CA1E3C"/>
    <w:rsid w:val="00CA1FE1"/>
    <w:rsid w:val="00CA2179"/>
    <w:rsid w:val="00CA23E6"/>
    <w:rsid w:val="00CA28EC"/>
    <w:rsid w:val="00CA2A33"/>
    <w:rsid w:val="00CA2F9A"/>
    <w:rsid w:val="00CA2FDC"/>
    <w:rsid w:val="00CA313F"/>
    <w:rsid w:val="00CA3974"/>
    <w:rsid w:val="00CA3EF9"/>
    <w:rsid w:val="00CA3FC2"/>
    <w:rsid w:val="00CA4206"/>
    <w:rsid w:val="00CA444C"/>
    <w:rsid w:val="00CA4A73"/>
    <w:rsid w:val="00CA4BB2"/>
    <w:rsid w:val="00CA5040"/>
    <w:rsid w:val="00CA553D"/>
    <w:rsid w:val="00CA57C7"/>
    <w:rsid w:val="00CA67A6"/>
    <w:rsid w:val="00CA6869"/>
    <w:rsid w:val="00CA6D54"/>
    <w:rsid w:val="00CA734E"/>
    <w:rsid w:val="00CA74A5"/>
    <w:rsid w:val="00CB03BB"/>
    <w:rsid w:val="00CB049F"/>
    <w:rsid w:val="00CB064E"/>
    <w:rsid w:val="00CB07A0"/>
    <w:rsid w:val="00CB1262"/>
    <w:rsid w:val="00CB1495"/>
    <w:rsid w:val="00CB175C"/>
    <w:rsid w:val="00CB209C"/>
    <w:rsid w:val="00CB25A4"/>
    <w:rsid w:val="00CB274E"/>
    <w:rsid w:val="00CB2798"/>
    <w:rsid w:val="00CB292D"/>
    <w:rsid w:val="00CB2BBB"/>
    <w:rsid w:val="00CB3161"/>
    <w:rsid w:val="00CB316D"/>
    <w:rsid w:val="00CB3895"/>
    <w:rsid w:val="00CB3AFC"/>
    <w:rsid w:val="00CB3CB1"/>
    <w:rsid w:val="00CB3F44"/>
    <w:rsid w:val="00CB4278"/>
    <w:rsid w:val="00CB4DFC"/>
    <w:rsid w:val="00CB4FF5"/>
    <w:rsid w:val="00CB5104"/>
    <w:rsid w:val="00CB5673"/>
    <w:rsid w:val="00CB5A0A"/>
    <w:rsid w:val="00CB5BA9"/>
    <w:rsid w:val="00CB5C4E"/>
    <w:rsid w:val="00CB6451"/>
    <w:rsid w:val="00CB693F"/>
    <w:rsid w:val="00CB6A5F"/>
    <w:rsid w:val="00CB6CB4"/>
    <w:rsid w:val="00CB7012"/>
    <w:rsid w:val="00CB745E"/>
    <w:rsid w:val="00CB7A13"/>
    <w:rsid w:val="00CB7BFE"/>
    <w:rsid w:val="00CB7E15"/>
    <w:rsid w:val="00CC0342"/>
    <w:rsid w:val="00CC047D"/>
    <w:rsid w:val="00CC0659"/>
    <w:rsid w:val="00CC0979"/>
    <w:rsid w:val="00CC09CD"/>
    <w:rsid w:val="00CC0CEE"/>
    <w:rsid w:val="00CC0E14"/>
    <w:rsid w:val="00CC1110"/>
    <w:rsid w:val="00CC1CA7"/>
    <w:rsid w:val="00CC20AF"/>
    <w:rsid w:val="00CC214F"/>
    <w:rsid w:val="00CC24B8"/>
    <w:rsid w:val="00CC2BF9"/>
    <w:rsid w:val="00CC2E03"/>
    <w:rsid w:val="00CC2E6E"/>
    <w:rsid w:val="00CC31C5"/>
    <w:rsid w:val="00CC34E8"/>
    <w:rsid w:val="00CC35FE"/>
    <w:rsid w:val="00CC37DA"/>
    <w:rsid w:val="00CC3E8D"/>
    <w:rsid w:val="00CC4290"/>
    <w:rsid w:val="00CC43BF"/>
    <w:rsid w:val="00CC4DEC"/>
    <w:rsid w:val="00CC509A"/>
    <w:rsid w:val="00CC566B"/>
    <w:rsid w:val="00CC6109"/>
    <w:rsid w:val="00CC62A6"/>
    <w:rsid w:val="00CC6321"/>
    <w:rsid w:val="00CC6DB8"/>
    <w:rsid w:val="00CC708A"/>
    <w:rsid w:val="00CC731F"/>
    <w:rsid w:val="00CC73FE"/>
    <w:rsid w:val="00CC776C"/>
    <w:rsid w:val="00CC77F7"/>
    <w:rsid w:val="00CC7B78"/>
    <w:rsid w:val="00CC7DBA"/>
    <w:rsid w:val="00CD0B83"/>
    <w:rsid w:val="00CD0BA6"/>
    <w:rsid w:val="00CD0D4D"/>
    <w:rsid w:val="00CD0E2E"/>
    <w:rsid w:val="00CD0EB2"/>
    <w:rsid w:val="00CD1048"/>
    <w:rsid w:val="00CD18C7"/>
    <w:rsid w:val="00CD18F9"/>
    <w:rsid w:val="00CD1AC1"/>
    <w:rsid w:val="00CD1AF2"/>
    <w:rsid w:val="00CD218C"/>
    <w:rsid w:val="00CD23FA"/>
    <w:rsid w:val="00CD2932"/>
    <w:rsid w:val="00CD2A9F"/>
    <w:rsid w:val="00CD2CC3"/>
    <w:rsid w:val="00CD2D20"/>
    <w:rsid w:val="00CD2E65"/>
    <w:rsid w:val="00CD33BA"/>
    <w:rsid w:val="00CD3559"/>
    <w:rsid w:val="00CD36FA"/>
    <w:rsid w:val="00CD3C03"/>
    <w:rsid w:val="00CD42FE"/>
    <w:rsid w:val="00CD4474"/>
    <w:rsid w:val="00CD4B5B"/>
    <w:rsid w:val="00CD4B8A"/>
    <w:rsid w:val="00CD503B"/>
    <w:rsid w:val="00CD50F7"/>
    <w:rsid w:val="00CD528F"/>
    <w:rsid w:val="00CD5359"/>
    <w:rsid w:val="00CD5908"/>
    <w:rsid w:val="00CD5BF3"/>
    <w:rsid w:val="00CD5DB0"/>
    <w:rsid w:val="00CD610F"/>
    <w:rsid w:val="00CD620C"/>
    <w:rsid w:val="00CD6331"/>
    <w:rsid w:val="00CD68F5"/>
    <w:rsid w:val="00CD6975"/>
    <w:rsid w:val="00CD6CD5"/>
    <w:rsid w:val="00CD73B0"/>
    <w:rsid w:val="00CD7965"/>
    <w:rsid w:val="00CE01E6"/>
    <w:rsid w:val="00CE0745"/>
    <w:rsid w:val="00CE0BC0"/>
    <w:rsid w:val="00CE0C01"/>
    <w:rsid w:val="00CE0C39"/>
    <w:rsid w:val="00CE0E1A"/>
    <w:rsid w:val="00CE0F05"/>
    <w:rsid w:val="00CE130C"/>
    <w:rsid w:val="00CE1361"/>
    <w:rsid w:val="00CE1CF2"/>
    <w:rsid w:val="00CE2050"/>
    <w:rsid w:val="00CE2218"/>
    <w:rsid w:val="00CE2565"/>
    <w:rsid w:val="00CE2713"/>
    <w:rsid w:val="00CE3114"/>
    <w:rsid w:val="00CE366F"/>
    <w:rsid w:val="00CE38C9"/>
    <w:rsid w:val="00CE406A"/>
    <w:rsid w:val="00CE41AB"/>
    <w:rsid w:val="00CE42ED"/>
    <w:rsid w:val="00CE45DD"/>
    <w:rsid w:val="00CE4B74"/>
    <w:rsid w:val="00CE4D1A"/>
    <w:rsid w:val="00CE5095"/>
    <w:rsid w:val="00CE5590"/>
    <w:rsid w:val="00CE57BA"/>
    <w:rsid w:val="00CE5CC1"/>
    <w:rsid w:val="00CE640C"/>
    <w:rsid w:val="00CE6630"/>
    <w:rsid w:val="00CE6638"/>
    <w:rsid w:val="00CE6940"/>
    <w:rsid w:val="00CE69CA"/>
    <w:rsid w:val="00CE6A26"/>
    <w:rsid w:val="00CE70F1"/>
    <w:rsid w:val="00CE72E9"/>
    <w:rsid w:val="00CE7305"/>
    <w:rsid w:val="00CE73DF"/>
    <w:rsid w:val="00CE7EB8"/>
    <w:rsid w:val="00CE7EC1"/>
    <w:rsid w:val="00CF04AE"/>
    <w:rsid w:val="00CF0B8B"/>
    <w:rsid w:val="00CF0DE3"/>
    <w:rsid w:val="00CF1125"/>
    <w:rsid w:val="00CF1138"/>
    <w:rsid w:val="00CF14BE"/>
    <w:rsid w:val="00CF16C9"/>
    <w:rsid w:val="00CF19F0"/>
    <w:rsid w:val="00CF1B3E"/>
    <w:rsid w:val="00CF1D8C"/>
    <w:rsid w:val="00CF26DF"/>
    <w:rsid w:val="00CF27D4"/>
    <w:rsid w:val="00CF28D6"/>
    <w:rsid w:val="00CF2A0B"/>
    <w:rsid w:val="00CF2D74"/>
    <w:rsid w:val="00CF32C1"/>
    <w:rsid w:val="00CF32E3"/>
    <w:rsid w:val="00CF3791"/>
    <w:rsid w:val="00CF45A3"/>
    <w:rsid w:val="00CF471A"/>
    <w:rsid w:val="00CF4897"/>
    <w:rsid w:val="00CF4D8A"/>
    <w:rsid w:val="00CF4EC0"/>
    <w:rsid w:val="00CF4F28"/>
    <w:rsid w:val="00CF5025"/>
    <w:rsid w:val="00CF521B"/>
    <w:rsid w:val="00CF54FE"/>
    <w:rsid w:val="00CF5A35"/>
    <w:rsid w:val="00CF5C25"/>
    <w:rsid w:val="00CF5E9A"/>
    <w:rsid w:val="00CF6041"/>
    <w:rsid w:val="00CF6101"/>
    <w:rsid w:val="00CF6341"/>
    <w:rsid w:val="00CF65F2"/>
    <w:rsid w:val="00CF696B"/>
    <w:rsid w:val="00CF735E"/>
    <w:rsid w:val="00CF73D2"/>
    <w:rsid w:val="00CF799C"/>
    <w:rsid w:val="00D00223"/>
    <w:rsid w:val="00D0027B"/>
    <w:rsid w:val="00D002B4"/>
    <w:rsid w:val="00D00AB9"/>
    <w:rsid w:val="00D012AD"/>
    <w:rsid w:val="00D01352"/>
    <w:rsid w:val="00D029A3"/>
    <w:rsid w:val="00D02A36"/>
    <w:rsid w:val="00D02C26"/>
    <w:rsid w:val="00D02C97"/>
    <w:rsid w:val="00D02DF5"/>
    <w:rsid w:val="00D03B74"/>
    <w:rsid w:val="00D03CD8"/>
    <w:rsid w:val="00D0446A"/>
    <w:rsid w:val="00D045B8"/>
    <w:rsid w:val="00D04926"/>
    <w:rsid w:val="00D04AAE"/>
    <w:rsid w:val="00D04BEE"/>
    <w:rsid w:val="00D05088"/>
    <w:rsid w:val="00D055E5"/>
    <w:rsid w:val="00D05A79"/>
    <w:rsid w:val="00D05D03"/>
    <w:rsid w:val="00D0642C"/>
    <w:rsid w:val="00D06597"/>
    <w:rsid w:val="00D07378"/>
    <w:rsid w:val="00D073B1"/>
    <w:rsid w:val="00D07579"/>
    <w:rsid w:val="00D075CA"/>
    <w:rsid w:val="00D076D8"/>
    <w:rsid w:val="00D07A1E"/>
    <w:rsid w:val="00D07C66"/>
    <w:rsid w:val="00D07EA2"/>
    <w:rsid w:val="00D1016A"/>
    <w:rsid w:val="00D10327"/>
    <w:rsid w:val="00D10403"/>
    <w:rsid w:val="00D1065E"/>
    <w:rsid w:val="00D10B28"/>
    <w:rsid w:val="00D10CC6"/>
    <w:rsid w:val="00D11221"/>
    <w:rsid w:val="00D1166C"/>
    <w:rsid w:val="00D11A47"/>
    <w:rsid w:val="00D11BC1"/>
    <w:rsid w:val="00D11C0E"/>
    <w:rsid w:val="00D11E71"/>
    <w:rsid w:val="00D1202D"/>
    <w:rsid w:val="00D12A84"/>
    <w:rsid w:val="00D12A91"/>
    <w:rsid w:val="00D12E70"/>
    <w:rsid w:val="00D13070"/>
    <w:rsid w:val="00D134F6"/>
    <w:rsid w:val="00D13541"/>
    <w:rsid w:val="00D13BBC"/>
    <w:rsid w:val="00D13F53"/>
    <w:rsid w:val="00D149A8"/>
    <w:rsid w:val="00D14A69"/>
    <w:rsid w:val="00D15001"/>
    <w:rsid w:val="00D15583"/>
    <w:rsid w:val="00D15B0D"/>
    <w:rsid w:val="00D16193"/>
    <w:rsid w:val="00D162B3"/>
    <w:rsid w:val="00D16A16"/>
    <w:rsid w:val="00D16B93"/>
    <w:rsid w:val="00D16CBB"/>
    <w:rsid w:val="00D16FDF"/>
    <w:rsid w:val="00D1750E"/>
    <w:rsid w:val="00D1768B"/>
    <w:rsid w:val="00D1782B"/>
    <w:rsid w:val="00D17860"/>
    <w:rsid w:val="00D17BD7"/>
    <w:rsid w:val="00D17F33"/>
    <w:rsid w:val="00D2043B"/>
    <w:rsid w:val="00D20C86"/>
    <w:rsid w:val="00D20D0F"/>
    <w:rsid w:val="00D20D1D"/>
    <w:rsid w:val="00D2107C"/>
    <w:rsid w:val="00D214B6"/>
    <w:rsid w:val="00D21551"/>
    <w:rsid w:val="00D2167A"/>
    <w:rsid w:val="00D2191C"/>
    <w:rsid w:val="00D22CCA"/>
    <w:rsid w:val="00D22D89"/>
    <w:rsid w:val="00D23ADD"/>
    <w:rsid w:val="00D24223"/>
    <w:rsid w:val="00D242EB"/>
    <w:rsid w:val="00D24314"/>
    <w:rsid w:val="00D24559"/>
    <w:rsid w:val="00D24642"/>
    <w:rsid w:val="00D24970"/>
    <w:rsid w:val="00D24B07"/>
    <w:rsid w:val="00D24E9E"/>
    <w:rsid w:val="00D25397"/>
    <w:rsid w:val="00D253AB"/>
    <w:rsid w:val="00D257CC"/>
    <w:rsid w:val="00D25CD3"/>
    <w:rsid w:val="00D25E65"/>
    <w:rsid w:val="00D26540"/>
    <w:rsid w:val="00D26825"/>
    <w:rsid w:val="00D26A87"/>
    <w:rsid w:val="00D26B36"/>
    <w:rsid w:val="00D27506"/>
    <w:rsid w:val="00D27526"/>
    <w:rsid w:val="00D275DD"/>
    <w:rsid w:val="00D27B73"/>
    <w:rsid w:val="00D27D32"/>
    <w:rsid w:val="00D27D5E"/>
    <w:rsid w:val="00D27EED"/>
    <w:rsid w:val="00D3021C"/>
    <w:rsid w:val="00D302BB"/>
    <w:rsid w:val="00D30732"/>
    <w:rsid w:val="00D30A80"/>
    <w:rsid w:val="00D30BB8"/>
    <w:rsid w:val="00D30E0F"/>
    <w:rsid w:val="00D30E48"/>
    <w:rsid w:val="00D310C9"/>
    <w:rsid w:val="00D31A72"/>
    <w:rsid w:val="00D32015"/>
    <w:rsid w:val="00D320A4"/>
    <w:rsid w:val="00D3230A"/>
    <w:rsid w:val="00D32651"/>
    <w:rsid w:val="00D3270A"/>
    <w:rsid w:val="00D32819"/>
    <w:rsid w:val="00D32B9F"/>
    <w:rsid w:val="00D32C6A"/>
    <w:rsid w:val="00D32CA9"/>
    <w:rsid w:val="00D32DDD"/>
    <w:rsid w:val="00D333BF"/>
    <w:rsid w:val="00D333E5"/>
    <w:rsid w:val="00D334AF"/>
    <w:rsid w:val="00D33658"/>
    <w:rsid w:val="00D33972"/>
    <w:rsid w:val="00D33975"/>
    <w:rsid w:val="00D33B3B"/>
    <w:rsid w:val="00D33D62"/>
    <w:rsid w:val="00D33EFA"/>
    <w:rsid w:val="00D34091"/>
    <w:rsid w:val="00D3412B"/>
    <w:rsid w:val="00D34486"/>
    <w:rsid w:val="00D3454C"/>
    <w:rsid w:val="00D347AE"/>
    <w:rsid w:val="00D353F5"/>
    <w:rsid w:val="00D35EAF"/>
    <w:rsid w:val="00D360DF"/>
    <w:rsid w:val="00D3610E"/>
    <w:rsid w:val="00D36A47"/>
    <w:rsid w:val="00D36A87"/>
    <w:rsid w:val="00D36FBC"/>
    <w:rsid w:val="00D37342"/>
    <w:rsid w:val="00D373EA"/>
    <w:rsid w:val="00D376AA"/>
    <w:rsid w:val="00D3778B"/>
    <w:rsid w:val="00D37A0C"/>
    <w:rsid w:val="00D37EFD"/>
    <w:rsid w:val="00D40338"/>
    <w:rsid w:val="00D403AD"/>
    <w:rsid w:val="00D40714"/>
    <w:rsid w:val="00D407D2"/>
    <w:rsid w:val="00D40869"/>
    <w:rsid w:val="00D40C77"/>
    <w:rsid w:val="00D40E29"/>
    <w:rsid w:val="00D41811"/>
    <w:rsid w:val="00D418D0"/>
    <w:rsid w:val="00D4194B"/>
    <w:rsid w:val="00D41BD9"/>
    <w:rsid w:val="00D41E0A"/>
    <w:rsid w:val="00D41FF0"/>
    <w:rsid w:val="00D428FE"/>
    <w:rsid w:val="00D42BD4"/>
    <w:rsid w:val="00D43128"/>
    <w:rsid w:val="00D4317B"/>
    <w:rsid w:val="00D43367"/>
    <w:rsid w:val="00D43872"/>
    <w:rsid w:val="00D438B0"/>
    <w:rsid w:val="00D43BEC"/>
    <w:rsid w:val="00D44095"/>
    <w:rsid w:val="00D442E5"/>
    <w:rsid w:val="00D44551"/>
    <w:rsid w:val="00D44638"/>
    <w:rsid w:val="00D4485A"/>
    <w:rsid w:val="00D44D3C"/>
    <w:rsid w:val="00D451F0"/>
    <w:rsid w:val="00D452D4"/>
    <w:rsid w:val="00D4573F"/>
    <w:rsid w:val="00D45810"/>
    <w:rsid w:val="00D45D4A"/>
    <w:rsid w:val="00D45DB7"/>
    <w:rsid w:val="00D46781"/>
    <w:rsid w:val="00D46BDB"/>
    <w:rsid w:val="00D470AF"/>
    <w:rsid w:val="00D474D9"/>
    <w:rsid w:val="00D4791C"/>
    <w:rsid w:val="00D47AB5"/>
    <w:rsid w:val="00D47F53"/>
    <w:rsid w:val="00D507A5"/>
    <w:rsid w:val="00D5094A"/>
    <w:rsid w:val="00D50C95"/>
    <w:rsid w:val="00D51058"/>
    <w:rsid w:val="00D51633"/>
    <w:rsid w:val="00D51E22"/>
    <w:rsid w:val="00D51E5A"/>
    <w:rsid w:val="00D5234B"/>
    <w:rsid w:val="00D52707"/>
    <w:rsid w:val="00D52F7E"/>
    <w:rsid w:val="00D5312B"/>
    <w:rsid w:val="00D536C4"/>
    <w:rsid w:val="00D53A64"/>
    <w:rsid w:val="00D53B0A"/>
    <w:rsid w:val="00D53BF3"/>
    <w:rsid w:val="00D547B7"/>
    <w:rsid w:val="00D54935"/>
    <w:rsid w:val="00D54A3F"/>
    <w:rsid w:val="00D54A9D"/>
    <w:rsid w:val="00D54B56"/>
    <w:rsid w:val="00D550CA"/>
    <w:rsid w:val="00D5558C"/>
    <w:rsid w:val="00D557E0"/>
    <w:rsid w:val="00D55AF0"/>
    <w:rsid w:val="00D55F55"/>
    <w:rsid w:val="00D55FF2"/>
    <w:rsid w:val="00D56180"/>
    <w:rsid w:val="00D569BF"/>
    <w:rsid w:val="00D56B5B"/>
    <w:rsid w:val="00D56E3F"/>
    <w:rsid w:val="00D570D8"/>
    <w:rsid w:val="00D57290"/>
    <w:rsid w:val="00D572E6"/>
    <w:rsid w:val="00D57448"/>
    <w:rsid w:val="00D577FB"/>
    <w:rsid w:val="00D57C52"/>
    <w:rsid w:val="00D57D74"/>
    <w:rsid w:val="00D60D84"/>
    <w:rsid w:val="00D60DE8"/>
    <w:rsid w:val="00D60FF9"/>
    <w:rsid w:val="00D61AA9"/>
    <w:rsid w:val="00D62216"/>
    <w:rsid w:val="00D625A5"/>
    <w:rsid w:val="00D62CFB"/>
    <w:rsid w:val="00D62DDB"/>
    <w:rsid w:val="00D62EDE"/>
    <w:rsid w:val="00D6315D"/>
    <w:rsid w:val="00D63895"/>
    <w:rsid w:val="00D640D3"/>
    <w:rsid w:val="00D641F1"/>
    <w:rsid w:val="00D6451E"/>
    <w:rsid w:val="00D64BC1"/>
    <w:rsid w:val="00D65131"/>
    <w:rsid w:val="00D6530D"/>
    <w:rsid w:val="00D65454"/>
    <w:rsid w:val="00D657E9"/>
    <w:rsid w:val="00D65899"/>
    <w:rsid w:val="00D65E79"/>
    <w:rsid w:val="00D6600C"/>
    <w:rsid w:val="00D66097"/>
    <w:rsid w:val="00D67371"/>
    <w:rsid w:val="00D6749D"/>
    <w:rsid w:val="00D674E1"/>
    <w:rsid w:val="00D67525"/>
    <w:rsid w:val="00D6765C"/>
    <w:rsid w:val="00D7012E"/>
    <w:rsid w:val="00D70D1A"/>
    <w:rsid w:val="00D71174"/>
    <w:rsid w:val="00D711CE"/>
    <w:rsid w:val="00D71CAC"/>
    <w:rsid w:val="00D71E0B"/>
    <w:rsid w:val="00D72104"/>
    <w:rsid w:val="00D7229C"/>
    <w:rsid w:val="00D72601"/>
    <w:rsid w:val="00D72837"/>
    <w:rsid w:val="00D728C5"/>
    <w:rsid w:val="00D729CF"/>
    <w:rsid w:val="00D729FB"/>
    <w:rsid w:val="00D73D92"/>
    <w:rsid w:val="00D73FF3"/>
    <w:rsid w:val="00D7435E"/>
    <w:rsid w:val="00D74AEE"/>
    <w:rsid w:val="00D74D32"/>
    <w:rsid w:val="00D751BB"/>
    <w:rsid w:val="00D7528A"/>
    <w:rsid w:val="00D75316"/>
    <w:rsid w:val="00D756F0"/>
    <w:rsid w:val="00D75C42"/>
    <w:rsid w:val="00D762F7"/>
    <w:rsid w:val="00D7648F"/>
    <w:rsid w:val="00D76623"/>
    <w:rsid w:val="00D76AFB"/>
    <w:rsid w:val="00D76FB6"/>
    <w:rsid w:val="00D771B8"/>
    <w:rsid w:val="00D7752D"/>
    <w:rsid w:val="00D77940"/>
    <w:rsid w:val="00D800F4"/>
    <w:rsid w:val="00D80167"/>
    <w:rsid w:val="00D80408"/>
    <w:rsid w:val="00D8091A"/>
    <w:rsid w:val="00D80A49"/>
    <w:rsid w:val="00D80E92"/>
    <w:rsid w:val="00D817F3"/>
    <w:rsid w:val="00D81955"/>
    <w:rsid w:val="00D8196D"/>
    <w:rsid w:val="00D81B75"/>
    <w:rsid w:val="00D81F0E"/>
    <w:rsid w:val="00D823D3"/>
    <w:rsid w:val="00D8268A"/>
    <w:rsid w:val="00D827E8"/>
    <w:rsid w:val="00D82842"/>
    <w:rsid w:val="00D82C22"/>
    <w:rsid w:val="00D82D42"/>
    <w:rsid w:val="00D82E2C"/>
    <w:rsid w:val="00D82FEC"/>
    <w:rsid w:val="00D8365D"/>
    <w:rsid w:val="00D83C0C"/>
    <w:rsid w:val="00D83C5A"/>
    <w:rsid w:val="00D83F17"/>
    <w:rsid w:val="00D840C9"/>
    <w:rsid w:val="00D84393"/>
    <w:rsid w:val="00D846F4"/>
    <w:rsid w:val="00D84D06"/>
    <w:rsid w:val="00D85144"/>
    <w:rsid w:val="00D85244"/>
    <w:rsid w:val="00D85359"/>
    <w:rsid w:val="00D85847"/>
    <w:rsid w:val="00D85C39"/>
    <w:rsid w:val="00D85CB2"/>
    <w:rsid w:val="00D8605B"/>
    <w:rsid w:val="00D86264"/>
    <w:rsid w:val="00D864B8"/>
    <w:rsid w:val="00D868F6"/>
    <w:rsid w:val="00D8698E"/>
    <w:rsid w:val="00D869EE"/>
    <w:rsid w:val="00D86A48"/>
    <w:rsid w:val="00D8742E"/>
    <w:rsid w:val="00D876BF"/>
    <w:rsid w:val="00D87741"/>
    <w:rsid w:val="00D877C4"/>
    <w:rsid w:val="00D87E41"/>
    <w:rsid w:val="00D90896"/>
    <w:rsid w:val="00D909BE"/>
    <w:rsid w:val="00D90A62"/>
    <w:rsid w:val="00D90EBB"/>
    <w:rsid w:val="00D90FA9"/>
    <w:rsid w:val="00D9111C"/>
    <w:rsid w:val="00D9140C"/>
    <w:rsid w:val="00D9163F"/>
    <w:rsid w:val="00D91753"/>
    <w:rsid w:val="00D9199B"/>
    <w:rsid w:val="00D91B6F"/>
    <w:rsid w:val="00D91E2B"/>
    <w:rsid w:val="00D92186"/>
    <w:rsid w:val="00D92390"/>
    <w:rsid w:val="00D92428"/>
    <w:rsid w:val="00D92B1F"/>
    <w:rsid w:val="00D92D1A"/>
    <w:rsid w:val="00D932B0"/>
    <w:rsid w:val="00D93570"/>
    <w:rsid w:val="00D936B1"/>
    <w:rsid w:val="00D938A4"/>
    <w:rsid w:val="00D93C38"/>
    <w:rsid w:val="00D9400A"/>
    <w:rsid w:val="00D94150"/>
    <w:rsid w:val="00D94637"/>
    <w:rsid w:val="00D946FE"/>
    <w:rsid w:val="00D94723"/>
    <w:rsid w:val="00D94841"/>
    <w:rsid w:val="00D949F7"/>
    <w:rsid w:val="00D94AEB"/>
    <w:rsid w:val="00D94CFE"/>
    <w:rsid w:val="00D94D49"/>
    <w:rsid w:val="00D94F4B"/>
    <w:rsid w:val="00D94FAE"/>
    <w:rsid w:val="00D9507C"/>
    <w:rsid w:val="00D950FC"/>
    <w:rsid w:val="00D95485"/>
    <w:rsid w:val="00D959CB"/>
    <w:rsid w:val="00D95A04"/>
    <w:rsid w:val="00D95AEE"/>
    <w:rsid w:val="00D9652E"/>
    <w:rsid w:val="00D966EB"/>
    <w:rsid w:val="00D96AA5"/>
    <w:rsid w:val="00D96D0C"/>
    <w:rsid w:val="00D971F3"/>
    <w:rsid w:val="00D974E8"/>
    <w:rsid w:val="00D976E0"/>
    <w:rsid w:val="00D9794A"/>
    <w:rsid w:val="00D97DB4"/>
    <w:rsid w:val="00D97E9C"/>
    <w:rsid w:val="00DA04B4"/>
    <w:rsid w:val="00DA05CA"/>
    <w:rsid w:val="00DA0732"/>
    <w:rsid w:val="00DA0BCE"/>
    <w:rsid w:val="00DA0DA7"/>
    <w:rsid w:val="00DA0FFD"/>
    <w:rsid w:val="00DA1208"/>
    <w:rsid w:val="00DA18C7"/>
    <w:rsid w:val="00DA1D48"/>
    <w:rsid w:val="00DA1DC2"/>
    <w:rsid w:val="00DA1EAF"/>
    <w:rsid w:val="00DA22B4"/>
    <w:rsid w:val="00DA2485"/>
    <w:rsid w:val="00DA25EE"/>
    <w:rsid w:val="00DA2A95"/>
    <w:rsid w:val="00DA2D0D"/>
    <w:rsid w:val="00DA2D64"/>
    <w:rsid w:val="00DA2FBE"/>
    <w:rsid w:val="00DA339C"/>
    <w:rsid w:val="00DA3402"/>
    <w:rsid w:val="00DA35EB"/>
    <w:rsid w:val="00DA364E"/>
    <w:rsid w:val="00DA37E9"/>
    <w:rsid w:val="00DA383D"/>
    <w:rsid w:val="00DA4270"/>
    <w:rsid w:val="00DA4976"/>
    <w:rsid w:val="00DA4A86"/>
    <w:rsid w:val="00DA5121"/>
    <w:rsid w:val="00DA51DC"/>
    <w:rsid w:val="00DA524C"/>
    <w:rsid w:val="00DA5568"/>
    <w:rsid w:val="00DA5D9F"/>
    <w:rsid w:val="00DA64C0"/>
    <w:rsid w:val="00DA650C"/>
    <w:rsid w:val="00DA6543"/>
    <w:rsid w:val="00DA6733"/>
    <w:rsid w:val="00DA67C2"/>
    <w:rsid w:val="00DA68D3"/>
    <w:rsid w:val="00DA6B2B"/>
    <w:rsid w:val="00DA6D89"/>
    <w:rsid w:val="00DA6DCA"/>
    <w:rsid w:val="00DA7096"/>
    <w:rsid w:val="00DA73EA"/>
    <w:rsid w:val="00DA7479"/>
    <w:rsid w:val="00DA7841"/>
    <w:rsid w:val="00DB03B2"/>
    <w:rsid w:val="00DB0AC7"/>
    <w:rsid w:val="00DB0C71"/>
    <w:rsid w:val="00DB1589"/>
    <w:rsid w:val="00DB1612"/>
    <w:rsid w:val="00DB1CCF"/>
    <w:rsid w:val="00DB1F0C"/>
    <w:rsid w:val="00DB2727"/>
    <w:rsid w:val="00DB2736"/>
    <w:rsid w:val="00DB2916"/>
    <w:rsid w:val="00DB2EB0"/>
    <w:rsid w:val="00DB2F0D"/>
    <w:rsid w:val="00DB3068"/>
    <w:rsid w:val="00DB3672"/>
    <w:rsid w:val="00DB3730"/>
    <w:rsid w:val="00DB3738"/>
    <w:rsid w:val="00DB3AD7"/>
    <w:rsid w:val="00DB41C0"/>
    <w:rsid w:val="00DB4403"/>
    <w:rsid w:val="00DB44A2"/>
    <w:rsid w:val="00DB4F2F"/>
    <w:rsid w:val="00DB4FA4"/>
    <w:rsid w:val="00DB5139"/>
    <w:rsid w:val="00DB55B8"/>
    <w:rsid w:val="00DB583B"/>
    <w:rsid w:val="00DB5DA6"/>
    <w:rsid w:val="00DB6026"/>
    <w:rsid w:val="00DB6166"/>
    <w:rsid w:val="00DB6687"/>
    <w:rsid w:val="00DB6882"/>
    <w:rsid w:val="00DB6A3C"/>
    <w:rsid w:val="00DB6CEA"/>
    <w:rsid w:val="00DB70BC"/>
    <w:rsid w:val="00DB72E8"/>
    <w:rsid w:val="00DB7399"/>
    <w:rsid w:val="00DB76C0"/>
    <w:rsid w:val="00DC004E"/>
    <w:rsid w:val="00DC015E"/>
    <w:rsid w:val="00DC0445"/>
    <w:rsid w:val="00DC045C"/>
    <w:rsid w:val="00DC0472"/>
    <w:rsid w:val="00DC0BD4"/>
    <w:rsid w:val="00DC101A"/>
    <w:rsid w:val="00DC1A05"/>
    <w:rsid w:val="00DC1EBD"/>
    <w:rsid w:val="00DC2090"/>
    <w:rsid w:val="00DC2367"/>
    <w:rsid w:val="00DC254C"/>
    <w:rsid w:val="00DC2908"/>
    <w:rsid w:val="00DC2ECA"/>
    <w:rsid w:val="00DC300B"/>
    <w:rsid w:val="00DC31ED"/>
    <w:rsid w:val="00DC3856"/>
    <w:rsid w:val="00DC3A5D"/>
    <w:rsid w:val="00DC41F5"/>
    <w:rsid w:val="00DC42BA"/>
    <w:rsid w:val="00DC4BB5"/>
    <w:rsid w:val="00DC4F72"/>
    <w:rsid w:val="00DC4F96"/>
    <w:rsid w:val="00DC50C1"/>
    <w:rsid w:val="00DC54D5"/>
    <w:rsid w:val="00DC58C1"/>
    <w:rsid w:val="00DC5C0C"/>
    <w:rsid w:val="00DC6488"/>
    <w:rsid w:val="00DC6ED8"/>
    <w:rsid w:val="00DC7887"/>
    <w:rsid w:val="00DC7BC2"/>
    <w:rsid w:val="00DC7D37"/>
    <w:rsid w:val="00DC7E11"/>
    <w:rsid w:val="00DD00F4"/>
    <w:rsid w:val="00DD079B"/>
    <w:rsid w:val="00DD07FA"/>
    <w:rsid w:val="00DD0871"/>
    <w:rsid w:val="00DD0BEC"/>
    <w:rsid w:val="00DD137B"/>
    <w:rsid w:val="00DD1840"/>
    <w:rsid w:val="00DD1908"/>
    <w:rsid w:val="00DD1CC3"/>
    <w:rsid w:val="00DD1E04"/>
    <w:rsid w:val="00DD1FE8"/>
    <w:rsid w:val="00DD2212"/>
    <w:rsid w:val="00DD36F7"/>
    <w:rsid w:val="00DD3B08"/>
    <w:rsid w:val="00DD3C18"/>
    <w:rsid w:val="00DD436A"/>
    <w:rsid w:val="00DD4440"/>
    <w:rsid w:val="00DD4B30"/>
    <w:rsid w:val="00DD526F"/>
    <w:rsid w:val="00DD5B25"/>
    <w:rsid w:val="00DD5B76"/>
    <w:rsid w:val="00DD5BE6"/>
    <w:rsid w:val="00DD5CE1"/>
    <w:rsid w:val="00DD5DD5"/>
    <w:rsid w:val="00DD62F1"/>
    <w:rsid w:val="00DD6323"/>
    <w:rsid w:val="00DD6465"/>
    <w:rsid w:val="00DD6AD9"/>
    <w:rsid w:val="00DD7012"/>
    <w:rsid w:val="00DD7970"/>
    <w:rsid w:val="00DD79F2"/>
    <w:rsid w:val="00DD7BAD"/>
    <w:rsid w:val="00DD7C9C"/>
    <w:rsid w:val="00DD7CF9"/>
    <w:rsid w:val="00DE0605"/>
    <w:rsid w:val="00DE065C"/>
    <w:rsid w:val="00DE0A5C"/>
    <w:rsid w:val="00DE0C02"/>
    <w:rsid w:val="00DE0C29"/>
    <w:rsid w:val="00DE0FFC"/>
    <w:rsid w:val="00DE1225"/>
    <w:rsid w:val="00DE1EE2"/>
    <w:rsid w:val="00DE1F1F"/>
    <w:rsid w:val="00DE22DC"/>
    <w:rsid w:val="00DE23B1"/>
    <w:rsid w:val="00DE2589"/>
    <w:rsid w:val="00DE3420"/>
    <w:rsid w:val="00DE3552"/>
    <w:rsid w:val="00DE3572"/>
    <w:rsid w:val="00DE362B"/>
    <w:rsid w:val="00DE3C77"/>
    <w:rsid w:val="00DE3CCA"/>
    <w:rsid w:val="00DE4206"/>
    <w:rsid w:val="00DE440C"/>
    <w:rsid w:val="00DE4B08"/>
    <w:rsid w:val="00DE4EB5"/>
    <w:rsid w:val="00DE543F"/>
    <w:rsid w:val="00DE558B"/>
    <w:rsid w:val="00DE5731"/>
    <w:rsid w:val="00DE591D"/>
    <w:rsid w:val="00DE5DDE"/>
    <w:rsid w:val="00DE5F49"/>
    <w:rsid w:val="00DE6272"/>
    <w:rsid w:val="00DE62D9"/>
    <w:rsid w:val="00DE65B1"/>
    <w:rsid w:val="00DE69AD"/>
    <w:rsid w:val="00DE6C6D"/>
    <w:rsid w:val="00DE7508"/>
    <w:rsid w:val="00DE75C0"/>
    <w:rsid w:val="00DE77CC"/>
    <w:rsid w:val="00DE7803"/>
    <w:rsid w:val="00DE79D4"/>
    <w:rsid w:val="00DF02F2"/>
    <w:rsid w:val="00DF0398"/>
    <w:rsid w:val="00DF03BA"/>
    <w:rsid w:val="00DF0537"/>
    <w:rsid w:val="00DF0A59"/>
    <w:rsid w:val="00DF0B87"/>
    <w:rsid w:val="00DF1313"/>
    <w:rsid w:val="00DF161A"/>
    <w:rsid w:val="00DF1772"/>
    <w:rsid w:val="00DF1E91"/>
    <w:rsid w:val="00DF2935"/>
    <w:rsid w:val="00DF2C08"/>
    <w:rsid w:val="00DF3094"/>
    <w:rsid w:val="00DF32B8"/>
    <w:rsid w:val="00DF4084"/>
    <w:rsid w:val="00DF46B1"/>
    <w:rsid w:val="00DF50BD"/>
    <w:rsid w:val="00DF57B2"/>
    <w:rsid w:val="00DF599C"/>
    <w:rsid w:val="00DF61B4"/>
    <w:rsid w:val="00DF64ED"/>
    <w:rsid w:val="00DF657D"/>
    <w:rsid w:val="00DF6FCC"/>
    <w:rsid w:val="00DF7841"/>
    <w:rsid w:val="00E000FA"/>
    <w:rsid w:val="00E0010D"/>
    <w:rsid w:val="00E0077A"/>
    <w:rsid w:val="00E00912"/>
    <w:rsid w:val="00E01353"/>
    <w:rsid w:val="00E0194E"/>
    <w:rsid w:val="00E01A41"/>
    <w:rsid w:val="00E01C50"/>
    <w:rsid w:val="00E01E97"/>
    <w:rsid w:val="00E01EC8"/>
    <w:rsid w:val="00E01F0F"/>
    <w:rsid w:val="00E021BB"/>
    <w:rsid w:val="00E0226F"/>
    <w:rsid w:val="00E022B1"/>
    <w:rsid w:val="00E034CE"/>
    <w:rsid w:val="00E03554"/>
    <w:rsid w:val="00E038C5"/>
    <w:rsid w:val="00E039D4"/>
    <w:rsid w:val="00E03A88"/>
    <w:rsid w:val="00E03EB5"/>
    <w:rsid w:val="00E0435E"/>
    <w:rsid w:val="00E04F85"/>
    <w:rsid w:val="00E05092"/>
    <w:rsid w:val="00E05335"/>
    <w:rsid w:val="00E0533B"/>
    <w:rsid w:val="00E055A9"/>
    <w:rsid w:val="00E056F7"/>
    <w:rsid w:val="00E06052"/>
    <w:rsid w:val="00E0673F"/>
    <w:rsid w:val="00E06A4D"/>
    <w:rsid w:val="00E075DD"/>
    <w:rsid w:val="00E077AB"/>
    <w:rsid w:val="00E077C7"/>
    <w:rsid w:val="00E07B4D"/>
    <w:rsid w:val="00E07D94"/>
    <w:rsid w:val="00E1006C"/>
    <w:rsid w:val="00E10AF8"/>
    <w:rsid w:val="00E10B08"/>
    <w:rsid w:val="00E10DD8"/>
    <w:rsid w:val="00E11482"/>
    <w:rsid w:val="00E117A7"/>
    <w:rsid w:val="00E11A0A"/>
    <w:rsid w:val="00E11BB0"/>
    <w:rsid w:val="00E11CE3"/>
    <w:rsid w:val="00E11E9C"/>
    <w:rsid w:val="00E1200A"/>
    <w:rsid w:val="00E12756"/>
    <w:rsid w:val="00E12B99"/>
    <w:rsid w:val="00E12D55"/>
    <w:rsid w:val="00E12D6F"/>
    <w:rsid w:val="00E12E2D"/>
    <w:rsid w:val="00E13155"/>
    <w:rsid w:val="00E132D1"/>
    <w:rsid w:val="00E133A7"/>
    <w:rsid w:val="00E1350C"/>
    <w:rsid w:val="00E138E6"/>
    <w:rsid w:val="00E140AA"/>
    <w:rsid w:val="00E14879"/>
    <w:rsid w:val="00E148CF"/>
    <w:rsid w:val="00E14BC5"/>
    <w:rsid w:val="00E1525E"/>
    <w:rsid w:val="00E1533C"/>
    <w:rsid w:val="00E15448"/>
    <w:rsid w:val="00E1571E"/>
    <w:rsid w:val="00E15772"/>
    <w:rsid w:val="00E1582F"/>
    <w:rsid w:val="00E1600A"/>
    <w:rsid w:val="00E16204"/>
    <w:rsid w:val="00E167C5"/>
    <w:rsid w:val="00E16A88"/>
    <w:rsid w:val="00E16CB6"/>
    <w:rsid w:val="00E171E4"/>
    <w:rsid w:val="00E17343"/>
    <w:rsid w:val="00E175AE"/>
    <w:rsid w:val="00E17B44"/>
    <w:rsid w:val="00E2029D"/>
    <w:rsid w:val="00E20D42"/>
    <w:rsid w:val="00E20FCF"/>
    <w:rsid w:val="00E21310"/>
    <w:rsid w:val="00E21430"/>
    <w:rsid w:val="00E22010"/>
    <w:rsid w:val="00E22415"/>
    <w:rsid w:val="00E2247A"/>
    <w:rsid w:val="00E228E4"/>
    <w:rsid w:val="00E22D33"/>
    <w:rsid w:val="00E2384B"/>
    <w:rsid w:val="00E23DB0"/>
    <w:rsid w:val="00E240F2"/>
    <w:rsid w:val="00E24526"/>
    <w:rsid w:val="00E2475E"/>
    <w:rsid w:val="00E24791"/>
    <w:rsid w:val="00E25076"/>
    <w:rsid w:val="00E25273"/>
    <w:rsid w:val="00E252F9"/>
    <w:rsid w:val="00E2540C"/>
    <w:rsid w:val="00E25E79"/>
    <w:rsid w:val="00E2656D"/>
    <w:rsid w:val="00E26902"/>
    <w:rsid w:val="00E269F6"/>
    <w:rsid w:val="00E26C05"/>
    <w:rsid w:val="00E27018"/>
    <w:rsid w:val="00E271E9"/>
    <w:rsid w:val="00E277BA"/>
    <w:rsid w:val="00E279DB"/>
    <w:rsid w:val="00E27CD7"/>
    <w:rsid w:val="00E27EB6"/>
    <w:rsid w:val="00E30185"/>
    <w:rsid w:val="00E30B77"/>
    <w:rsid w:val="00E31003"/>
    <w:rsid w:val="00E31143"/>
    <w:rsid w:val="00E314EE"/>
    <w:rsid w:val="00E3182F"/>
    <w:rsid w:val="00E32179"/>
    <w:rsid w:val="00E32A0B"/>
    <w:rsid w:val="00E32AB1"/>
    <w:rsid w:val="00E32E69"/>
    <w:rsid w:val="00E34027"/>
    <w:rsid w:val="00E34426"/>
    <w:rsid w:val="00E34BD3"/>
    <w:rsid w:val="00E35129"/>
    <w:rsid w:val="00E3525A"/>
    <w:rsid w:val="00E3527D"/>
    <w:rsid w:val="00E35301"/>
    <w:rsid w:val="00E35743"/>
    <w:rsid w:val="00E35ACA"/>
    <w:rsid w:val="00E35D22"/>
    <w:rsid w:val="00E35E22"/>
    <w:rsid w:val="00E3657C"/>
    <w:rsid w:val="00E36BA1"/>
    <w:rsid w:val="00E36C8A"/>
    <w:rsid w:val="00E36E70"/>
    <w:rsid w:val="00E36FE7"/>
    <w:rsid w:val="00E37226"/>
    <w:rsid w:val="00E3747B"/>
    <w:rsid w:val="00E3768B"/>
    <w:rsid w:val="00E37786"/>
    <w:rsid w:val="00E37EDC"/>
    <w:rsid w:val="00E37FA8"/>
    <w:rsid w:val="00E40A50"/>
    <w:rsid w:val="00E40AC0"/>
    <w:rsid w:val="00E41323"/>
    <w:rsid w:val="00E41F5D"/>
    <w:rsid w:val="00E420CB"/>
    <w:rsid w:val="00E42131"/>
    <w:rsid w:val="00E42191"/>
    <w:rsid w:val="00E427F4"/>
    <w:rsid w:val="00E42DCF"/>
    <w:rsid w:val="00E42E87"/>
    <w:rsid w:val="00E43196"/>
    <w:rsid w:val="00E43310"/>
    <w:rsid w:val="00E4402A"/>
    <w:rsid w:val="00E44907"/>
    <w:rsid w:val="00E44F66"/>
    <w:rsid w:val="00E45125"/>
    <w:rsid w:val="00E453D0"/>
    <w:rsid w:val="00E45B7D"/>
    <w:rsid w:val="00E45CA1"/>
    <w:rsid w:val="00E46567"/>
    <w:rsid w:val="00E46DCE"/>
    <w:rsid w:val="00E47147"/>
    <w:rsid w:val="00E47176"/>
    <w:rsid w:val="00E47480"/>
    <w:rsid w:val="00E47799"/>
    <w:rsid w:val="00E47A84"/>
    <w:rsid w:val="00E47C9E"/>
    <w:rsid w:val="00E50174"/>
    <w:rsid w:val="00E508C3"/>
    <w:rsid w:val="00E515B6"/>
    <w:rsid w:val="00E515D4"/>
    <w:rsid w:val="00E51716"/>
    <w:rsid w:val="00E52C46"/>
    <w:rsid w:val="00E52D16"/>
    <w:rsid w:val="00E52D9E"/>
    <w:rsid w:val="00E52EC0"/>
    <w:rsid w:val="00E536D3"/>
    <w:rsid w:val="00E538DC"/>
    <w:rsid w:val="00E53980"/>
    <w:rsid w:val="00E53BDB"/>
    <w:rsid w:val="00E53BDC"/>
    <w:rsid w:val="00E54281"/>
    <w:rsid w:val="00E54580"/>
    <w:rsid w:val="00E54837"/>
    <w:rsid w:val="00E54A6C"/>
    <w:rsid w:val="00E54FAD"/>
    <w:rsid w:val="00E55083"/>
    <w:rsid w:val="00E55346"/>
    <w:rsid w:val="00E553E8"/>
    <w:rsid w:val="00E56297"/>
    <w:rsid w:val="00E5679C"/>
    <w:rsid w:val="00E56B12"/>
    <w:rsid w:val="00E56C6B"/>
    <w:rsid w:val="00E56EC7"/>
    <w:rsid w:val="00E57064"/>
    <w:rsid w:val="00E5793A"/>
    <w:rsid w:val="00E601CB"/>
    <w:rsid w:val="00E60F35"/>
    <w:rsid w:val="00E61176"/>
    <w:rsid w:val="00E62654"/>
    <w:rsid w:val="00E62766"/>
    <w:rsid w:val="00E628A1"/>
    <w:rsid w:val="00E62F86"/>
    <w:rsid w:val="00E63022"/>
    <w:rsid w:val="00E630CA"/>
    <w:rsid w:val="00E63125"/>
    <w:rsid w:val="00E63391"/>
    <w:rsid w:val="00E63440"/>
    <w:rsid w:val="00E6373A"/>
    <w:rsid w:val="00E6376A"/>
    <w:rsid w:val="00E6453A"/>
    <w:rsid w:val="00E64E14"/>
    <w:rsid w:val="00E6550F"/>
    <w:rsid w:val="00E656E9"/>
    <w:rsid w:val="00E65E2E"/>
    <w:rsid w:val="00E663D6"/>
    <w:rsid w:val="00E666B7"/>
    <w:rsid w:val="00E667DA"/>
    <w:rsid w:val="00E669D2"/>
    <w:rsid w:val="00E66BF3"/>
    <w:rsid w:val="00E66CC7"/>
    <w:rsid w:val="00E66FD2"/>
    <w:rsid w:val="00E671DF"/>
    <w:rsid w:val="00E67391"/>
    <w:rsid w:val="00E674B1"/>
    <w:rsid w:val="00E676A3"/>
    <w:rsid w:val="00E67720"/>
    <w:rsid w:val="00E67749"/>
    <w:rsid w:val="00E67C1F"/>
    <w:rsid w:val="00E70E01"/>
    <w:rsid w:val="00E70E10"/>
    <w:rsid w:val="00E70F7A"/>
    <w:rsid w:val="00E716EA"/>
    <w:rsid w:val="00E71D47"/>
    <w:rsid w:val="00E724E1"/>
    <w:rsid w:val="00E724E6"/>
    <w:rsid w:val="00E736B6"/>
    <w:rsid w:val="00E74494"/>
    <w:rsid w:val="00E74B11"/>
    <w:rsid w:val="00E74C13"/>
    <w:rsid w:val="00E75983"/>
    <w:rsid w:val="00E75BCB"/>
    <w:rsid w:val="00E75BD9"/>
    <w:rsid w:val="00E75FBE"/>
    <w:rsid w:val="00E76311"/>
    <w:rsid w:val="00E763BB"/>
    <w:rsid w:val="00E7691B"/>
    <w:rsid w:val="00E76C92"/>
    <w:rsid w:val="00E7706D"/>
    <w:rsid w:val="00E770D7"/>
    <w:rsid w:val="00E770ED"/>
    <w:rsid w:val="00E775D5"/>
    <w:rsid w:val="00E77601"/>
    <w:rsid w:val="00E777CF"/>
    <w:rsid w:val="00E77812"/>
    <w:rsid w:val="00E77B3B"/>
    <w:rsid w:val="00E804FF"/>
    <w:rsid w:val="00E8071E"/>
    <w:rsid w:val="00E80A92"/>
    <w:rsid w:val="00E80FA0"/>
    <w:rsid w:val="00E81587"/>
    <w:rsid w:val="00E819DF"/>
    <w:rsid w:val="00E819F2"/>
    <w:rsid w:val="00E81BDA"/>
    <w:rsid w:val="00E8205E"/>
    <w:rsid w:val="00E82281"/>
    <w:rsid w:val="00E82915"/>
    <w:rsid w:val="00E82C0F"/>
    <w:rsid w:val="00E82DAF"/>
    <w:rsid w:val="00E83626"/>
    <w:rsid w:val="00E8384A"/>
    <w:rsid w:val="00E839F7"/>
    <w:rsid w:val="00E840E9"/>
    <w:rsid w:val="00E84756"/>
    <w:rsid w:val="00E84E18"/>
    <w:rsid w:val="00E84FA9"/>
    <w:rsid w:val="00E8519E"/>
    <w:rsid w:val="00E8562C"/>
    <w:rsid w:val="00E858B0"/>
    <w:rsid w:val="00E859DB"/>
    <w:rsid w:val="00E85EB6"/>
    <w:rsid w:val="00E85F86"/>
    <w:rsid w:val="00E86175"/>
    <w:rsid w:val="00E8629D"/>
    <w:rsid w:val="00E86400"/>
    <w:rsid w:val="00E8674D"/>
    <w:rsid w:val="00E86821"/>
    <w:rsid w:val="00E871A9"/>
    <w:rsid w:val="00E87A43"/>
    <w:rsid w:val="00E87BC4"/>
    <w:rsid w:val="00E87E0E"/>
    <w:rsid w:val="00E90813"/>
    <w:rsid w:val="00E9087B"/>
    <w:rsid w:val="00E9094B"/>
    <w:rsid w:val="00E90A47"/>
    <w:rsid w:val="00E90C5B"/>
    <w:rsid w:val="00E9133E"/>
    <w:rsid w:val="00E91F06"/>
    <w:rsid w:val="00E92483"/>
    <w:rsid w:val="00E92710"/>
    <w:rsid w:val="00E929BB"/>
    <w:rsid w:val="00E93193"/>
    <w:rsid w:val="00E933DC"/>
    <w:rsid w:val="00E936D0"/>
    <w:rsid w:val="00E93AC8"/>
    <w:rsid w:val="00E93C65"/>
    <w:rsid w:val="00E93ECD"/>
    <w:rsid w:val="00E942BD"/>
    <w:rsid w:val="00E9430C"/>
    <w:rsid w:val="00E94D41"/>
    <w:rsid w:val="00E94F59"/>
    <w:rsid w:val="00E95B08"/>
    <w:rsid w:val="00E96413"/>
    <w:rsid w:val="00E964D1"/>
    <w:rsid w:val="00E96751"/>
    <w:rsid w:val="00E96B78"/>
    <w:rsid w:val="00E97912"/>
    <w:rsid w:val="00E979AA"/>
    <w:rsid w:val="00EA01DF"/>
    <w:rsid w:val="00EA0592"/>
    <w:rsid w:val="00EA05E9"/>
    <w:rsid w:val="00EA09C0"/>
    <w:rsid w:val="00EA0E13"/>
    <w:rsid w:val="00EA1698"/>
    <w:rsid w:val="00EA1B0F"/>
    <w:rsid w:val="00EA1FA6"/>
    <w:rsid w:val="00EA1FF5"/>
    <w:rsid w:val="00EA21BD"/>
    <w:rsid w:val="00EA2A5A"/>
    <w:rsid w:val="00EA2BD7"/>
    <w:rsid w:val="00EA3077"/>
    <w:rsid w:val="00EA375D"/>
    <w:rsid w:val="00EA3A39"/>
    <w:rsid w:val="00EA3EA7"/>
    <w:rsid w:val="00EA429E"/>
    <w:rsid w:val="00EA4547"/>
    <w:rsid w:val="00EA4716"/>
    <w:rsid w:val="00EA4803"/>
    <w:rsid w:val="00EA4EBD"/>
    <w:rsid w:val="00EA5528"/>
    <w:rsid w:val="00EA5C9C"/>
    <w:rsid w:val="00EA5DB4"/>
    <w:rsid w:val="00EA629E"/>
    <w:rsid w:val="00EA647A"/>
    <w:rsid w:val="00EA656D"/>
    <w:rsid w:val="00EA69AB"/>
    <w:rsid w:val="00EA7684"/>
    <w:rsid w:val="00EA7757"/>
    <w:rsid w:val="00EA78B3"/>
    <w:rsid w:val="00EA79C6"/>
    <w:rsid w:val="00EA7B90"/>
    <w:rsid w:val="00EA7E9B"/>
    <w:rsid w:val="00EB0007"/>
    <w:rsid w:val="00EB004F"/>
    <w:rsid w:val="00EB0740"/>
    <w:rsid w:val="00EB0FF4"/>
    <w:rsid w:val="00EB10E8"/>
    <w:rsid w:val="00EB118C"/>
    <w:rsid w:val="00EB1203"/>
    <w:rsid w:val="00EB13FB"/>
    <w:rsid w:val="00EB14D2"/>
    <w:rsid w:val="00EB1531"/>
    <w:rsid w:val="00EB1541"/>
    <w:rsid w:val="00EB15E4"/>
    <w:rsid w:val="00EB167F"/>
    <w:rsid w:val="00EB19F0"/>
    <w:rsid w:val="00EB1C5D"/>
    <w:rsid w:val="00EB1CE7"/>
    <w:rsid w:val="00EB1E71"/>
    <w:rsid w:val="00EB223A"/>
    <w:rsid w:val="00EB3629"/>
    <w:rsid w:val="00EB3872"/>
    <w:rsid w:val="00EB3999"/>
    <w:rsid w:val="00EB39CA"/>
    <w:rsid w:val="00EB39F8"/>
    <w:rsid w:val="00EB3DCF"/>
    <w:rsid w:val="00EB3F99"/>
    <w:rsid w:val="00EB445E"/>
    <w:rsid w:val="00EB48CC"/>
    <w:rsid w:val="00EB4A57"/>
    <w:rsid w:val="00EB523E"/>
    <w:rsid w:val="00EB5644"/>
    <w:rsid w:val="00EB57CD"/>
    <w:rsid w:val="00EB5BE7"/>
    <w:rsid w:val="00EB5E2D"/>
    <w:rsid w:val="00EB5EF6"/>
    <w:rsid w:val="00EB6704"/>
    <w:rsid w:val="00EB6C04"/>
    <w:rsid w:val="00EB6CE7"/>
    <w:rsid w:val="00EB6D3E"/>
    <w:rsid w:val="00EB700A"/>
    <w:rsid w:val="00EB78C2"/>
    <w:rsid w:val="00EB790A"/>
    <w:rsid w:val="00EB7AFB"/>
    <w:rsid w:val="00EB7DB2"/>
    <w:rsid w:val="00EB7F5E"/>
    <w:rsid w:val="00EC0376"/>
    <w:rsid w:val="00EC04DA"/>
    <w:rsid w:val="00EC05A9"/>
    <w:rsid w:val="00EC0DB4"/>
    <w:rsid w:val="00EC0DBA"/>
    <w:rsid w:val="00EC1253"/>
    <w:rsid w:val="00EC1274"/>
    <w:rsid w:val="00EC17CB"/>
    <w:rsid w:val="00EC18CA"/>
    <w:rsid w:val="00EC1C89"/>
    <w:rsid w:val="00EC1D33"/>
    <w:rsid w:val="00EC1DC7"/>
    <w:rsid w:val="00EC24D5"/>
    <w:rsid w:val="00EC2733"/>
    <w:rsid w:val="00EC38F1"/>
    <w:rsid w:val="00EC4B3C"/>
    <w:rsid w:val="00EC4EB6"/>
    <w:rsid w:val="00EC54E5"/>
    <w:rsid w:val="00EC5530"/>
    <w:rsid w:val="00EC5D7B"/>
    <w:rsid w:val="00EC6E10"/>
    <w:rsid w:val="00EC7067"/>
    <w:rsid w:val="00EC7921"/>
    <w:rsid w:val="00EC7F64"/>
    <w:rsid w:val="00ED02B1"/>
    <w:rsid w:val="00ED1253"/>
    <w:rsid w:val="00ED12B6"/>
    <w:rsid w:val="00ED170F"/>
    <w:rsid w:val="00ED18C1"/>
    <w:rsid w:val="00ED22EB"/>
    <w:rsid w:val="00ED24EE"/>
    <w:rsid w:val="00ED2CA5"/>
    <w:rsid w:val="00ED2CCF"/>
    <w:rsid w:val="00ED49ED"/>
    <w:rsid w:val="00ED5857"/>
    <w:rsid w:val="00ED594C"/>
    <w:rsid w:val="00ED596A"/>
    <w:rsid w:val="00ED65DB"/>
    <w:rsid w:val="00ED687C"/>
    <w:rsid w:val="00ED72F0"/>
    <w:rsid w:val="00ED74E8"/>
    <w:rsid w:val="00ED74F3"/>
    <w:rsid w:val="00ED7576"/>
    <w:rsid w:val="00ED75FC"/>
    <w:rsid w:val="00ED799F"/>
    <w:rsid w:val="00ED7C48"/>
    <w:rsid w:val="00EE0075"/>
    <w:rsid w:val="00EE00F1"/>
    <w:rsid w:val="00EE047F"/>
    <w:rsid w:val="00EE05C5"/>
    <w:rsid w:val="00EE10D0"/>
    <w:rsid w:val="00EE1328"/>
    <w:rsid w:val="00EE139D"/>
    <w:rsid w:val="00EE183D"/>
    <w:rsid w:val="00EE18D8"/>
    <w:rsid w:val="00EE193A"/>
    <w:rsid w:val="00EE19A0"/>
    <w:rsid w:val="00EE1AB5"/>
    <w:rsid w:val="00EE1DCE"/>
    <w:rsid w:val="00EE202C"/>
    <w:rsid w:val="00EE25D1"/>
    <w:rsid w:val="00EE2722"/>
    <w:rsid w:val="00EE2981"/>
    <w:rsid w:val="00EE2D31"/>
    <w:rsid w:val="00EE2D3E"/>
    <w:rsid w:val="00EE2DBA"/>
    <w:rsid w:val="00EE2E09"/>
    <w:rsid w:val="00EE332B"/>
    <w:rsid w:val="00EE48B3"/>
    <w:rsid w:val="00EE511E"/>
    <w:rsid w:val="00EE5A59"/>
    <w:rsid w:val="00EE5A62"/>
    <w:rsid w:val="00EE5C2D"/>
    <w:rsid w:val="00EE5E87"/>
    <w:rsid w:val="00EE5F0E"/>
    <w:rsid w:val="00EE62DE"/>
    <w:rsid w:val="00EE6443"/>
    <w:rsid w:val="00EE6AA0"/>
    <w:rsid w:val="00EE6BB0"/>
    <w:rsid w:val="00EE6C72"/>
    <w:rsid w:val="00EE72BA"/>
    <w:rsid w:val="00EE77E4"/>
    <w:rsid w:val="00EE7A37"/>
    <w:rsid w:val="00EF0073"/>
    <w:rsid w:val="00EF08F8"/>
    <w:rsid w:val="00EF0F3B"/>
    <w:rsid w:val="00EF0FB0"/>
    <w:rsid w:val="00EF12E4"/>
    <w:rsid w:val="00EF1881"/>
    <w:rsid w:val="00EF1AED"/>
    <w:rsid w:val="00EF1B99"/>
    <w:rsid w:val="00EF1BA8"/>
    <w:rsid w:val="00EF1CC5"/>
    <w:rsid w:val="00EF1DC8"/>
    <w:rsid w:val="00EF1FD0"/>
    <w:rsid w:val="00EF233B"/>
    <w:rsid w:val="00EF2964"/>
    <w:rsid w:val="00EF2A3A"/>
    <w:rsid w:val="00EF2BFA"/>
    <w:rsid w:val="00EF305C"/>
    <w:rsid w:val="00EF31EF"/>
    <w:rsid w:val="00EF363C"/>
    <w:rsid w:val="00EF3663"/>
    <w:rsid w:val="00EF39F1"/>
    <w:rsid w:val="00EF3C65"/>
    <w:rsid w:val="00EF4203"/>
    <w:rsid w:val="00EF4BF5"/>
    <w:rsid w:val="00EF4C20"/>
    <w:rsid w:val="00EF54D5"/>
    <w:rsid w:val="00EF5529"/>
    <w:rsid w:val="00EF566B"/>
    <w:rsid w:val="00EF56FC"/>
    <w:rsid w:val="00EF5763"/>
    <w:rsid w:val="00EF59BA"/>
    <w:rsid w:val="00EF5AD9"/>
    <w:rsid w:val="00EF5D6D"/>
    <w:rsid w:val="00EF60B6"/>
    <w:rsid w:val="00EF621F"/>
    <w:rsid w:val="00EF6350"/>
    <w:rsid w:val="00EF6A20"/>
    <w:rsid w:val="00EF6BA6"/>
    <w:rsid w:val="00EF6E38"/>
    <w:rsid w:val="00EF6E73"/>
    <w:rsid w:val="00EF6E84"/>
    <w:rsid w:val="00EF7623"/>
    <w:rsid w:val="00EF7AA2"/>
    <w:rsid w:val="00EF7F21"/>
    <w:rsid w:val="00EF7F9D"/>
    <w:rsid w:val="00F00023"/>
    <w:rsid w:val="00F0018D"/>
    <w:rsid w:val="00F005A2"/>
    <w:rsid w:val="00F009FE"/>
    <w:rsid w:val="00F00CE2"/>
    <w:rsid w:val="00F00E0F"/>
    <w:rsid w:val="00F00EE8"/>
    <w:rsid w:val="00F0149D"/>
    <w:rsid w:val="00F01704"/>
    <w:rsid w:val="00F0193A"/>
    <w:rsid w:val="00F01D84"/>
    <w:rsid w:val="00F01F25"/>
    <w:rsid w:val="00F0253E"/>
    <w:rsid w:val="00F02797"/>
    <w:rsid w:val="00F02D3A"/>
    <w:rsid w:val="00F02E05"/>
    <w:rsid w:val="00F0331E"/>
    <w:rsid w:val="00F033AD"/>
    <w:rsid w:val="00F03BDB"/>
    <w:rsid w:val="00F03DAB"/>
    <w:rsid w:val="00F05321"/>
    <w:rsid w:val="00F05C06"/>
    <w:rsid w:val="00F05D19"/>
    <w:rsid w:val="00F05F1D"/>
    <w:rsid w:val="00F06971"/>
    <w:rsid w:val="00F06B14"/>
    <w:rsid w:val="00F06C88"/>
    <w:rsid w:val="00F06D1F"/>
    <w:rsid w:val="00F071DB"/>
    <w:rsid w:val="00F07432"/>
    <w:rsid w:val="00F075F7"/>
    <w:rsid w:val="00F07B19"/>
    <w:rsid w:val="00F07B39"/>
    <w:rsid w:val="00F07CAF"/>
    <w:rsid w:val="00F1037F"/>
    <w:rsid w:val="00F10565"/>
    <w:rsid w:val="00F10636"/>
    <w:rsid w:val="00F10AFE"/>
    <w:rsid w:val="00F10D2D"/>
    <w:rsid w:val="00F1192D"/>
    <w:rsid w:val="00F1241C"/>
    <w:rsid w:val="00F125AD"/>
    <w:rsid w:val="00F12825"/>
    <w:rsid w:val="00F12989"/>
    <w:rsid w:val="00F12AF8"/>
    <w:rsid w:val="00F12FC4"/>
    <w:rsid w:val="00F13101"/>
    <w:rsid w:val="00F13410"/>
    <w:rsid w:val="00F1350F"/>
    <w:rsid w:val="00F13C82"/>
    <w:rsid w:val="00F13EB0"/>
    <w:rsid w:val="00F14027"/>
    <w:rsid w:val="00F15233"/>
    <w:rsid w:val="00F15754"/>
    <w:rsid w:val="00F15767"/>
    <w:rsid w:val="00F15D0A"/>
    <w:rsid w:val="00F15DA0"/>
    <w:rsid w:val="00F15EC0"/>
    <w:rsid w:val="00F16724"/>
    <w:rsid w:val="00F17358"/>
    <w:rsid w:val="00F1749B"/>
    <w:rsid w:val="00F17B18"/>
    <w:rsid w:val="00F17BC2"/>
    <w:rsid w:val="00F17E8F"/>
    <w:rsid w:val="00F17F26"/>
    <w:rsid w:val="00F200FB"/>
    <w:rsid w:val="00F20558"/>
    <w:rsid w:val="00F20D15"/>
    <w:rsid w:val="00F20F90"/>
    <w:rsid w:val="00F21092"/>
    <w:rsid w:val="00F211CB"/>
    <w:rsid w:val="00F2160E"/>
    <w:rsid w:val="00F2195D"/>
    <w:rsid w:val="00F21D40"/>
    <w:rsid w:val="00F21EE8"/>
    <w:rsid w:val="00F2207D"/>
    <w:rsid w:val="00F22F9B"/>
    <w:rsid w:val="00F23AAC"/>
    <w:rsid w:val="00F23D68"/>
    <w:rsid w:val="00F24258"/>
    <w:rsid w:val="00F24DD0"/>
    <w:rsid w:val="00F255F0"/>
    <w:rsid w:val="00F25E3E"/>
    <w:rsid w:val="00F25FF1"/>
    <w:rsid w:val="00F261AC"/>
    <w:rsid w:val="00F26509"/>
    <w:rsid w:val="00F26F7D"/>
    <w:rsid w:val="00F2772E"/>
    <w:rsid w:val="00F27BFB"/>
    <w:rsid w:val="00F27CB1"/>
    <w:rsid w:val="00F27FD8"/>
    <w:rsid w:val="00F305AA"/>
    <w:rsid w:val="00F305E1"/>
    <w:rsid w:val="00F30632"/>
    <w:rsid w:val="00F30729"/>
    <w:rsid w:val="00F30BD6"/>
    <w:rsid w:val="00F30C54"/>
    <w:rsid w:val="00F30D88"/>
    <w:rsid w:val="00F31068"/>
    <w:rsid w:val="00F31493"/>
    <w:rsid w:val="00F319BD"/>
    <w:rsid w:val="00F31C3F"/>
    <w:rsid w:val="00F31E93"/>
    <w:rsid w:val="00F31F4A"/>
    <w:rsid w:val="00F32399"/>
    <w:rsid w:val="00F32523"/>
    <w:rsid w:val="00F32DB5"/>
    <w:rsid w:val="00F32F2F"/>
    <w:rsid w:val="00F32F35"/>
    <w:rsid w:val="00F331B4"/>
    <w:rsid w:val="00F332C5"/>
    <w:rsid w:val="00F333D7"/>
    <w:rsid w:val="00F33A66"/>
    <w:rsid w:val="00F33D36"/>
    <w:rsid w:val="00F33DA0"/>
    <w:rsid w:val="00F340F7"/>
    <w:rsid w:val="00F34695"/>
    <w:rsid w:val="00F34EBA"/>
    <w:rsid w:val="00F35762"/>
    <w:rsid w:val="00F3666E"/>
    <w:rsid w:val="00F36F5B"/>
    <w:rsid w:val="00F37019"/>
    <w:rsid w:val="00F4044C"/>
    <w:rsid w:val="00F4059C"/>
    <w:rsid w:val="00F40751"/>
    <w:rsid w:val="00F409B1"/>
    <w:rsid w:val="00F41069"/>
    <w:rsid w:val="00F41447"/>
    <w:rsid w:val="00F41622"/>
    <w:rsid w:val="00F4174F"/>
    <w:rsid w:val="00F41869"/>
    <w:rsid w:val="00F421A1"/>
    <w:rsid w:val="00F421C2"/>
    <w:rsid w:val="00F42520"/>
    <w:rsid w:val="00F42911"/>
    <w:rsid w:val="00F42928"/>
    <w:rsid w:val="00F42A86"/>
    <w:rsid w:val="00F42CF4"/>
    <w:rsid w:val="00F43022"/>
    <w:rsid w:val="00F43079"/>
    <w:rsid w:val="00F431B1"/>
    <w:rsid w:val="00F437F2"/>
    <w:rsid w:val="00F43801"/>
    <w:rsid w:val="00F43809"/>
    <w:rsid w:val="00F43B25"/>
    <w:rsid w:val="00F44707"/>
    <w:rsid w:val="00F44AB0"/>
    <w:rsid w:val="00F44F66"/>
    <w:rsid w:val="00F455E0"/>
    <w:rsid w:val="00F458DC"/>
    <w:rsid w:val="00F459F4"/>
    <w:rsid w:val="00F45D0B"/>
    <w:rsid w:val="00F45FBD"/>
    <w:rsid w:val="00F45FFF"/>
    <w:rsid w:val="00F460AF"/>
    <w:rsid w:val="00F469C7"/>
    <w:rsid w:val="00F473AB"/>
    <w:rsid w:val="00F47489"/>
    <w:rsid w:val="00F47948"/>
    <w:rsid w:val="00F47973"/>
    <w:rsid w:val="00F4799E"/>
    <w:rsid w:val="00F47DA5"/>
    <w:rsid w:val="00F47FD4"/>
    <w:rsid w:val="00F505F2"/>
    <w:rsid w:val="00F50ABA"/>
    <w:rsid w:val="00F50EB1"/>
    <w:rsid w:val="00F5191D"/>
    <w:rsid w:val="00F51CD5"/>
    <w:rsid w:val="00F51E30"/>
    <w:rsid w:val="00F51F54"/>
    <w:rsid w:val="00F5227C"/>
    <w:rsid w:val="00F5270A"/>
    <w:rsid w:val="00F52A32"/>
    <w:rsid w:val="00F52CD8"/>
    <w:rsid w:val="00F5301C"/>
    <w:rsid w:val="00F5323E"/>
    <w:rsid w:val="00F536E9"/>
    <w:rsid w:val="00F53744"/>
    <w:rsid w:val="00F54157"/>
    <w:rsid w:val="00F54478"/>
    <w:rsid w:val="00F5479E"/>
    <w:rsid w:val="00F54811"/>
    <w:rsid w:val="00F548D4"/>
    <w:rsid w:val="00F55AF7"/>
    <w:rsid w:val="00F566C4"/>
    <w:rsid w:val="00F5685A"/>
    <w:rsid w:val="00F56A95"/>
    <w:rsid w:val="00F5704C"/>
    <w:rsid w:val="00F5736A"/>
    <w:rsid w:val="00F5767A"/>
    <w:rsid w:val="00F577A0"/>
    <w:rsid w:val="00F57849"/>
    <w:rsid w:val="00F57925"/>
    <w:rsid w:val="00F57A13"/>
    <w:rsid w:val="00F57B39"/>
    <w:rsid w:val="00F57E33"/>
    <w:rsid w:val="00F60168"/>
    <w:rsid w:val="00F60226"/>
    <w:rsid w:val="00F603A5"/>
    <w:rsid w:val="00F60A3E"/>
    <w:rsid w:val="00F61EA4"/>
    <w:rsid w:val="00F61F48"/>
    <w:rsid w:val="00F61FD3"/>
    <w:rsid w:val="00F62424"/>
    <w:rsid w:val="00F624AD"/>
    <w:rsid w:val="00F624ED"/>
    <w:rsid w:val="00F62D1F"/>
    <w:rsid w:val="00F63352"/>
    <w:rsid w:val="00F63692"/>
    <w:rsid w:val="00F63B89"/>
    <w:rsid w:val="00F64E9F"/>
    <w:rsid w:val="00F651F4"/>
    <w:rsid w:val="00F65D8A"/>
    <w:rsid w:val="00F65F53"/>
    <w:rsid w:val="00F6602A"/>
    <w:rsid w:val="00F66335"/>
    <w:rsid w:val="00F6684E"/>
    <w:rsid w:val="00F670AD"/>
    <w:rsid w:val="00F670B5"/>
    <w:rsid w:val="00F672EC"/>
    <w:rsid w:val="00F67414"/>
    <w:rsid w:val="00F6745E"/>
    <w:rsid w:val="00F67729"/>
    <w:rsid w:val="00F67F38"/>
    <w:rsid w:val="00F70275"/>
    <w:rsid w:val="00F7042C"/>
    <w:rsid w:val="00F70AA8"/>
    <w:rsid w:val="00F70BEC"/>
    <w:rsid w:val="00F70C93"/>
    <w:rsid w:val="00F70D8F"/>
    <w:rsid w:val="00F70EDF"/>
    <w:rsid w:val="00F7121F"/>
    <w:rsid w:val="00F71282"/>
    <w:rsid w:val="00F71822"/>
    <w:rsid w:val="00F7221C"/>
    <w:rsid w:val="00F72394"/>
    <w:rsid w:val="00F72E98"/>
    <w:rsid w:val="00F736E0"/>
    <w:rsid w:val="00F738F2"/>
    <w:rsid w:val="00F73FDD"/>
    <w:rsid w:val="00F741FF"/>
    <w:rsid w:val="00F74289"/>
    <w:rsid w:val="00F74309"/>
    <w:rsid w:val="00F74873"/>
    <w:rsid w:val="00F750D7"/>
    <w:rsid w:val="00F755E5"/>
    <w:rsid w:val="00F75857"/>
    <w:rsid w:val="00F75E27"/>
    <w:rsid w:val="00F76193"/>
    <w:rsid w:val="00F76921"/>
    <w:rsid w:val="00F76A64"/>
    <w:rsid w:val="00F76B38"/>
    <w:rsid w:val="00F76C04"/>
    <w:rsid w:val="00F76C95"/>
    <w:rsid w:val="00F76ED8"/>
    <w:rsid w:val="00F772D7"/>
    <w:rsid w:val="00F775EA"/>
    <w:rsid w:val="00F77DF4"/>
    <w:rsid w:val="00F8020B"/>
    <w:rsid w:val="00F80478"/>
    <w:rsid w:val="00F80BF2"/>
    <w:rsid w:val="00F80D62"/>
    <w:rsid w:val="00F81024"/>
    <w:rsid w:val="00F81352"/>
    <w:rsid w:val="00F81C1C"/>
    <w:rsid w:val="00F8212F"/>
    <w:rsid w:val="00F8217F"/>
    <w:rsid w:val="00F822E3"/>
    <w:rsid w:val="00F83437"/>
    <w:rsid w:val="00F8345E"/>
    <w:rsid w:val="00F83723"/>
    <w:rsid w:val="00F8374C"/>
    <w:rsid w:val="00F83ACE"/>
    <w:rsid w:val="00F83C4B"/>
    <w:rsid w:val="00F83E19"/>
    <w:rsid w:val="00F83E84"/>
    <w:rsid w:val="00F84060"/>
    <w:rsid w:val="00F8448C"/>
    <w:rsid w:val="00F846B0"/>
    <w:rsid w:val="00F84B6C"/>
    <w:rsid w:val="00F84FBB"/>
    <w:rsid w:val="00F85158"/>
    <w:rsid w:val="00F85466"/>
    <w:rsid w:val="00F85C50"/>
    <w:rsid w:val="00F86FF2"/>
    <w:rsid w:val="00F874E3"/>
    <w:rsid w:val="00F875CC"/>
    <w:rsid w:val="00F87C5B"/>
    <w:rsid w:val="00F90265"/>
    <w:rsid w:val="00F90699"/>
    <w:rsid w:val="00F90A59"/>
    <w:rsid w:val="00F9107A"/>
    <w:rsid w:val="00F9126F"/>
    <w:rsid w:val="00F913AD"/>
    <w:rsid w:val="00F9141B"/>
    <w:rsid w:val="00F91BCD"/>
    <w:rsid w:val="00F91E18"/>
    <w:rsid w:val="00F925C4"/>
    <w:rsid w:val="00F92CEA"/>
    <w:rsid w:val="00F93720"/>
    <w:rsid w:val="00F93965"/>
    <w:rsid w:val="00F93D8C"/>
    <w:rsid w:val="00F9453D"/>
    <w:rsid w:val="00F94786"/>
    <w:rsid w:val="00F94836"/>
    <w:rsid w:val="00F9494B"/>
    <w:rsid w:val="00F94C0D"/>
    <w:rsid w:val="00F94D40"/>
    <w:rsid w:val="00F94F89"/>
    <w:rsid w:val="00F9591D"/>
    <w:rsid w:val="00F95B63"/>
    <w:rsid w:val="00F960D9"/>
    <w:rsid w:val="00F96464"/>
    <w:rsid w:val="00F965CE"/>
    <w:rsid w:val="00F9668E"/>
    <w:rsid w:val="00F969AF"/>
    <w:rsid w:val="00F96B32"/>
    <w:rsid w:val="00F96D15"/>
    <w:rsid w:val="00F97024"/>
    <w:rsid w:val="00F9713B"/>
    <w:rsid w:val="00F973A3"/>
    <w:rsid w:val="00F974A8"/>
    <w:rsid w:val="00F9750A"/>
    <w:rsid w:val="00F979A2"/>
    <w:rsid w:val="00F97D9A"/>
    <w:rsid w:val="00FA05EB"/>
    <w:rsid w:val="00FA0DD2"/>
    <w:rsid w:val="00FA0E2A"/>
    <w:rsid w:val="00FA114C"/>
    <w:rsid w:val="00FA11CA"/>
    <w:rsid w:val="00FA155E"/>
    <w:rsid w:val="00FA1BE7"/>
    <w:rsid w:val="00FA1C2E"/>
    <w:rsid w:val="00FA1CC9"/>
    <w:rsid w:val="00FA1F70"/>
    <w:rsid w:val="00FA2498"/>
    <w:rsid w:val="00FA274D"/>
    <w:rsid w:val="00FA38F1"/>
    <w:rsid w:val="00FA3917"/>
    <w:rsid w:val="00FA39DB"/>
    <w:rsid w:val="00FA3DC1"/>
    <w:rsid w:val="00FA3EB1"/>
    <w:rsid w:val="00FA3F84"/>
    <w:rsid w:val="00FA4701"/>
    <w:rsid w:val="00FA5431"/>
    <w:rsid w:val="00FA546F"/>
    <w:rsid w:val="00FA574A"/>
    <w:rsid w:val="00FA5B52"/>
    <w:rsid w:val="00FA61BF"/>
    <w:rsid w:val="00FA6817"/>
    <w:rsid w:val="00FA694D"/>
    <w:rsid w:val="00FA6A47"/>
    <w:rsid w:val="00FA6B23"/>
    <w:rsid w:val="00FA6B3E"/>
    <w:rsid w:val="00FA72F2"/>
    <w:rsid w:val="00FA7659"/>
    <w:rsid w:val="00FA77AB"/>
    <w:rsid w:val="00FB01F5"/>
    <w:rsid w:val="00FB0257"/>
    <w:rsid w:val="00FB026A"/>
    <w:rsid w:val="00FB02D0"/>
    <w:rsid w:val="00FB045E"/>
    <w:rsid w:val="00FB04DE"/>
    <w:rsid w:val="00FB0917"/>
    <w:rsid w:val="00FB107D"/>
    <w:rsid w:val="00FB10C7"/>
    <w:rsid w:val="00FB124F"/>
    <w:rsid w:val="00FB1388"/>
    <w:rsid w:val="00FB14D1"/>
    <w:rsid w:val="00FB17B8"/>
    <w:rsid w:val="00FB1960"/>
    <w:rsid w:val="00FB2338"/>
    <w:rsid w:val="00FB2A7D"/>
    <w:rsid w:val="00FB2FC4"/>
    <w:rsid w:val="00FB32F8"/>
    <w:rsid w:val="00FB3842"/>
    <w:rsid w:val="00FB3976"/>
    <w:rsid w:val="00FB39F5"/>
    <w:rsid w:val="00FB4677"/>
    <w:rsid w:val="00FB499A"/>
    <w:rsid w:val="00FB4C6B"/>
    <w:rsid w:val="00FB4D89"/>
    <w:rsid w:val="00FB5421"/>
    <w:rsid w:val="00FB5B1F"/>
    <w:rsid w:val="00FB5DBB"/>
    <w:rsid w:val="00FB5F40"/>
    <w:rsid w:val="00FB66B1"/>
    <w:rsid w:val="00FB6810"/>
    <w:rsid w:val="00FB6A73"/>
    <w:rsid w:val="00FB7607"/>
    <w:rsid w:val="00FB77C9"/>
    <w:rsid w:val="00FB7B4C"/>
    <w:rsid w:val="00FC01CC"/>
    <w:rsid w:val="00FC0241"/>
    <w:rsid w:val="00FC033C"/>
    <w:rsid w:val="00FC0394"/>
    <w:rsid w:val="00FC044A"/>
    <w:rsid w:val="00FC04E6"/>
    <w:rsid w:val="00FC065B"/>
    <w:rsid w:val="00FC0967"/>
    <w:rsid w:val="00FC1513"/>
    <w:rsid w:val="00FC1702"/>
    <w:rsid w:val="00FC17B4"/>
    <w:rsid w:val="00FC1C41"/>
    <w:rsid w:val="00FC2DCB"/>
    <w:rsid w:val="00FC32BD"/>
    <w:rsid w:val="00FC3352"/>
    <w:rsid w:val="00FC36DA"/>
    <w:rsid w:val="00FC379C"/>
    <w:rsid w:val="00FC3920"/>
    <w:rsid w:val="00FC39AB"/>
    <w:rsid w:val="00FC3AE4"/>
    <w:rsid w:val="00FC3C39"/>
    <w:rsid w:val="00FC3D41"/>
    <w:rsid w:val="00FC3DA5"/>
    <w:rsid w:val="00FC4292"/>
    <w:rsid w:val="00FC437D"/>
    <w:rsid w:val="00FC4460"/>
    <w:rsid w:val="00FC45E7"/>
    <w:rsid w:val="00FC4637"/>
    <w:rsid w:val="00FC5B3B"/>
    <w:rsid w:val="00FC6076"/>
    <w:rsid w:val="00FC651F"/>
    <w:rsid w:val="00FC67EC"/>
    <w:rsid w:val="00FC68B0"/>
    <w:rsid w:val="00FC68EC"/>
    <w:rsid w:val="00FC69C4"/>
    <w:rsid w:val="00FC6BB7"/>
    <w:rsid w:val="00FC788D"/>
    <w:rsid w:val="00FC7CFF"/>
    <w:rsid w:val="00FD01C3"/>
    <w:rsid w:val="00FD098C"/>
    <w:rsid w:val="00FD189F"/>
    <w:rsid w:val="00FD1BD8"/>
    <w:rsid w:val="00FD1D60"/>
    <w:rsid w:val="00FD228E"/>
    <w:rsid w:val="00FD236E"/>
    <w:rsid w:val="00FD24F8"/>
    <w:rsid w:val="00FD2534"/>
    <w:rsid w:val="00FD27C5"/>
    <w:rsid w:val="00FD37ED"/>
    <w:rsid w:val="00FD3973"/>
    <w:rsid w:val="00FD3B0F"/>
    <w:rsid w:val="00FD423F"/>
    <w:rsid w:val="00FD4EA3"/>
    <w:rsid w:val="00FD52D6"/>
    <w:rsid w:val="00FD583A"/>
    <w:rsid w:val="00FD5AEB"/>
    <w:rsid w:val="00FD5B0A"/>
    <w:rsid w:val="00FD60BD"/>
    <w:rsid w:val="00FD610C"/>
    <w:rsid w:val="00FD62E0"/>
    <w:rsid w:val="00FD693A"/>
    <w:rsid w:val="00FD6A75"/>
    <w:rsid w:val="00FD7618"/>
    <w:rsid w:val="00FD799B"/>
    <w:rsid w:val="00FD7C38"/>
    <w:rsid w:val="00FD7D7A"/>
    <w:rsid w:val="00FD7EFC"/>
    <w:rsid w:val="00FE028B"/>
    <w:rsid w:val="00FE0B15"/>
    <w:rsid w:val="00FE0DD5"/>
    <w:rsid w:val="00FE0EA3"/>
    <w:rsid w:val="00FE10F7"/>
    <w:rsid w:val="00FE1919"/>
    <w:rsid w:val="00FE194D"/>
    <w:rsid w:val="00FE1A68"/>
    <w:rsid w:val="00FE1AA5"/>
    <w:rsid w:val="00FE22B4"/>
    <w:rsid w:val="00FE2E05"/>
    <w:rsid w:val="00FE35A8"/>
    <w:rsid w:val="00FE363A"/>
    <w:rsid w:val="00FE3A37"/>
    <w:rsid w:val="00FE3D7B"/>
    <w:rsid w:val="00FE417C"/>
    <w:rsid w:val="00FE464A"/>
    <w:rsid w:val="00FE4C89"/>
    <w:rsid w:val="00FE553F"/>
    <w:rsid w:val="00FE5BDF"/>
    <w:rsid w:val="00FE5C63"/>
    <w:rsid w:val="00FE5FBB"/>
    <w:rsid w:val="00FE647E"/>
    <w:rsid w:val="00FE689F"/>
    <w:rsid w:val="00FE7076"/>
    <w:rsid w:val="00FE70EE"/>
    <w:rsid w:val="00FE712F"/>
    <w:rsid w:val="00FE7C4D"/>
    <w:rsid w:val="00FF01DE"/>
    <w:rsid w:val="00FF0BC3"/>
    <w:rsid w:val="00FF0C61"/>
    <w:rsid w:val="00FF0CF0"/>
    <w:rsid w:val="00FF100B"/>
    <w:rsid w:val="00FF1D64"/>
    <w:rsid w:val="00FF3182"/>
    <w:rsid w:val="00FF34C7"/>
    <w:rsid w:val="00FF3776"/>
    <w:rsid w:val="00FF3896"/>
    <w:rsid w:val="00FF3EA5"/>
    <w:rsid w:val="00FF423E"/>
    <w:rsid w:val="00FF4871"/>
    <w:rsid w:val="00FF4ADE"/>
    <w:rsid w:val="00FF4C56"/>
    <w:rsid w:val="00FF4CB9"/>
    <w:rsid w:val="00FF569B"/>
    <w:rsid w:val="00FF5C20"/>
    <w:rsid w:val="00FF5CC7"/>
    <w:rsid w:val="00FF645A"/>
    <w:rsid w:val="00FF64E4"/>
    <w:rsid w:val="00FF69EA"/>
    <w:rsid w:val="00FF6A29"/>
    <w:rsid w:val="00FF6D97"/>
    <w:rsid w:val="00FF70D0"/>
    <w:rsid w:val="00FF7710"/>
    <w:rsid w:val="00FF7ABF"/>
    <w:rsid w:val="00FF7BC4"/>
    <w:rsid w:val="08332EF1"/>
    <w:rsid w:val="15536A53"/>
    <w:rsid w:val="272F6449"/>
    <w:rsid w:val="29032E13"/>
    <w:rsid w:val="30CA6A7F"/>
    <w:rsid w:val="329A50BF"/>
    <w:rsid w:val="33590AD6"/>
    <w:rsid w:val="337D37B5"/>
    <w:rsid w:val="34255C7E"/>
    <w:rsid w:val="363E3A63"/>
    <w:rsid w:val="38107BD1"/>
    <w:rsid w:val="44110F59"/>
    <w:rsid w:val="4D4A301A"/>
    <w:rsid w:val="5AD27216"/>
    <w:rsid w:val="602B46A0"/>
    <w:rsid w:val="70F52D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3" w:semiHidden="0" w:name="heading 1"/>
    <w:lsdException w:qFormat="1" w:unhideWhenUsed="0" w:uiPriority="4" w:semiHidden="0" w:name="heading 2"/>
    <w:lsdException w:qFormat="1" w:uiPriority="5" w:semiHidden="0" w:name="heading 3"/>
    <w:lsdException w:qFormat="1" w:uiPriority="6"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name="Normal Indent"/>
    <w:lsdException w:qFormat="1"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99" w:semiHidden="0"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iPriority="0"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520" w:lineRule="exact"/>
      <w:ind w:firstLine="200" w:firstLineChars="200"/>
      <w:jc w:val="both"/>
    </w:pPr>
    <w:rPr>
      <w:rFonts w:ascii="Times New Roman" w:hAnsi="Times New Roman" w:eastAsia="宋体" w:cstheme="minorBidi"/>
      <w:kern w:val="2"/>
      <w:sz w:val="24"/>
      <w:szCs w:val="24"/>
      <w:lang w:val="en-US" w:eastAsia="zh-CN" w:bidi="ar-SA"/>
    </w:rPr>
  </w:style>
  <w:style w:type="paragraph" w:styleId="2">
    <w:name w:val="heading 1"/>
    <w:next w:val="1"/>
    <w:link w:val="39"/>
    <w:qFormat/>
    <w:uiPriority w:val="3"/>
    <w:pPr>
      <w:keepNext/>
      <w:keepLines/>
      <w:pageBreakBefore/>
      <w:numPr>
        <w:ilvl w:val="0"/>
        <w:numId w:val="1"/>
      </w:numPr>
      <w:tabs>
        <w:tab w:val="left" w:pos="420"/>
        <w:tab w:val="left" w:pos="4527"/>
      </w:tabs>
      <w:spacing w:before="240" w:after="240" w:line="360" w:lineRule="auto"/>
      <w:jc w:val="center"/>
      <w:outlineLvl w:val="0"/>
    </w:pPr>
    <w:rPr>
      <w:rFonts w:ascii="Times New Roman" w:hAnsi="Times New Roman" w:eastAsia="宋体" w:cs="Times New Roman"/>
      <w:b/>
      <w:bCs/>
      <w:spacing w:val="2"/>
      <w:kern w:val="32"/>
      <w:sz w:val="36"/>
      <w:szCs w:val="32"/>
      <w:lang w:val="en-US" w:eastAsia="zh-CN" w:bidi="ar-SA"/>
    </w:rPr>
  </w:style>
  <w:style w:type="paragraph" w:styleId="3">
    <w:name w:val="heading 2"/>
    <w:next w:val="1"/>
    <w:link w:val="40"/>
    <w:qFormat/>
    <w:uiPriority w:val="4"/>
    <w:pPr>
      <w:keepNext/>
      <w:numPr>
        <w:ilvl w:val="1"/>
        <w:numId w:val="1"/>
      </w:numPr>
      <w:spacing w:before="50" w:beforeLines="50"/>
      <w:outlineLvl w:val="1"/>
    </w:pPr>
    <w:rPr>
      <w:rFonts w:ascii="Times New Roman" w:hAnsi="Times New Roman" w:eastAsia="宋体" w:cs="Times New Roman"/>
      <w:b/>
      <w:bCs/>
      <w:spacing w:val="2"/>
      <w:kern w:val="32"/>
      <w:sz w:val="30"/>
      <w:szCs w:val="30"/>
      <w:lang w:val="en-US" w:eastAsia="zh-CN" w:bidi="ar-SA"/>
    </w:rPr>
  </w:style>
  <w:style w:type="paragraph" w:styleId="4">
    <w:name w:val="heading 3"/>
    <w:next w:val="1"/>
    <w:link w:val="41"/>
    <w:unhideWhenUsed/>
    <w:qFormat/>
    <w:uiPriority w:val="5"/>
    <w:pPr>
      <w:keepNext/>
      <w:keepLines/>
      <w:numPr>
        <w:ilvl w:val="2"/>
        <w:numId w:val="1"/>
      </w:numPr>
      <w:adjustRightInd w:val="0"/>
      <w:snapToGrid w:val="0"/>
      <w:spacing w:before="240"/>
      <w:outlineLvl w:val="2"/>
    </w:pPr>
    <w:rPr>
      <w:rFonts w:ascii="Times New Roman" w:hAnsi="Times New Roman" w:eastAsia="宋体" w:cs="Times New Roman"/>
      <w:b/>
      <w:bCs/>
      <w:spacing w:val="2"/>
      <w:kern w:val="32"/>
      <w:sz w:val="24"/>
      <w:szCs w:val="30"/>
      <w:lang w:val="en-US" w:eastAsia="zh-CN" w:bidi="ar-SA"/>
    </w:rPr>
  </w:style>
  <w:style w:type="paragraph" w:styleId="5">
    <w:name w:val="heading 4"/>
    <w:next w:val="1"/>
    <w:link w:val="42"/>
    <w:unhideWhenUsed/>
    <w:qFormat/>
    <w:uiPriority w:val="6"/>
    <w:pPr>
      <w:keepNext/>
      <w:adjustRightInd w:val="0"/>
      <w:snapToGrid w:val="0"/>
      <w:spacing w:before="240"/>
      <w:ind w:firstLine="200" w:firstLineChars="200"/>
      <w:outlineLvl w:val="3"/>
    </w:pPr>
    <w:rPr>
      <w:rFonts w:ascii="Times New Roman" w:hAnsi="Times New Roman" w:eastAsia="宋体" w:cstheme="minorBidi"/>
      <w:b/>
      <w:kern w:val="2"/>
      <w:sz w:val="24"/>
      <w:szCs w:val="24"/>
      <w:lang w:val="en-US" w:eastAsia="zh-CN" w:bidi="ar-SA"/>
    </w:rPr>
  </w:style>
  <w:style w:type="paragraph" w:styleId="6">
    <w:name w:val="heading 5"/>
    <w:next w:val="1"/>
    <w:link w:val="43"/>
    <w:unhideWhenUsed/>
    <w:qFormat/>
    <w:uiPriority w:val="9"/>
    <w:pPr>
      <w:ind w:firstLine="560"/>
      <w:outlineLvl w:val="4"/>
    </w:pPr>
    <w:rPr>
      <w:rFonts w:ascii="楷体" w:hAnsi="楷体" w:eastAsia="楷体" w:cstheme="minorBidi"/>
      <w:b/>
      <w:kern w:val="2"/>
      <w:sz w:val="28"/>
      <w:szCs w:val="24"/>
      <w:lang w:val="en-US" w:eastAsia="zh-CN" w:bidi="ar-SA"/>
    </w:rPr>
  </w:style>
  <w:style w:type="paragraph" w:styleId="7">
    <w:name w:val="heading 6"/>
    <w:basedOn w:val="1"/>
    <w:next w:val="1"/>
    <w:link w:val="44"/>
    <w:unhideWhenUsed/>
    <w:qFormat/>
    <w:uiPriority w:val="9"/>
    <w:pPr>
      <w:ind w:firstLine="482"/>
      <w:outlineLvl w:val="5"/>
    </w:pPr>
    <w:rPr>
      <w:b/>
      <w:bCs/>
    </w:rPr>
  </w:style>
  <w:style w:type="paragraph" w:styleId="8">
    <w:name w:val="heading 7"/>
    <w:basedOn w:val="1"/>
    <w:next w:val="1"/>
    <w:link w:val="45"/>
    <w:unhideWhenUsed/>
    <w:qFormat/>
    <w:uiPriority w:val="9"/>
    <w:pPr>
      <w:ind w:firstLine="482"/>
      <w:outlineLvl w:val="6"/>
    </w:pPr>
    <w:rPr>
      <w:b/>
      <w:bCs/>
    </w:rPr>
  </w:style>
  <w:style w:type="paragraph" w:styleId="9">
    <w:name w:val="heading 8"/>
    <w:basedOn w:val="1"/>
    <w:next w:val="1"/>
    <w:link w:val="46"/>
    <w:unhideWhenUsed/>
    <w:qFormat/>
    <w:uiPriority w:val="9"/>
    <w:pPr>
      <w:keepNext/>
      <w:keepLines/>
      <w:spacing w:before="240" w:after="64" w:line="320" w:lineRule="auto"/>
      <w:outlineLvl w:val="7"/>
    </w:pPr>
    <w:rPr>
      <w:rFonts w:asciiTheme="majorHAnsi" w:hAnsiTheme="majorHAnsi" w:eastAsiaTheme="majorEastAsia" w:cstheme="majorBidi"/>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10">
    <w:name w:val="toc 7"/>
    <w:basedOn w:val="1"/>
    <w:next w:val="1"/>
    <w:autoRedefine/>
    <w:unhideWhenUsed/>
    <w:qFormat/>
    <w:uiPriority w:val="39"/>
    <w:pPr>
      <w:ind w:left="1440"/>
    </w:pPr>
    <w:rPr>
      <w:rFonts w:asciiTheme="minorHAnsi" w:hAnsiTheme="minorHAnsi" w:cstheme="minorHAnsi"/>
      <w:sz w:val="18"/>
      <w:szCs w:val="18"/>
    </w:rPr>
  </w:style>
  <w:style w:type="paragraph" w:styleId="11">
    <w:name w:val="caption"/>
    <w:next w:val="1"/>
    <w:link w:val="47"/>
    <w:unhideWhenUsed/>
    <w:qFormat/>
    <w:uiPriority w:val="99"/>
    <w:pPr>
      <w:adjustRightInd w:val="0"/>
      <w:snapToGrid w:val="0"/>
      <w:spacing w:before="60" w:after="120"/>
      <w:jc w:val="center"/>
    </w:pPr>
    <w:rPr>
      <w:rFonts w:ascii="方正楷体_GBK" w:hAnsi="Times New Roman" w:eastAsia="黑体" w:cstheme="minorBidi"/>
      <w:iCs/>
      <w:kern w:val="2"/>
      <w:sz w:val="24"/>
      <w:szCs w:val="24"/>
      <w:lang w:val="en-US" w:eastAsia="zh-CN" w:bidi="ar-SA"/>
    </w:rPr>
  </w:style>
  <w:style w:type="paragraph" w:styleId="12">
    <w:name w:val="annotation text"/>
    <w:basedOn w:val="1"/>
    <w:link w:val="48"/>
    <w:unhideWhenUsed/>
    <w:qFormat/>
    <w:uiPriority w:val="0"/>
  </w:style>
  <w:style w:type="paragraph" w:styleId="13">
    <w:name w:val="toc 5"/>
    <w:basedOn w:val="1"/>
    <w:next w:val="1"/>
    <w:autoRedefine/>
    <w:unhideWhenUsed/>
    <w:qFormat/>
    <w:uiPriority w:val="39"/>
    <w:pPr>
      <w:ind w:left="960"/>
    </w:pPr>
    <w:rPr>
      <w:rFonts w:asciiTheme="minorHAnsi" w:hAnsiTheme="minorHAnsi" w:cstheme="minorHAnsi"/>
      <w:sz w:val="18"/>
      <w:szCs w:val="18"/>
    </w:rPr>
  </w:style>
  <w:style w:type="paragraph" w:styleId="14">
    <w:name w:val="toc 3"/>
    <w:next w:val="1"/>
    <w:autoRedefine/>
    <w:unhideWhenUsed/>
    <w:qFormat/>
    <w:uiPriority w:val="39"/>
    <w:pPr>
      <w:widowControl w:val="0"/>
      <w:adjustRightInd w:val="0"/>
      <w:snapToGrid w:val="0"/>
      <w:spacing w:line="360" w:lineRule="auto"/>
      <w:ind w:left="480" w:firstLine="200" w:firstLineChars="200"/>
    </w:pPr>
    <w:rPr>
      <w:rFonts w:asciiTheme="minorHAnsi" w:hAnsiTheme="minorHAnsi" w:eastAsiaTheme="minorEastAsia" w:cstheme="minorHAnsi"/>
      <w:i/>
      <w:iCs/>
      <w:kern w:val="2"/>
      <w:lang w:val="en-US" w:eastAsia="zh-CN" w:bidi="ar-SA"/>
    </w:rPr>
  </w:style>
  <w:style w:type="paragraph" w:styleId="15">
    <w:name w:val="toc 8"/>
    <w:basedOn w:val="1"/>
    <w:next w:val="1"/>
    <w:autoRedefine/>
    <w:unhideWhenUsed/>
    <w:qFormat/>
    <w:uiPriority w:val="39"/>
    <w:pPr>
      <w:ind w:left="1680"/>
    </w:pPr>
    <w:rPr>
      <w:rFonts w:asciiTheme="minorHAnsi" w:hAnsiTheme="minorHAnsi" w:cstheme="minorHAnsi"/>
      <w:sz w:val="18"/>
      <w:szCs w:val="18"/>
    </w:rPr>
  </w:style>
  <w:style w:type="paragraph" w:styleId="16">
    <w:name w:val="Date"/>
    <w:basedOn w:val="1"/>
    <w:next w:val="1"/>
    <w:link w:val="49"/>
    <w:autoRedefine/>
    <w:semiHidden/>
    <w:unhideWhenUsed/>
    <w:qFormat/>
    <w:uiPriority w:val="99"/>
    <w:pPr>
      <w:ind w:left="100" w:leftChars="2500"/>
    </w:pPr>
  </w:style>
  <w:style w:type="paragraph" w:styleId="17">
    <w:name w:val="endnote text"/>
    <w:basedOn w:val="1"/>
    <w:link w:val="50"/>
    <w:semiHidden/>
    <w:unhideWhenUsed/>
    <w:qFormat/>
    <w:uiPriority w:val="99"/>
  </w:style>
  <w:style w:type="paragraph" w:styleId="18">
    <w:name w:val="Balloon Text"/>
    <w:basedOn w:val="1"/>
    <w:link w:val="51"/>
    <w:semiHidden/>
    <w:unhideWhenUsed/>
    <w:qFormat/>
    <w:uiPriority w:val="99"/>
    <w:pPr>
      <w:spacing w:line="240" w:lineRule="auto"/>
    </w:pPr>
    <w:rPr>
      <w:sz w:val="18"/>
      <w:szCs w:val="18"/>
    </w:rPr>
  </w:style>
  <w:style w:type="paragraph" w:styleId="19">
    <w:name w:val="footer"/>
    <w:basedOn w:val="1"/>
    <w:link w:val="52"/>
    <w:unhideWhenUsed/>
    <w:qFormat/>
    <w:uiPriority w:val="99"/>
    <w:pPr>
      <w:tabs>
        <w:tab w:val="center" w:pos="4153"/>
        <w:tab w:val="right" w:pos="8306"/>
      </w:tabs>
    </w:pPr>
    <w:rPr>
      <w:sz w:val="18"/>
      <w:szCs w:val="18"/>
    </w:rPr>
  </w:style>
  <w:style w:type="paragraph" w:styleId="20">
    <w:name w:val="header"/>
    <w:basedOn w:val="1"/>
    <w:link w:val="53"/>
    <w:unhideWhenUsed/>
    <w:qFormat/>
    <w:uiPriority w:val="99"/>
    <w:pPr>
      <w:tabs>
        <w:tab w:val="center" w:pos="4153"/>
        <w:tab w:val="right" w:pos="8306"/>
      </w:tabs>
      <w:spacing w:line="240" w:lineRule="auto"/>
      <w:jc w:val="center"/>
    </w:pPr>
    <w:rPr>
      <w:sz w:val="18"/>
      <w:szCs w:val="18"/>
    </w:rPr>
  </w:style>
  <w:style w:type="paragraph" w:styleId="21">
    <w:name w:val="toc 1"/>
    <w:next w:val="1"/>
    <w:autoRedefine/>
    <w:unhideWhenUsed/>
    <w:qFormat/>
    <w:uiPriority w:val="39"/>
    <w:pPr>
      <w:widowControl w:val="0"/>
      <w:tabs>
        <w:tab w:val="left" w:pos="284"/>
        <w:tab w:val="right" w:leader="dot" w:pos="8296"/>
      </w:tabs>
      <w:adjustRightInd w:val="0"/>
      <w:snapToGrid w:val="0"/>
      <w:spacing w:after="120"/>
    </w:pPr>
    <w:rPr>
      <w:rFonts w:ascii="Times New Roman" w:hAnsi="Times New Roman" w:eastAsia="方正仿宋_GBK" w:cstheme="minorHAnsi"/>
      <w:b/>
      <w:bCs/>
      <w:caps/>
      <w:kern w:val="2"/>
      <w:sz w:val="30"/>
      <w:lang w:val="en-US" w:eastAsia="zh-CN" w:bidi="ar-SA"/>
    </w:rPr>
  </w:style>
  <w:style w:type="paragraph" w:styleId="22">
    <w:name w:val="toc 4"/>
    <w:basedOn w:val="1"/>
    <w:next w:val="1"/>
    <w:autoRedefine/>
    <w:unhideWhenUsed/>
    <w:qFormat/>
    <w:uiPriority w:val="39"/>
    <w:pPr>
      <w:ind w:left="720"/>
    </w:pPr>
    <w:rPr>
      <w:rFonts w:asciiTheme="minorHAnsi" w:hAnsiTheme="minorHAnsi" w:cstheme="minorHAnsi"/>
      <w:sz w:val="18"/>
      <w:szCs w:val="18"/>
    </w:rPr>
  </w:style>
  <w:style w:type="paragraph" w:styleId="23">
    <w:name w:val="footnote text"/>
    <w:basedOn w:val="1"/>
    <w:link w:val="54"/>
    <w:semiHidden/>
    <w:unhideWhenUsed/>
    <w:qFormat/>
    <w:uiPriority w:val="99"/>
    <w:rPr>
      <w:sz w:val="18"/>
      <w:szCs w:val="18"/>
    </w:rPr>
  </w:style>
  <w:style w:type="paragraph" w:styleId="24">
    <w:name w:val="toc 6"/>
    <w:basedOn w:val="1"/>
    <w:next w:val="1"/>
    <w:autoRedefine/>
    <w:unhideWhenUsed/>
    <w:qFormat/>
    <w:uiPriority w:val="39"/>
    <w:pPr>
      <w:ind w:left="1200"/>
    </w:pPr>
    <w:rPr>
      <w:rFonts w:asciiTheme="minorHAnsi" w:hAnsiTheme="minorHAnsi" w:cstheme="minorHAnsi"/>
      <w:sz w:val="18"/>
      <w:szCs w:val="18"/>
    </w:rPr>
  </w:style>
  <w:style w:type="paragraph" w:styleId="25">
    <w:name w:val="toc 2"/>
    <w:next w:val="1"/>
    <w:autoRedefine/>
    <w:unhideWhenUsed/>
    <w:qFormat/>
    <w:uiPriority w:val="39"/>
    <w:pPr>
      <w:widowControl w:val="0"/>
      <w:tabs>
        <w:tab w:val="right" w:leader="dot" w:pos="8296"/>
      </w:tabs>
      <w:adjustRightInd w:val="0"/>
      <w:snapToGrid w:val="0"/>
      <w:spacing w:line="340" w:lineRule="exact"/>
      <w:ind w:firstLine="480" w:firstLineChars="200"/>
    </w:pPr>
    <w:rPr>
      <w:rFonts w:ascii="Times New Roman" w:hAnsi="Times New Roman" w:cs="Times New Roman" w:eastAsiaTheme="minorEastAsia"/>
      <w:smallCaps/>
      <w:kern w:val="2"/>
      <w:sz w:val="24"/>
      <w:lang w:val="en-US" w:eastAsia="zh-CN" w:bidi="ar-SA"/>
      <w14:scene3d w14:prst="orthographicFront">
        <w14:lightRig w14:rig="threePt" w14:dir="t">
          <w14:rot w14:lat="0" w14:lon="0" w14:rev="0"/>
        </w14:lightRig>
      </w14:scene3d>
    </w:rPr>
  </w:style>
  <w:style w:type="paragraph" w:styleId="26">
    <w:name w:val="toc 9"/>
    <w:basedOn w:val="1"/>
    <w:next w:val="1"/>
    <w:autoRedefine/>
    <w:unhideWhenUsed/>
    <w:qFormat/>
    <w:uiPriority w:val="39"/>
    <w:pPr>
      <w:ind w:left="1920"/>
    </w:pPr>
    <w:rPr>
      <w:rFonts w:asciiTheme="minorHAnsi" w:hAnsiTheme="minorHAnsi" w:cstheme="minorHAnsi"/>
      <w:sz w:val="18"/>
      <w:szCs w:val="18"/>
    </w:rPr>
  </w:style>
  <w:style w:type="paragraph" w:styleId="27">
    <w:name w:val="Normal (Web)"/>
    <w:basedOn w:val="1"/>
    <w:unhideWhenUsed/>
    <w:qFormat/>
    <w:uiPriority w:val="99"/>
    <w:pPr>
      <w:widowControl/>
      <w:adjustRightInd/>
      <w:snapToGrid/>
      <w:spacing w:before="100" w:beforeAutospacing="1" w:after="100" w:afterAutospacing="1" w:line="240" w:lineRule="auto"/>
      <w:ind w:firstLine="0" w:firstLineChars="0"/>
    </w:pPr>
    <w:rPr>
      <w:rFonts w:ascii="宋体" w:hAnsi="宋体" w:cs="宋体"/>
      <w:kern w:val="0"/>
    </w:rPr>
  </w:style>
  <w:style w:type="paragraph" w:styleId="28">
    <w:name w:val="annotation subject"/>
    <w:basedOn w:val="12"/>
    <w:next w:val="12"/>
    <w:link w:val="55"/>
    <w:semiHidden/>
    <w:unhideWhenUsed/>
    <w:qFormat/>
    <w:uiPriority w:val="99"/>
    <w:rPr>
      <w:b/>
      <w:bCs/>
    </w:rPr>
  </w:style>
  <w:style w:type="table" w:styleId="30">
    <w:name w:val="Table Grid"/>
    <w:basedOn w:val="2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qFormat/>
    <w:uiPriority w:val="22"/>
    <w:rPr>
      <w:b/>
      <w:bCs/>
    </w:rPr>
  </w:style>
  <w:style w:type="character" w:styleId="33">
    <w:name w:val="endnote reference"/>
    <w:basedOn w:val="31"/>
    <w:semiHidden/>
    <w:unhideWhenUsed/>
    <w:qFormat/>
    <w:uiPriority w:val="99"/>
    <w:rPr>
      <w:vertAlign w:val="superscript"/>
    </w:rPr>
  </w:style>
  <w:style w:type="character" w:styleId="34">
    <w:name w:val="FollowedHyperlink"/>
    <w:basedOn w:val="31"/>
    <w:autoRedefine/>
    <w:semiHidden/>
    <w:unhideWhenUsed/>
    <w:qFormat/>
    <w:uiPriority w:val="99"/>
    <w:rPr>
      <w:color w:val="954F72"/>
      <w:u w:val="single"/>
    </w:rPr>
  </w:style>
  <w:style w:type="character" w:styleId="35">
    <w:name w:val="Emphasis"/>
    <w:basedOn w:val="31"/>
    <w:qFormat/>
    <w:uiPriority w:val="20"/>
    <w:rPr>
      <w:rFonts w:ascii="黑体" w:hAnsi="黑体" w:eastAsia="黑体"/>
      <w:iCs/>
    </w:rPr>
  </w:style>
  <w:style w:type="character" w:styleId="36">
    <w:name w:val="Hyperlink"/>
    <w:basedOn w:val="31"/>
    <w:unhideWhenUsed/>
    <w:qFormat/>
    <w:uiPriority w:val="99"/>
    <w:rPr>
      <w:color w:val="0563C1" w:themeColor="hyperlink"/>
      <w:u w:val="single"/>
      <w14:textFill>
        <w14:solidFill>
          <w14:schemeClr w14:val="hlink"/>
        </w14:solidFill>
      </w14:textFill>
    </w:rPr>
  </w:style>
  <w:style w:type="character" w:styleId="37">
    <w:name w:val="annotation reference"/>
    <w:basedOn w:val="31"/>
    <w:semiHidden/>
    <w:unhideWhenUsed/>
    <w:qFormat/>
    <w:uiPriority w:val="99"/>
    <w:rPr>
      <w:sz w:val="21"/>
      <w:szCs w:val="21"/>
    </w:rPr>
  </w:style>
  <w:style w:type="character" w:styleId="38">
    <w:name w:val="footnote reference"/>
    <w:basedOn w:val="31"/>
    <w:semiHidden/>
    <w:unhideWhenUsed/>
    <w:qFormat/>
    <w:uiPriority w:val="99"/>
    <w:rPr>
      <w:vertAlign w:val="superscript"/>
    </w:rPr>
  </w:style>
  <w:style w:type="character" w:customStyle="1" w:styleId="39">
    <w:name w:val="标题 1 Char"/>
    <w:basedOn w:val="31"/>
    <w:link w:val="2"/>
    <w:qFormat/>
    <w:uiPriority w:val="3"/>
    <w:rPr>
      <w:rFonts w:eastAsia="宋体" w:cs="Times New Roman"/>
      <w:b/>
      <w:bCs/>
      <w:spacing w:val="2"/>
      <w:kern w:val="32"/>
      <w:sz w:val="36"/>
      <w:szCs w:val="32"/>
    </w:rPr>
  </w:style>
  <w:style w:type="character" w:customStyle="1" w:styleId="40">
    <w:name w:val="标题 2 Char"/>
    <w:basedOn w:val="31"/>
    <w:link w:val="3"/>
    <w:qFormat/>
    <w:uiPriority w:val="4"/>
    <w:rPr>
      <w:rFonts w:eastAsia="宋体" w:cs="Times New Roman"/>
      <w:b/>
      <w:bCs/>
      <w:spacing w:val="2"/>
      <w:kern w:val="32"/>
      <w:sz w:val="30"/>
      <w:szCs w:val="30"/>
    </w:rPr>
  </w:style>
  <w:style w:type="character" w:customStyle="1" w:styleId="41">
    <w:name w:val="标题 3 Char"/>
    <w:basedOn w:val="31"/>
    <w:link w:val="4"/>
    <w:qFormat/>
    <w:uiPriority w:val="5"/>
    <w:rPr>
      <w:rFonts w:eastAsia="宋体" w:cs="Times New Roman"/>
      <w:b/>
      <w:bCs/>
      <w:spacing w:val="2"/>
      <w:kern w:val="32"/>
      <w:szCs w:val="30"/>
    </w:rPr>
  </w:style>
  <w:style w:type="character" w:customStyle="1" w:styleId="42">
    <w:name w:val="标题 4 Char"/>
    <w:basedOn w:val="31"/>
    <w:link w:val="5"/>
    <w:qFormat/>
    <w:uiPriority w:val="6"/>
    <w:rPr>
      <w:rFonts w:eastAsia="宋体"/>
      <w:b/>
    </w:rPr>
  </w:style>
  <w:style w:type="character" w:customStyle="1" w:styleId="43">
    <w:name w:val="标题 5 Char"/>
    <w:basedOn w:val="31"/>
    <w:link w:val="6"/>
    <w:qFormat/>
    <w:uiPriority w:val="9"/>
    <w:rPr>
      <w:rFonts w:ascii="楷体" w:hAnsi="楷体" w:eastAsia="楷体"/>
      <w:b/>
      <w:sz w:val="28"/>
    </w:rPr>
  </w:style>
  <w:style w:type="character" w:customStyle="1" w:styleId="44">
    <w:name w:val="标题 6 Char"/>
    <w:basedOn w:val="31"/>
    <w:link w:val="7"/>
    <w:qFormat/>
    <w:uiPriority w:val="9"/>
    <w:rPr>
      <w:b/>
      <w:bCs/>
    </w:rPr>
  </w:style>
  <w:style w:type="character" w:customStyle="1" w:styleId="45">
    <w:name w:val="标题 7 Char"/>
    <w:basedOn w:val="31"/>
    <w:link w:val="8"/>
    <w:qFormat/>
    <w:uiPriority w:val="9"/>
    <w:rPr>
      <w:b/>
      <w:bCs/>
    </w:rPr>
  </w:style>
  <w:style w:type="character" w:customStyle="1" w:styleId="46">
    <w:name w:val="标题 8 Char"/>
    <w:basedOn w:val="31"/>
    <w:link w:val="9"/>
    <w:qFormat/>
    <w:uiPriority w:val="9"/>
    <w:rPr>
      <w:rFonts w:asciiTheme="majorHAnsi" w:hAnsiTheme="majorHAnsi" w:eastAsiaTheme="majorEastAsia" w:cstheme="majorBidi"/>
    </w:rPr>
  </w:style>
  <w:style w:type="character" w:customStyle="1" w:styleId="47">
    <w:name w:val="题注 Char"/>
    <w:link w:val="11"/>
    <w:qFormat/>
    <w:uiPriority w:val="99"/>
    <w:rPr>
      <w:rFonts w:ascii="方正楷体_GBK" w:eastAsia="黑体"/>
      <w:iCs/>
    </w:rPr>
  </w:style>
  <w:style w:type="character" w:customStyle="1" w:styleId="48">
    <w:name w:val="批注文字 Char"/>
    <w:basedOn w:val="31"/>
    <w:link w:val="12"/>
    <w:qFormat/>
    <w:uiPriority w:val="0"/>
    <w:rPr>
      <w:rFonts w:eastAsia="方正仿宋_GBK"/>
      <w:sz w:val="30"/>
    </w:rPr>
  </w:style>
  <w:style w:type="character" w:customStyle="1" w:styleId="49">
    <w:name w:val="日期 Char"/>
    <w:basedOn w:val="31"/>
    <w:link w:val="16"/>
    <w:semiHidden/>
    <w:qFormat/>
    <w:uiPriority w:val="99"/>
  </w:style>
  <w:style w:type="character" w:customStyle="1" w:styleId="50">
    <w:name w:val="尾注文本 Char"/>
    <w:basedOn w:val="31"/>
    <w:link w:val="17"/>
    <w:semiHidden/>
    <w:qFormat/>
    <w:uiPriority w:val="99"/>
  </w:style>
  <w:style w:type="character" w:customStyle="1" w:styleId="51">
    <w:name w:val="批注框文本 Char"/>
    <w:basedOn w:val="31"/>
    <w:link w:val="18"/>
    <w:semiHidden/>
    <w:qFormat/>
    <w:uiPriority w:val="99"/>
    <w:rPr>
      <w:sz w:val="18"/>
      <w:szCs w:val="18"/>
    </w:rPr>
  </w:style>
  <w:style w:type="character" w:customStyle="1" w:styleId="52">
    <w:name w:val="页脚 Char"/>
    <w:basedOn w:val="31"/>
    <w:link w:val="19"/>
    <w:qFormat/>
    <w:uiPriority w:val="99"/>
    <w:rPr>
      <w:sz w:val="18"/>
      <w:szCs w:val="18"/>
    </w:rPr>
  </w:style>
  <w:style w:type="character" w:customStyle="1" w:styleId="53">
    <w:name w:val="页眉 Char"/>
    <w:basedOn w:val="31"/>
    <w:link w:val="20"/>
    <w:qFormat/>
    <w:uiPriority w:val="99"/>
    <w:rPr>
      <w:sz w:val="18"/>
      <w:szCs w:val="18"/>
    </w:rPr>
  </w:style>
  <w:style w:type="character" w:customStyle="1" w:styleId="54">
    <w:name w:val="脚注文本 Char"/>
    <w:basedOn w:val="31"/>
    <w:link w:val="23"/>
    <w:semiHidden/>
    <w:qFormat/>
    <w:uiPriority w:val="99"/>
    <w:rPr>
      <w:rFonts w:eastAsia="方正仿宋_GBK"/>
      <w:sz w:val="18"/>
      <w:szCs w:val="18"/>
    </w:rPr>
  </w:style>
  <w:style w:type="character" w:customStyle="1" w:styleId="55">
    <w:name w:val="批注主题 Char"/>
    <w:basedOn w:val="48"/>
    <w:link w:val="28"/>
    <w:semiHidden/>
    <w:qFormat/>
    <w:uiPriority w:val="99"/>
    <w:rPr>
      <w:rFonts w:eastAsia="方正仿宋_GBK"/>
      <w:b/>
      <w:bCs/>
      <w:sz w:val="30"/>
    </w:rPr>
  </w:style>
  <w:style w:type="paragraph" w:customStyle="1" w:styleId="56">
    <w:name w:val="其它文字"/>
    <w:qFormat/>
    <w:uiPriority w:val="99"/>
    <w:pPr>
      <w:jc w:val="center"/>
    </w:pPr>
    <w:rPr>
      <w:rFonts w:ascii="黑体" w:hAnsi="宋体" w:eastAsia="黑体" w:cs="宋体"/>
      <w:sz w:val="44"/>
      <w:szCs w:val="44"/>
      <w:lang w:val="en-US" w:eastAsia="zh-CN" w:bidi="ar-SA"/>
    </w:rPr>
  </w:style>
  <w:style w:type="paragraph" w:customStyle="1" w:styleId="57">
    <w:name w:val="表内文字"/>
    <w:qFormat/>
    <w:uiPriority w:val="0"/>
    <w:pPr>
      <w:adjustRightInd w:val="0"/>
      <w:snapToGrid w:val="0"/>
      <w:spacing w:before="20" w:after="20"/>
    </w:pPr>
    <w:rPr>
      <w:rFonts w:ascii="方正楷体_GBK" w:hAnsi="Times New Roman" w:eastAsia="楷体" w:cstheme="minorBidi"/>
      <w:kern w:val="2"/>
      <w:sz w:val="24"/>
      <w:szCs w:val="24"/>
      <w:lang w:val="en-US" w:eastAsia="zh-CN" w:bidi="ar-SA"/>
    </w:rPr>
  </w:style>
  <w:style w:type="paragraph" w:customStyle="1" w:styleId="58">
    <w:name w:val="修订1"/>
    <w:hidden/>
    <w:semiHidden/>
    <w:qFormat/>
    <w:uiPriority w:val="99"/>
    <w:rPr>
      <w:rFonts w:ascii="Times New Roman" w:hAnsi="Times New Roman" w:eastAsiaTheme="minorEastAsia" w:cstheme="minorBidi"/>
      <w:kern w:val="2"/>
      <w:sz w:val="24"/>
      <w:szCs w:val="24"/>
      <w:lang w:val="en-US" w:eastAsia="zh-CN" w:bidi="ar-SA"/>
    </w:rPr>
  </w:style>
  <w:style w:type="paragraph" w:customStyle="1" w:styleId="59">
    <w:name w:val="修订1111"/>
    <w:hidden/>
    <w:semiHidden/>
    <w:qFormat/>
    <w:uiPriority w:val="99"/>
    <w:rPr>
      <w:rFonts w:ascii="Times New Roman" w:hAnsi="Times New Roman" w:eastAsiaTheme="minorEastAsia" w:cstheme="minorBidi"/>
      <w:kern w:val="2"/>
      <w:sz w:val="24"/>
      <w:szCs w:val="24"/>
      <w:lang w:val="en-US" w:eastAsia="zh-CN" w:bidi="ar-SA"/>
    </w:rPr>
  </w:style>
  <w:style w:type="table" w:customStyle="1" w:styleId="60">
    <w:name w:val="表格样式一"/>
    <w:basedOn w:val="29"/>
    <w:qFormat/>
    <w:uiPriority w:val="99"/>
    <w:pPr>
      <w:adjustRightInd w:val="0"/>
      <w:snapToGrid w:val="0"/>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paragraph" w:styleId="61">
    <w:name w:val="List Paragraph"/>
    <w:basedOn w:val="1"/>
    <w:qFormat/>
    <w:uiPriority w:val="34"/>
    <w:pPr>
      <w:ind w:firstLine="420"/>
    </w:pPr>
  </w:style>
  <w:style w:type="paragraph" w:customStyle="1" w:styleId="62">
    <w:name w:val="修订11"/>
    <w:autoRedefine/>
    <w:hidden/>
    <w:semiHidden/>
    <w:qFormat/>
    <w:uiPriority w:val="99"/>
    <w:rPr>
      <w:rFonts w:ascii="Times New Roman" w:hAnsi="Times New Roman" w:eastAsiaTheme="minorEastAsia" w:cstheme="minorBidi"/>
      <w:kern w:val="2"/>
      <w:sz w:val="24"/>
      <w:szCs w:val="24"/>
      <w:lang w:val="en-US" w:eastAsia="zh-CN" w:bidi="ar-SA"/>
    </w:rPr>
  </w:style>
  <w:style w:type="paragraph" w:customStyle="1" w:styleId="63">
    <w:name w:val="修订111"/>
    <w:autoRedefine/>
    <w:hidden/>
    <w:semiHidden/>
    <w:qFormat/>
    <w:uiPriority w:val="99"/>
    <w:rPr>
      <w:rFonts w:ascii="Times New Roman" w:hAnsi="Times New Roman" w:eastAsiaTheme="minorEastAsia" w:cstheme="minorBidi"/>
      <w:kern w:val="2"/>
      <w:sz w:val="24"/>
      <w:szCs w:val="24"/>
      <w:lang w:val="en-US" w:eastAsia="zh-CN" w:bidi="ar-SA"/>
    </w:rPr>
  </w:style>
  <w:style w:type="paragraph" w:customStyle="1" w:styleId="64">
    <w:name w:val="专栏标题（表名）"/>
    <w:qFormat/>
    <w:uiPriority w:val="0"/>
    <w:pPr>
      <w:adjustRightInd w:val="0"/>
      <w:snapToGrid w:val="0"/>
      <w:spacing w:before="60" w:after="60"/>
      <w:jc w:val="center"/>
      <w:outlineLvl w:val="3"/>
    </w:pPr>
    <w:rPr>
      <w:rFonts w:ascii="方正楷体_GBK" w:hAnsi="Times New Roman" w:eastAsia="黑体" w:cstheme="minorBidi"/>
      <w:kern w:val="2"/>
      <w:sz w:val="24"/>
      <w:szCs w:val="24"/>
      <w:lang w:val="en-US" w:eastAsia="zh-CN" w:bidi="ar-SA"/>
    </w:rPr>
  </w:style>
  <w:style w:type="paragraph" w:customStyle="1" w:styleId="65">
    <w:name w:val="注释"/>
    <w:qFormat/>
    <w:uiPriority w:val="0"/>
    <w:pPr>
      <w:adjustRightInd w:val="0"/>
      <w:snapToGrid w:val="0"/>
      <w:ind w:firstLine="200" w:firstLineChars="200"/>
    </w:pPr>
    <w:rPr>
      <w:rFonts w:ascii="Times New Roman" w:hAnsi="Times New Roman" w:eastAsia="方正楷体_GBK" w:cstheme="minorBidi"/>
      <w:kern w:val="2"/>
      <w:sz w:val="24"/>
      <w:szCs w:val="24"/>
      <w:lang w:val="en-US" w:eastAsia="zh-CN" w:bidi="ar-SA"/>
    </w:rPr>
  </w:style>
  <w:style w:type="paragraph" w:customStyle="1" w:styleId="66">
    <w:name w:val="表内缩进"/>
    <w:qFormat/>
    <w:uiPriority w:val="0"/>
    <w:pPr>
      <w:adjustRightInd w:val="0"/>
      <w:snapToGrid w:val="0"/>
      <w:ind w:firstLine="200" w:firstLineChars="200"/>
      <w:jc w:val="both"/>
    </w:pPr>
    <w:rPr>
      <w:rFonts w:ascii="方正楷体_GBK" w:hAnsi="Times New Roman" w:eastAsia="楷体" w:cstheme="minorBidi"/>
      <w:kern w:val="2"/>
      <w:sz w:val="24"/>
      <w:szCs w:val="24"/>
      <w:lang w:val="en-US" w:eastAsia="zh-CN" w:bidi="ar-SA"/>
    </w:rPr>
  </w:style>
  <w:style w:type="table" w:customStyle="1" w:styleId="67">
    <w:name w:val="表格样式一1"/>
    <w:basedOn w:val="29"/>
    <w:qFormat/>
    <w:uiPriority w:val="99"/>
    <w:pPr>
      <w:adjustRightInd w:val="0"/>
      <w:snapToGrid w:val="0"/>
      <w:jc w:val="center"/>
    </w:pPr>
    <w:rPr>
      <w:rFonts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numbering" Target="numbering.xml"/><Relationship Id="rId23" Type="http://schemas.openxmlformats.org/officeDocument/2006/relationships/image" Target="media/image4.tiff"/><Relationship Id="rId22" Type="http://schemas.openxmlformats.org/officeDocument/2006/relationships/image" Target="media/image3.jpeg"/><Relationship Id="rId21" Type="http://schemas.openxmlformats.org/officeDocument/2006/relationships/image" Target="media/image2.jpe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7.xml"/><Relationship Id="rId17" Type="http://schemas.openxmlformats.org/officeDocument/2006/relationships/footer" Target="footer6.xml"/><Relationship Id="rId16" Type="http://schemas.openxmlformats.org/officeDocument/2006/relationships/footer" Target="footer5.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3D480C-48B9-46D6-98F8-E54213B75551}">
  <ds:schemaRefs/>
</ds:datastoreItem>
</file>

<file path=docProps/app.xml><?xml version="1.0" encoding="utf-8"?>
<Properties xmlns="http://schemas.openxmlformats.org/officeDocument/2006/extended-properties" xmlns:vt="http://schemas.openxmlformats.org/officeDocument/2006/docPropsVTypes">
  <Template>Normal.dotm</Template>
  <Company>江苏省水利设计院</Company>
  <Pages>105</Pages>
  <Words>14320</Words>
  <Characters>15124</Characters>
  <Lines>598</Lines>
  <Paragraphs>168</Paragraphs>
  <TotalTime>2631</TotalTime>
  <ScaleCrop>false</ScaleCrop>
  <LinksUpToDate>false</LinksUpToDate>
  <CharactersWithSpaces>15262</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2024-07-08T10:08:00Z</dcterms:created>
  <dc:creator>王凯</dc:creator>
  <cp:lastModifiedBy>tzslj</cp:lastModifiedBy>
  <cp:lastPrinted>2024-11-04T01:10:00Z</cp:lastPrinted>
  <dcterms:modified xsi:type="dcterms:W3CDTF">2024-11-15T05:59:39Z</dcterms:modified>
  <dc:title>泰州水网</dc:title>
  <cp:revision>1761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B9853E01582A4E19B81AD08D43427D9A_13</vt:lpwstr>
  </property>
</Properties>
</file>