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DFAA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  <w:lang w:val="en-US" w:eastAsia="zh-CN"/>
        </w:rPr>
        <w:t>泰州市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  <w:lang w:val="en-US" w:eastAsia="zh-CN"/>
        </w:rPr>
        <w:t>区“烂尾楼”项</w:t>
      </w:r>
      <w:r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  <w:lang w:val="en-US" w:eastAsia="zh-CN"/>
        </w:rPr>
        <w:t>目处置办法</w:t>
      </w:r>
    </w:p>
    <w:p w14:paraId="023E55A6">
      <w:pPr>
        <w:spacing w:line="600" w:lineRule="exact"/>
        <w:jc w:val="center"/>
        <w:rPr>
          <w:rFonts w:hint="eastAsia" w:ascii="Times New Roman" w:hAnsi="Times New Roman" w:eastAsia="方正小标宋_GBK" w:cs="Times New Roman"/>
          <w:b w:val="0"/>
          <w:bCs w:val="0"/>
          <w:w w:val="100"/>
          <w:sz w:val="44"/>
          <w:szCs w:val="44"/>
          <w:lang w:eastAsia="zh-CN"/>
        </w:rPr>
      </w:pPr>
      <w:r>
        <w:rPr>
          <w:rFonts w:hint="eastAsia" w:eastAsia="方正小标宋_GBK" w:cs="Times New Roman"/>
          <w:b w:val="0"/>
          <w:bCs w:val="0"/>
          <w:w w:val="100"/>
          <w:sz w:val="44"/>
          <w:szCs w:val="44"/>
          <w:lang w:val="en-US" w:eastAsia="zh-CN"/>
        </w:rPr>
        <w:t>（公开征求意见稿）</w:t>
      </w:r>
      <w:r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</w:rPr>
        <w:t>》</w:t>
      </w:r>
      <w:r>
        <w:rPr>
          <w:rFonts w:hint="eastAsia" w:eastAsia="方正小标宋_GBK" w:cs="Times New Roman"/>
          <w:b w:val="0"/>
          <w:bCs w:val="0"/>
          <w:w w:val="100"/>
          <w:sz w:val="44"/>
          <w:szCs w:val="44"/>
          <w:lang w:val="en-US" w:eastAsia="zh-CN"/>
        </w:rPr>
        <w:t>解读</w:t>
      </w:r>
    </w:p>
    <w:p w14:paraId="6B0011DF">
      <w:pPr>
        <w:spacing w:line="560" w:lineRule="exact"/>
        <w:ind w:firstLine="792" w:firstLineChars="200"/>
        <w:rPr>
          <w:rFonts w:hint="default" w:ascii="Times New Roman" w:hAnsi="Times New Roman" w:eastAsia="方正小标宋_GBK" w:cs="Times New Roman"/>
          <w:b w:val="0"/>
          <w:bCs w:val="0"/>
          <w:w w:val="90"/>
          <w:sz w:val="44"/>
          <w:szCs w:val="44"/>
        </w:rPr>
      </w:pPr>
    </w:p>
    <w:p w14:paraId="15F4CC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b w:val="0"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根据</w:t>
      </w:r>
      <w:r>
        <w:rPr>
          <w:rFonts w:hint="eastAsia" w:ascii="方正仿宋_GBK" w:eastAsia="方正仿宋_GBK"/>
          <w:b w:val="0"/>
          <w:sz w:val="32"/>
          <w:szCs w:val="32"/>
        </w:rPr>
        <w:t>《中华人民共和国城市房地产管理法》《中华人民共和国土地管理法》《中华人民共和国城乡规划法》《中华人民共和国企业破产法》等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有关法律法规，结合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val="en-US" w:eastAsia="zh-CN"/>
        </w:rPr>
        <w:t>本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市实际，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val="en-US" w:eastAsia="zh-CN"/>
        </w:rPr>
        <w:t>市住房城乡建设局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起草了《泰州市区“烂尾楼”项目处置办法》（以下简称《办法》）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val="en-US" w:eastAsia="zh-CN"/>
        </w:rPr>
        <w:t>特作如下解读：</w:t>
      </w:r>
    </w:p>
    <w:p w14:paraId="5E7CFC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b w:val="0"/>
          <w:sz w:val="32"/>
          <w:szCs w:val="32"/>
        </w:rPr>
      </w:pPr>
      <w:r>
        <w:rPr>
          <w:rFonts w:eastAsia="方正黑体_GBK"/>
          <w:b w:val="0"/>
          <w:sz w:val="32"/>
          <w:szCs w:val="32"/>
        </w:rPr>
        <w:t>一、</w:t>
      </w:r>
      <w:r>
        <w:rPr>
          <w:rFonts w:hint="eastAsia" w:eastAsia="方正黑体_GBK"/>
          <w:b w:val="0"/>
          <w:sz w:val="32"/>
          <w:szCs w:val="32"/>
        </w:rPr>
        <w:t>起草</w:t>
      </w:r>
      <w:r>
        <w:rPr>
          <w:rFonts w:eastAsia="方正黑体_GBK"/>
          <w:b w:val="0"/>
          <w:sz w:val="32"/>
          <w:szCs w:val="32"/>
        </w:rPr>
        <w:t>背景</w:t>
      </w:r>
    </w:p>
    <w:p w14:paraId="639959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b w:val="0"/>
          <w:sz w:val="32"/>
          <w:szCs w:val="32"/>
        </w:rPr>
      </w:pPr>
      <w:r>
        <w:rPr>
          <w:rFonts w:hint="eastAsia" w:ascii="方正仿宋_GBK" w:eastAsia="方正仿宋_GBK"/>
          <w:b w:val="0"/>
          <w:sz w:val="32"/>
          <w:szCs w:val="32"/>
        </w:rPr>
        <w:t>为加快推进“烂尾楼”项目的处置工作，改善城市形象，维护社会稳定，从“一揽子”解决“烂尾楼”问题出发，根据有关法律法规，借鉴省内外有关城市的做法，结合本市实际，制定本办法。</w:t>
      </w:r>
    </w:p>
    <w:p w14:paraId="0F8F5B6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/>
          <w:b w:val="0"/>
          <w:bCs/>
          <w:sz w:val="32"/>
          <w:szCs w:val="32"/>
        </w:rPr>
      </w:pPr>
      <w:r>
        <w:rPr>
          <w:rFonts w:hint="eastAsia" w:eastAsia="方正黑体_GBK"/>
          <w:b w:val="0"/>
          <w:bCs/>
          <w:sz w:val="32"/>
          <w:szCs w:val="32"/>
        </w:rPr>
        <w:t>二、主要内容</w:t>
      </w:r>
    </w:p>
    <w:p w14:paraId="33424E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b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</w:rPr>
        <w:t>.“烂尾楼”项目处置原则。</w:t>
      </w:r>
      <w:r>
        <w:rPr>
          <w:rFonts w:hint="eastAsia" w:ascii="方正仿宋_GBK" w:eastAsia="方正仿宋_GBK"/>
          <w:b w:val="0"/>
          <w:sz w:val="32"/>
          <w:szCs w:val="32"/>
        </w:rPr>
        <w:t>明确“烂尾楼”项目</w:t>
      </w:r>
      <w:r>
        <w:rPr>
          <w:rFonts w:ascii="方正仿宋_GBK" w:eastAsia="方正仿宋_GBK"/>
          <w:b w:val="0"/>
          <w:sz w:val="32"/>
          <w:szCs w:val="32"/>
        </w:rPr>
        <w:t>处置应</w:t>
      </w:r>
      <w:r>
        <w:rPr>
          <w:rFonts w:hint="eastAsia" w:ascii="方正仿宋_GBK" w:eastAsia="方正仿宋_GBK"/>
          <w:b w:val="0"/>
          <w:sz w:val="32"/>
          <w:szCs w:val="32"/>
        </w:rPr>
        <w:t>遵循</w:t>
      </w:r>
      <w:r>
        <w:rPr>
          <w:rFonts w:hint="eastAsia" w:ascii="方正仿宋_GBK" w:eastAsia="方正仿宋_GBK"/>
          <w:b w:val="0"/>
          <w:sz w:val="32"/>
          <w:szCs w:val="32"/>
          <w:lang w:eastAsia="zh-CN"/>
        </w:rPr>
        <w:t>“</w:t>
      </w:r>
      <w:r>
        <w:rPr>
          <w:rFonts w:ascii="方正仿宋_GBK" w:eastAsia="方正仿宋_GBK"/>
          <w:b w:val="0"/>
          <w:sz w:val="32"/>
          <w:szCs w:val="32"/>
        </w:rPr>
        <w:t>尊重历史、实事求是；依法处置、规划引导；属地推进、因地制宜；分类处理、循序渐进</w:t>
      </w:r>
      <w:r>
        <w:rPr>
          <w:rFonts w:hint="eastAsia" w:ascii="方正仿宋_GBK" w:eastAsia="方正仿宋_GBK"/>
          <w:b w:val="0"/>
          <w:sz w:val="32"/>
          <w:szCs w:val="32"/>
          <w:lang w:eastAsia="zh-CN"/>
        </w:rPr>
        <w:t>”</w:t>
      </w:r>
      <w:r>
        <w:rPr>
          <w:rFonts w:ascii="方正仿宋_GBK" w:eastAsia="方正仿宋_GBK"/>
          <w:b w:val="0"/>
          <w:sz w:val="32"/>
          <w:szCs w:val="32"/>
        </w:rPr>
        <w:t>的基本原则，由</w:t>
      </w:r>
      <w:r>
        <w:rPr>
          <w:rFonts w:hint="eastAsia" w:ascii="方正仿宋_GBK" w:eastAsia="方正仿宋_GBK"/>
          <w:b w:val="0"/>
          <w:sz w:val="32"/>
          <w:szCs w:val="32"/>
          <w:lang w:val="en-US" w:eastAsia="zh-CN"/>
        </w:rPr>
        <w:t>属地</w:t>
      </w:r>
      <w:r>
        <w:rPr>
          <w:rStyle w:val="9"/>
          <w:rFonts w:hint="eastAsia" w:ascii="方正仿宋_GBK" w:hAnsi="仿宋_GB2312" w:eastAsia="方正仿宋_GBK" w:cs="仿宋_GB2312"/>
          <w:b w:val="0"/>
          <w:bCs/>
          <w:sz w:val="32"/>
          <w:szCs w:val="32"/>
        </w:rPr>
        <w:t>区人民政府（管委会）</w:t>
      </w:r>
      <w:r>
        <w:rPr>
          <w:rFonts w:hint="eastAsia" w:ascii="方正仿宋_GBK" w:eastAsia="方正仿宋_GBK"/>
          <w:b w:val="0"/>
          <w:sz w:val="32"/>
          <w:szCs w:val="32"/>
          <w:lang w:val="en-US" w:eastAsia="zh-CN"/>
        </w:rPr>
        <w:t>牵头</w:t>
      </w:r>
      <w:r>
        <w:rPr>
          <w:rFonts w:ascii="方正仿宋_GBK" w:eastAsia="方正仿宋_GBK"/>
          <w:b w:val="0"/>
          <w:sz w:val="32"/>
          <w:szCs w:val="32"/>
        </w:rPr>
        <w:t>推进</w:t>
      </w:r>
      <w:r>
        <w:rPr>
          <w:rFonts w:hint="eastAsia" w:ascii="方正仿宋_GBK" w:eastAsia="方正仿宋_GBK"/>
          <w:b w:val="0"/>
          <w:sz w:val="32"/>
          <w:szCs w:val="32"/>
        </w:rPr>
        <w:t>“烂尾楼”项目处置工作</w:t>
      </w:r>
      <w:r>
        <w:rPr>
          <w:rFonts w:ascii="方正仿宋_GBK" w:eastAsia="方正仿宋_GBK"/>
          <w:b w:val="0"/>
          <w:sz w:val="32"/>
          <w:szCs w:val="32"/>
        </w:rPr>
        <w:t>。</w:t>
      </w:r>
    </w:p>
    <w:p w14:paraId="7113AF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b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</w:rPr>
        <w:t>.“烂尾楼”项目</w:t>
      </w:r>
      <w:r>
        <w:rPr>
          <w:rFonts w:ascii="方正楷体_GBK" w:hAnsi="方正楷体_GBK" w:eastAsia="方正楷体_GBK" w:cs="方正楷体_GBK"/>
          <w:b w:val="0"/>
          <w:sz w:val="32"/>
          <w:szCs w:val="32"/>
        </w:rPr>
        <w:t>处置方式。</w:t>
      </w:r>
      <w:r>
        <w:rPr>
          <w:rFonts w:hint="eastAsia" w:ascii="方正仿宋_GBK" w:eastAsia="方正仿宋_GBK"/>
          <w:b w:val="0"/>
          <w:sz w:val="32"/>
          <w:szCs w:val="32"/>
        </w:rPr>
        <w:t>明确“烂尾楼”</w:t>
      </w:r>
      <w:r>
        <w:rPr>
          <w:rFonts w:ascii="方正仿宋_GBK" w:eastAsia="方正仿宋_GBK"/>
          <w:b w:val="0"/>
          <w:sz w:val="32"/>
          <w:szCs w:val="32"/>
        </w:rPr>
        <w:t>项目可视情采取续建、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拍卖或变卖、</w:t>
      </w:r>
      <w:r>
        <w:rPr>
          <w:rFonts w:ascii="方正仿宋_GBK" w:eastAsia="方正仿宋_GBK"/>
          <w:b w:val="0"/>
          <w:sz w:val="32"/>
          <w:szCs w:val="32"/>
        </w:rPr>
        <w:t>政府收回的方式进行处置。</w:t>
      </w:r>
      <w:r>
        <w:rPr>
          <w:rFonts w:hint="eastAsia" w:ascii="方正仿宋_GBK" w:eastAsia="方正仿宋_GBK"/>
          <w:b w:val="0"/>
          <w:sz w:val="32"/>
          <w:szCs w:val="32"/>
        </w:rPr>
        <w:t>明确“烂尾楼”项目处置中涉及的</w:t>
      </w:r>
      <w:r>
        <w:rPr>
          <w:rFonts w:ascii="方正仿宋_GBK" w:eastAsia="方正仿宋_GBK"/>
          <w:b w:val="0"/>
          <w:sz w:val="32"/>
          <w:szCs w:val="32"/>
        </w:rPr>
        <w:t>土地、规划</w:t>
      </w:r>
      <w:r>
        <w:rPr>
          <w:rFonts w:hint="eastAsia" w:ascii="方正仿宋_GBK" w:eastAsia="方正仿宋_GBK"/>
          <w:b w:val="0"/>
          <w:sz w:val="32"/>
          <w:szCs w:val="32"/>
        </w:rPr>
        <w:t>、税务、政府债权、新旧项目衔接</w:t>
      </w:r>
      <w:r>
        <w:rPr>
          <w:rFonts w:hint="eastAsia" w:ascii="方正仿宋_GBK" w:eastAsia="方正仿宋_GBK"/>
          <w:b w:val="0"/>
          <w:sz w:val="32"/>
          <w:szCs w:val="32"/>
          <w:lang w:val="en-US" w:eastAsia="zh-CN"/>
        </w:rPr>
        <w:t>等</w:t>
      </w:r>
      <w:r>
        <w:rPr>
          <w:rFonts w:hint="eastAsia" w:ascii="方正仿宋_GBK" w:eastAsia="方正仿宋_GBK"/>
          <w:b w:val="0"/>
          <w:sz w:val="32"/>
          <w:szCs w:val="32"/>
        </w:rPr>
        <w:t>问题的解决方法</w:t>
      </w:r>
      <w:r>
        <w:rPr>
          <w:rFonts w:hint="eastAsia" w:ascii="方正仿宋_GBK" w:eastAsia="方正仿宋_GBK"/>
          <w:b w:val="0"/>
          <w:sz w:val="32"/>
          <w:szCs w:val="32"/>
          <w:lang w:val="en-US" w:eastAsia="zh-CN"/>
        </w:rPr>
        <w:t>和政策措施</w:t>
      </w:r>
      <w:r>
        <w:rPr>
          <w:rFonts w:hint="eastAsia" w:ascii="方正仿宋_GBK" w:eastAsia="方正仿宋_GBK"/>
          <w:b w:val="0"/>
          <w:sz w:val="32"/>
          <w:szCs w:val="32"/>
        </w:rPr>
        <w:t>。</w:t>
      </w:r>
    </w:p>
    <w:p w14:paraId="32F8B1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b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sz w:val="32"/>
          <w:szCs w:val="32"/>
        </w:rPr>
        <w:t>3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</w:rPr>
        <w:t>.“烂尾楼”项目</w:t>
      </w:r>
      <w:r>
        <w:rPr>
          <w:rFonts w:ascii="方正楷体_GBK" w:hAnsi="方正楷体_GBK" w:eastAsia="方正楷体_GBK" w:cs="方正楷体_GBK"/>
          <w:b w:val="0"/>
          <w:sz w:val="32"/>
          <w:szCs w:val="32"/>
        </w:rPr>
        <w:t>处置</w:t>
      </w:r>
      <w:r>
        <w:rPr>
          <w:rFonts w:hint="eastAsia" w:ascii="方正楷体_GBK" w:hAnsi="方正楷体_GBK" w:eastAsia="方正楷体_GBK" w:cs="方正楷体_GBK"/>
          <w:b w:val="0"/>
          <w:sz w:val="32"/>
          <w:szCs w:val="32"/>
        </w:rPr>
        <w:t>职责分工。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市住房城乡建设部门会同相关单位负责“烂尾楼”项目处置中日常工作的协调，重大事项报市政府研究决定</w:t>
      </w:r>
      <w:r>
        <w:rPr>
          <w:rFonts w:hint="eastAsia" w:ascii="方正仿宋_GBK" w:eastAsia="方正仿宋_GBK"/>
          <w:b w:val="0"/>
          <w:sz w:val="32"/>
          <w:szCs w:val="32"/>
        </w:rPr>
        <w:t>；</w:t>
      </w:r>
      <w:r>
        <w:rPr>
          <w:rStyle w:val="9"/>
          <w:rFonts w:hint="eastAsia" w:ascii="方正仿宋_GBK" w:hAnsi="仿宋_GB2312" w:eastAsia="方正仿宋_GBK" w:cs="仿宋_GB2312"/>
          <w:b w:val="0"/>
          <w:bCs/>
          <w:sz w:val="32"/>
          <w:szCs w:val="32"/>
        </w:rPr>
        <w:t>属地区人民政府（管委会）</w:t>
      </w:r>
      <w:r>
        <w:rPr>
          <w:rFonts w:hint="eastAsia" w:ascii="方正仿宋_GBK" w:eastAsia="方正仿宋_GBK"/>
          <w:b w:val="0"/>
          <w:sz w:val="32"/>
          <w:szCs w:val="32"/>
        </w:rPr>
        <w:t>负责对“烂尾楼”项目进行</w:t>
      </w:r>
      <w:r>
        <w:rPr>
          <w:rFonts w:hint="eastAsia" w:ascii="方正仿宋_GBK" w:eastAsia="方正仿宋_GBK"/>
          <w:b w:val="0"/>
          <w:sz w:val="32"/>
          <w:szCs w:val="32"/>
          <w:lang w:val="en-US" w:eastAsia="zh-CN"/>
        </w:rPr>
        <w:t>尽职调查和</w:t>
      </w:r>
      <w:r>
        <w:rPr>
          <w:rFonts w:hint="eastAsia" w:ascii="方正仿宋_GBK" w:eastAsia="方正仿宋_GBK"/>
          <w:b w:val="0"/>
          <w:sz w:val="32"/>
          <w:szCs w:val="32"/>
        </w:rPr>
        <w:t>认定，制定处置方案</w:t>
      </w:r>
      <w:r>
        <w:rPr>
          <w:rFonts w:hint="eastAsia" w:ascii="方正仿宋_GBK" w:eastAsia="方正仿宋_GBK"/>
          <w:b w:val="0"/>
          <w:sz w:val="32"/>
          <w:szCs w:val="32"/>
          <w:lang w:val="en-US" w:eastAsia="zh-CN"/>
        </w:rPr>
        <w:t>并</w:t>
      </w:r>
      <w:r>
        <w:rPr>
          <w:rFonts w:hint="eastAsia" w:ascii="方正仿宋_GBK" w:eastAsia="方正仿宋_GBK"/>
          <w:b w:val="0"/>
          <w:sz w:val="32"/>
          <w:szCs w:val="32"/>
        </w:rPr>
        <w:t>组织实施；</w:t>
      </w:r>
      <w:r>
        <w:rPr>
          <w:rFonts w:ascii="方正仿宋_GBK" w:eastAsia="方正仿宋_GBK"/>
          <w:b w:val="0"/>
          <w:sz w:val="32"/>
          <w:szCs w:val="32"/>
        </w:rPr>
        <w:t>相关职能部门按照各自职责共同做好</w:t>
      </w:r>
      <w:r>
        <w:rPr>
          <w:rFonts w:hint="eastAsia" w:ascii="方正仿宋_GBK" w:eastAsia="方正仿宋_GBK"/>
          <w:b w:val="0"/>
          <w:sz w:val="32"/>
          <w:szCs w:val="32"/>
        </w:rPr>
        <w:t>“烂尾楼”项目</w:t>
      </w:r>
      <w:r>
        <w:rPr>
          <w:rFonts w:ascii="方正仿宋_GBK" w:eastAsia="方正仿宋_GBK"/>
          <w:b w:val="0"/>
          <w:sz w:val="32"/>
          <w:szCs w:val="32"/>
        </w:rPr>
        <w:t>处置工作。</w:t>
      </w:r>
    </w:p>
    <w:p w14:paraId="48892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eastAsia="方正仿宋_GBK"/>
          <w:b w:val="0"/>
          <w:szCs w:val="32"/>
        </w:rPr>
        <w:t>《办法》还明确了“烂尾楼”项目的处置程序，以及处</w:t>
      </w:r>
      <w:r>
        <w:rPr>
          <w:rFonts w:hint="eastAsia" w:ascii="方正仿宋_GBK" w:hAnsi="方正仿宋_GBK" w:eastAsia="方正仿宋_GBK" w:cs="方正仿宋_GBK"/>
          <w:b w:val="0"/>
          <w:szCs w:val="32"/>
        </w:rPr>
        <w:t>置“烂尾楼”项</w:t>
      </w:r>
      <w:r>
        <w:rPr>
          <w:rFonts w:ascii="方正仿宋_GBK" w:eastAsia="方正仿宋_GBK"/>
          <w:b w:val="0"/>
          <w:szCs w:val="32"/>
        </w:rPr>
        <w:t>目</w:t>
      </w:r>
      <w:r>
        <w:rPr>
          <w:rFonts w:hint="eastAsia" w:ascii="方正仿宋_GBK" w:eastAsia="方正仿宋_GBK"/>
          <w:b w:val="0"/>
          <w:szCs w:val="32"/>
        </w:rPr>
        <w:t>的</w:t>
      </w:r>
      <w:r>
        <w:rPr>
          <w:rFonts w:ascii="方正仿宋_GBK" w:eastAsia="方正仿宋_GBK"/>
          <w:b w:val="0"/>
          <w:szCs w:val="32"/>
        </w:rPr>
        <w:t>开工、竣工时限</w:t>
      </w:r>
      <w:r>
        <w:rPr>
          <w:rFonts w:hint="eastAsia" w:ascii="方正仿宋_GBK" w:eastAsia="方正仿宋_GBK"/>
          <w:b w:val="0"/>
          <w:szCs w:val="32"/>
        </w:rPr>
        <w:t>等相关要求。</w:t>
      </w:r>
    </w:p>
    <w:p w14:paraId="75653C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/>
          <w:b w:val="0"/>
          <w:bCs/>
          <w:sz w:val="32"/>
          <w:szCs w:val="32"/>
          <w:lang w:eastAsia="zh-CN"/>
        </w:rPr>
      </w:pPr>
      <w:r>
        <w:rPr>
          <w:rFonts w:hint="eastAsia" w:eastAsia="方正黑体_GBK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eastAsia="方正黑体_GBK"/>
          <w:b w:val="0"/>
          <w:bCs/>
          <w:sz w:val="32"/>
          <w:szCs w:val="32"/>
        </w:rPr>
        <w:t>、</w:t>
      </w:r>
      <w:r>
        <w:rPr>
          <w:rFonts w:hint="eastAsia" w:eastAsia="方正黑体_GBK"/>
          <w:b w:val="0"/>
          <w:bCs/>
          <w:sz w:val="32"/>
          <w:szCs w:val="32"/>
          <w:lang w:val="en-US" w:eastAsia="zh-CN"/>
        </w:rPr>
        <w:t>起草意义</w:t>
      </w:r>
    </w:p>
    <w:p w14:paraId="7951348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方正仿宋_GBK" w:eastAsia="方正仿宋_GBK"/>
          <w:b w:val="0"/>
          <w:szCs w:val="32"/>
        </w:rPr>
        <w:t>《办法》</w:t>
      </w:r>
      <w:r>
        <w:rPr>
          <w:rFonts w:hint="eastAsia" w:ascii="方正仿宋_GBK" w:eastAsia="方正仿宋_GBK"/>
          <w:b w:val="0"/>
          <w:szCs w:val="32"/>
          <w:lang w:eastAsia="zh-CN"/>
        </w:rPr>
        <w:t>的</w:t>
      </w:r>
      <w:r>
        <w:rPr>
          <w:rFonts w:hint="eastAsia" w:ascii="方正仿宋_GBK" w:eastAsia="方正仿宋_GBK"/>
          <w:b w:val="0"/>
          <w:szCs w:val="32"/>
          <w:lang w:val="en-US" w:eastAsia="zh-CN"/>
        </w:rPr>
        <w:t>出台，将进一步推动市区“烂尾楼”的处置，避免因项目烂尾引发群体性事件和金融风险等，维护社会稳定；同时可以激活存量资产，推动城市更新与产业升级，助力经济高质</w:t>
      </w:r>
      <w:bookmarkStart w:id="0" w:name="_GoBack"/>
      <w:r>
        <w:rPr>
          <w:rFonts w:hint="eastAsia" w:ascii="方正仿宋_GBK" w:eastAsia="方正仿宋_GBK"/>
          <w:b w:val="0"/>
          <w:szCs w:val="32"/>
          <w:lang w:val="en-US" w:eastAsia="zh-CN"/>
        </w:rPr>
        <w:t>量发展。</w:t>
      </w:r>
    </w:p>
    <w:bookmarkEnd w:id="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C1873"/>
    <w:rsid w:val="1F687843"/>
    <w:rsid w:val="27A8344F"/>
    <w:rsid w:val="2E165FEC"/>
    <w:rsid w:val="30BE09F2"/>
    <w:rsid w:val="39305A6E"/>
    <w:rsid w:val="560604DB"/>
    <w:rsid w:val="5F8B412B"/>
    <w:rsid w:val="625D4702"/>
    <w:rsid w:val="736D05C0"/>
    <w:rsid w:val="77A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方正小标宋_GBK" w:asciiTheme="minorAscii" w:hAnsiTheme="minorAscii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方正黑体_GBK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仿宋_GBK" w:asciiTheme="minorAscii" w:hAnsiTheme="minorAscii"/>
      <w:sz w:val="32"/>
    </w:rPr>
  </w:style>
  <w:style w:type="character" w:default="1" w:styleId="8">
    <w:name w:val="Default Paragraph Font"/>
    <w:semiHidden/>
    <w:uiPriority w:val="0"/>
    <w:rPr>
      <w:rFonts w:ascii="Calibri" w:hAnsi="Calibri" w:eastAsia="方正仿宋_GBK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600" w:lineRule="exact"/>
      <w:ind w:firstLine="630"/>
    </w:pPr>
    <w:rPr>
      <w:rFonts w:ascii="Times New Roman" w:hAnsi="Times New Roman" w:eastAsia="仿宋_GB2312" w:cs="Times New Roman"/>
      <w:sz w:val="32"/>
    </w:r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character" w:customStyle="1" w:styleId="9">
    <w:name w:val="NormalCharacter"/>
    <w:semiHidden/>
    <w:qFormat/>
    <w:uiPriority w:val="0"/>
    <w:rPr>
      <w:rFonts w:eastAsia="黑体"/>
      <w:b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721</Characters>
  <Lines>0</Lines>
  <Paragraphs>0</Paragraphs>
  <TotalTime>2</TotalTime>
  <ScaleCrop>false</ScaleCrop>
  <LinksUpToDate>false</LinksUpToDate>
  <CharactersWithSpaces>725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2022-09-27T00:45:00Z</dcterms:created>
  <dc:creator>coocaa</dc:creator>
  <cp:lastModifiedBy>马嵩嵩</cp:lastModifiedBy>
  <dcterms:modified xsi:type="dcterms:W3CDTF">2025-06-10T07:49:01Z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CBC99046EF0349C09E795AA3685CDDDD</vt:lpwstr>
  </property>
  <property fmtid="{D5CDD505-2E9C-101B-9397-08002B2CF9AE}" pid="4" name="KSOTemplateDocerSaveRecord">
    <vt:lpwstr>eyJoZGlkIjoiZjkwYzJiZTQ4OGQzODVkNWJmNDdiZTA3NDUyMGE3MTUiLCJ1c2VySWQiOiI0OTYyNjQ5MjUifQ==</vt:lpwstr>
  </property>
</Properties>
</file>