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A7F2B">
      <w:pPr>
        <w:spacing w:after="0" w:line="600" w:lineRule="exact"/>
        <w:rPr>
          <w:rFonts w:hint="eastAsia" w:ascii="Times New Roman" w:hAnsi="Times New Roman" w:eastAsia="方正黑体_GBK" w:cs="Times New Roman"/>
          <w:kern w:val="2"/>
          <w:sz w:val="32"/>
          <w:szCs w:val="32"/>
        </w:rPr>
      </w:pPr>
      <w:bookmarkStart w:id="0" w:name="_GoBack"/>
      <w:bookmarkEnd w:id="0"/>
      <w:r>
        <w:rPr>
          <w:rFonts w:hint="eastAsia" w:ascii="Times New Roman" w:hAnsi="Times New Roman" w:eastAsia="黑体" w:cs="Times New Roman"/>
          <w:color w:val="000000"/>
          <w:sz w:val="32"/>
          <w:szCs w:val="32"/>
        </w:rPr>
        <w:t>附件2</w:t>
      </w:r>
      <w:r>
        <w:rPr>
          <w:rFonts w:hint="eastAsia" w:ascii="Times New Roman" w:hAnsi="Times New Roman" w:eastAsia="方正黑体_GBK" w:cs="Times New Roman"/>
          <w:kern w:val="2"/>
          <w:sz w:val="32"/>
          <w:szCs w:val="32"/>
        </w:rPr>
        <w:t xml:space="preserve"> </w:t>
      </w:r>
    </w:p>
    <w:p w14:paraId="74CE71E4">
      <w:pPr>
        <w:widowControl w:val="0"/>
        <w:spacing w:after="0" w:line="600" w:lineRule="exact"/>
        <w:jc w:val="both"/>
        <w:rPr>
          <w:rFonts w:hint="eastAsia" w:ascii="Times New Roman" w:hAnsi="Times New Roman" w:eastAsia="方正小标宋_GBK" w:cs="方正小标宋_GBK"/>
          <w:kern w:val="2"/>
          <w:sz w:val="44"/>
          <w:szCs w:val="44"/>
        </w:rPr>
      </w:pPr>
    </w:p>
    <w:p w14:paraId="1C4BA180">
      <w:pPr>
        <w:widowControl w:val="0"/>
        <w:spacing w:after="0" w:line="600" w:lineRule="exact"/>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《泰州市地方金融组织监管工作操作细则</w:t>
      </w:r>
    </w:p>
    <w:p w14:paraId="14D764F6">
      <w:pPr>
        <w:widowControl w:val="0"/>
        <w:spacing w:after="0" w:line="600" w:lineRule="exact"/>
        <w:jc w:val="center"/>
        <w:rPr>
          <w:rFonts w:hint="eastAsia" w:ascii="Times New Roman" w:hAnsi="Times New Roman" w:eastAsia="仿宋" w:cs="仿宋"/>
          <w:kern w:val="2"/>
          <w:sz w:val="32"/>
          <w:szCs w:val="32"/>
        </w:rPr>
      </w:pPr>
      <w:r>
        <w:rPr>
          <w:rFonts w:hint="eastAsia" w:ascii="Times New Roman" w:hAnsi="Times New Roman" w:eastAsia="方正小标宋_GBK" w:cs="方正小标宋_GBK"/>
          <w:kern w:val="2"/>
          <w:sz w:val="44"/>
          <w:szCs w:val="44"/>
        </w:rPr>
        <w:t>（试行）（公开征求意见稿）》解读</w:t>
      </w:r>
    </w:p>
    <w:p w14:paraId="0C1EF76C">
      <w:pPr>
        <w:spacing w:after="0" w:line="600" w:lineRule="exact"/>
        <w:jc w:val="center"/>
        <w:textAlignment w:val="baseline"/>
        <w:rPr>
          <w:rFonts w:hint="eastAsia" w:ascii="Times New Roman" w:hAnsi="Times New Roman" w:eastAsia="方正楷体_GBK" w:cs="方正楷体_GBK"/>
          <w:kern w:val="2"/>
          <w:sz w:val="32"/>
          <w:szCs w:val="32"/>
        </w:rPr>
      </w:pPr>
    </w:p>
    <w:p w14:paraId="01F68EB3">
      <w:pPr>
        <w:widowControl w:val="0"/>
        <w:overflowPunct w:val="0"/>
        <w:spacing w:after="0" w:line="600" w:lineRule="exact"/>
        <w:ind w:firstLine="640" w:firstLineChars="200"/>
        <w:jc w:val="both"/>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rPr>
        <w:t>一、文件起草背景</w:t>
      </w:r>
    </w:p>
    <w:p w14:paraId="665202B3">
      <w:pPr>
        <w:widowControl w:val="0"/>
        <w:overflowPunct w:val="0"/>
        <w:spacing w:after="0" w:line="600" w:lineRule="exact"/>
        <w:ind w:firstLine="640"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为深入贯彻党的二十届三中全会精神，全面落实中央和省、市关于地方金融组织监管的决策部署，推动地方金融监管“长牙带刺”、有棱有角，更好实现全市融资担保、小额贷款、典当、融资租赁、商业保理等地方金融组织合规发展，根据相关法律法规及上级监管制度规定，结合我市实际，市政府办公室起草了《泰州市地方金融组织监管工作操作细则（试行）》（以下简称《操作细则》）。</w:t>
      </w:r>
    </w:p>
    <w:p w14:paraId="07E16C27">
      <w:pPr>
        <w:widowControl w:val="0"/>
        <w:overflowPunct w:val="0"/>
        <w:spacing w:after="0" w:line="600" w:lineRule="exact"/>
        <w:ind w:firstLine="640" w:firstLineChars="200"/>
        <w:jc w:val="both"/>
        <w:rPr>
          <w:rFonts w:hint="eastAsia" w:ascii="Times New Roman" w:hAnsi="Times New Roman" w:eastAsia="黑体" w:cs="黑体"/>
          <w:kern w:val="2"/>
          <w:sz w:val="32"/>
          <w:szCs w:val="32"/>
        </w:rPr>
      </w:pPr>
      <w:r>
        <w:rPr>
          <w:rFonts w:hint="eastAsia" w:ascii="Times New Roman" w:hAnsi="Times New Roman" w:eastAsia="方正黑体_GBK" w:cs="方正黑体_GBK"/>
          <w:kern w:val="2"/>
          <w:sz w:val="32"/>
          <w:szCs w:val="32"/>
        </w:rPr>
        <w:t>二、主要内容</w:t>
      </w:r>
    </w:p>
    <w:p w14:paraId="2EAADF8A">
      <w:pPr>
        <w:widowControl w:val="0"/>
        <w:overflowPunct w:val="0"/>
        <w:spacing w:after="0" w:line="600" w:lineRule="exact"/>
        <w:ind w:firstLine="6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《操作细则》主要包括四个方面内容：</w:t>
      </w:r>
    </w:p>
    <w:p w14:paraId="707E3E36">
      <w:pPr>
        <w:widowControl w:val="0"/>
        <w:spacing w:after="0" w:line="600" w:lineRule="exact"/>
        <w:ind w:firstLine="640" w:firstLineChars="200"/>
        <w:jc w:val="both"/>
        <w:rPr>
          <w:rFonts w:hint="eastAsia" w:ascii="Times New Roman" w:hAnsi="Times New Roman" w:eastAsia="方正仿宋_GBK" w:cs="方正仿宋_GBK"/>
          <w:sz w:val="32"/>
          <w:szCs w:val="32"/>
        </w:rPr>
      </w:pPr>
      <w:r>
        <w:rPr>
          <w:rFonts w:hint="eastAsia" w:ascii="方正楷体_GBK" w:hAnsi="方正黑体_GBK" w:eastAsia="方正楷体_GBK" w:cs="方正黑体_GBK"/>
          <w:sz w:val="32"/>
          <w:szCs w:val="32"/>
        </w:rPr>
        <w:t>1.严格落实规范整治要求。</w:t>
      </w:r>
      <w:r>
        <w:rPr>
          <w:rFonts w:hint="eastAsia" w:ascii="Times New Roman" w:hAnsi="Times New Roman" w:eastAsia="方正仿宋_GBK" w:cs="方正仿宋_GBK"/>
          <w:sz w:val="32"/>
          <w:szCs w:val="32"/>
        </w:rPr>
        <w:t>主要对规范整治专项行动期间地方金融组织的类别和机构总量作了明确，对存量地方金融组织变更审批的审查重点进行了强调，对“失联”“空壳”地方金融组织的整治提出了要求。</w:t>
      </w:r>
    </w:p>
    <w:p w14:paraId="2856123E">
      <w:pPr>
        <w:widowControl w:val="0"/>
        <w:spacing w:after="0" w:line="600" w:lineRule="exact"/>
        <w:ind w:firstLine="640" w:firstLineChars="200"/>
        <w:jc w:val="both"/>
        <w:rPr>
          <w:rFonts w:ascii="Times New Roman" w:hAnsi="Times New Roman" w:eastAsia="方正仿宋_GBK" w:cs="方正仿宋_GBK"/>
          <w:sz w:val="32"/>
          <w:szCs w:val="32"/>
        </w:rPr>
      </w:pPr>
      <w:r>
        <w:rPr>
          <w:rFonts w:hint="eastAsia" w:ascii="方正楷体_GBK" w:hAnsi="方正黑体_GBK" w:eastAsia="方正楷体_GBK" w:cs="方正黑体_GBK"/>
          <w:sz w:val="32"/>
          <w:szCs w:val="32"/>
        </w:rPr>
        <w:t>2.精准实施分级分类监管。</w:t>
      </w:r>
      <w:r>
        <w:rPr>
          <w:rFonts w:hint="eastAsia" w:ascii="Times New Roman" w:hAnsi="Times New Roman" w:eastAsia="方正仿宋_GBK" w:cs="方正仿宋_GBK"/>
          <w:sz w:val="32"/>
          <w:szCs w:val="32"/>
        </w:rPr>
        <w:t>主要是充分运用监管评级结果，对地方金融组织实施分类监管，并根据监管情况，提出监管要求，督促问题整改。同时，对现场检查和非现场监管相关工作作了明确。</w:t>
      </w:r>
    </w:p>
    <w:p w14:paraId="0F72547A">
      <w:pPr>
        <w:widowControl w:val="0"/>
        <w:spacing w:after="0" w:line="600" w:lineRule="exact"/>
        <w:ind w:firstLine="640" w:firstLineChars="200"/>
        <w:jc w:val="both"/>
        <w:rPr>
          <w:rFonts w:ascii="Times New Roman" w:hAnsi="Times New Roman" w:eastAsia="方正仿宋_GBK" w:cs="方正仿宋_GBK"/>
          <w:sz w:val="32"/>
          <w:szCs w:val="32"/>
        </w:rPr>
      </w:pPr>
      <w:r>
        <w:rPr>
          <w:rFonts w:hint="eastAsia" w:ascii="方正楷体_GBK" w:hAnsi="Times New Roman" w:eastAsia="方正楷体_GBK" w:cs="方正仿宋_GBK"/>
          <w:sz w:val="32"/>
          <w:szCs w:val="32"/>
        </w:rPr>
        <w:t>3.坚持定期公示发布制度。</w:t>
      </w:r>
      <w:r>
        <w:rPr>
          <w:rFonts w:hint="eastAsia" w:ascii="Times New Roman" w:hAnsi="Times New Roman" w:eastAsia="方正仿宋_GBK" w:cs="方正仿宋_GBK"/>
          <w:sz w:val="32"/>
          <w:szCs w:val="32"/>
        </w:rPr>
        <w:t>主要是建立正常经营和非正常经营地方金融组织公示发布制度。</w:t>
      </w:r>
    </w:p>
    <w:p w14:paraId="2F159F3E">
      <w:pPr>
        <w:widowControl w:val="0"/>
        <w:spacing w:after="0" w:line="600" w:lineRule="exact"/>
        <w:ind w:firstLine="640" w:firstLineChars="200"/>
        <w:jc w:val="both"/>
        <w:rPr>
          <w:rFonts w:ascii="Times New Roman" w:hAnsi="Times New Roman" w:eastAsia="方正仿宋_GBK" w:cs="方正仿宋_GBK"/>
          <w:sz w:val="32"/>
          <w:szCs w:val="32"/>
        </w:rPr>
      </w:pPr>
      <w:r>
        <w:rPr>
          <w:rFonts w:hint="eastAsia" w:ascii="方正楷体_GBK" w:hAnsi="Times New Roman" w:eastAsia="方正楷体_GBK" w:cs="方正仿宋_GBK"/>
          <w:sz w:val="32"/>
          <w:szCs w:val="32"/>
        </w:rPr>
        <w:t>4.持续加强监管队伍管理。</w:t>
      </w:r>
      <w:r>
        <w:rPr>
          <w:rFonts w:hint="eastAsia" w:ascii="Times New Roman" w:hAnsi="Times New Roman" w:eastAsia="方正仿宋_GBK" w:cs="方正仿宋_GBK"/>
          <w:sz w:val="32"/>
          <w:szCs w:val="32"/>
        </w:rPr>
        <w:t>主要是对监管人员队伍建设、监管人员力量统筹、监管人员工作职责进行了明确。</w:t>
      </w:r>
    </w:p>
    <w:p w14:paraId="0075C18C">
      <w:pPr>
        <w:widowControl w:val="0"/>
        <w:overflowPunct w:val="0"/>
        <w:spacing w:after="0" w:line="600" w:lineRule="exact"/>
        <w:ind w:firstLine="640" w:firstLineChars="200"/>
        <w:jc w:val="both"/>
        <w:rPr>
          <w:rFonts w:ascii="Times New Roman" w:hAnsi="Times New Roman" w:eastAsia="方正仿宋_GBK" w:cs="方正仿宋_GBK"/>
          <w:sz w:val="32"/>
          <w:szCs w:val="32"/>
        </w:rPr>
      </w:pPr>
    </w:p>
    <w:p w14:paraId="64EE5872">
      <w:pPr>
        <w:widowControl w:val="0"/>
        <w:overflowPunct w:val="0"/>
        <w:spacing w:line="600" w:lineRule="exact"/>
        <w:ind w:firstLine="640" w:firstLineChars="200"/>
        <w:jc w:val="both"/>
        <w:rPr>
          <w:rFonts w:hint="eastAsia" w:ascii="Times New Roman" w:hAnsi="Times New Roman" w:eastAsia="方正仿宋_GBK" w:cs="方正仿宋_GBK"/>
          <w:sz w:val="32"/>
          <w:szCs w:val="32"/>
        </w:rPr>
      </w:pPr>
    </w:p>
    <w:p w14:paraId="35E31D9C">
      <w:pPr>
        <w:widowControl w:val="0"/>
        <w:overflowPunct w:val="0"/>
        <w:spacing w:line="600" w:lineRule="exact"/>
        <w:ind w:firstLine="640" w:firstLineChars="200"/>
        <w:jc w:val="both"/>
        <w:rPr>
          <w:rFonts w:hint="eastAsia" w:ascii="Times New Roman" w:hAnsi="Times New Roman" w:eastAsia="方正仿宋_GBK" w:cs="方正仿宋_GBK"/>
          <w:sz w:val="32"/>
          <w:szCs w:val="32"/>
        </w:rPr>
      </w:pPr>
    </w:p>
    <w:p w14:paraId="5A80D73B">
      <w:pPr>
        <w:widowControl w:val="0"/>
        <w:overflowPunct w:val="0"/>
        <w:spacing w:line="600" w:lineRule="exact"/>
        <w:ind w:firstLine="640" w:firstLineChars="200"/>
        <w:jc w:val="both"/>
        <w:rPr>
          <w:rFonts w:hint="eastAsia" w:ascii="Times New Roman" w:hAnsi="Times New Roman" w:eastAsia="方正仿宋_GBK" w:cs="方正仿宋_GBK"/>
          <w:sz w:val="32"/>
          <w:szCs w:val="32"/>
        </w:rPr>
      </w:pPr>
    </w:p>
    <w:p w14:paraId="2FA98FEF">
      <w:pPr>
        <w:widowControl w:val="0"/>
        <w:overflowPunct w:val="0"/>
        <w:spacing w:line="600" w:lineRule="exact"/>
        <w:ind w:firstLine="640" w:firstLineChars="200"/>
        <w:jc w:val="both"/>
        <w:rPr>
          <w:rFonts w:hint="eastAsia" w:ascii="Times New Roman" w:hAnsi="Times New Roman" w:eastAsia="方正仿宋_GBK" w:cs="方正仿宋_GBK"/>
          <w:sz w:val="32"/>
          <w:szCs w:val="32"/>
        </w:rPr>
      </w:pPr>
    </w:p>
    <w:p w14:paraId="02B4F3A1">
      <w:pPr>
        <w:widowControl w:val="0"/>
        <w:overflowPunct w:val="0"/>
        <w:spacing w:line="600" w:lineRule="exact"/>
        <w:ind w:firstLine="640" w:firstLineChars="200"/>
        <w:jc w:val="both"/>
        <w:rPr>
          <w:rFonts w:hint="eastAsia" w:ascii="Times New Roman" w:hAnsi="Times New Roman" w:eastAsia="方正仿宋_GBK" w:cs="方正仿宋_GBK"/>
          <w:sz w:val="32"/>
          <w:szCs w:val="32"/>
        </w:rPr>
      </w:pPr>
    </w:p>
    <w:p w14:paraId="25E83016">
      <w:pPr>
        <w:widowControl w:val="0"/>
        <w:overflowPunct w:val="0"/>
        <w:spacing w:line="600" w:lineRule="exact"/>
        <w:ind w:firstLine="640" w:firstLineChars="200"/>
        <w:jc w:val="both"/>
        <w:rPr>
          <w:rFonts w:ascii="Times New Roman" w:hAnsi="Times New Roman" w:eastAsia="方正仿宋_GBK" w:cs="方正仿宋_GBK"/>
          <w:sz w:val="32"/>
          <w:szCs w:val="32"/>
        </w:rPr>
      </w:pPr>
    </w:p>
    <w:p w14:paraId="100230E1">
      <w:pPr>
        <w:pStyle w:val="2"/>
        <w:overflowPunct w:val="0"/>
        <w:spacing w:after="0" w:line="520" w:lineRule="exact"/>
        <w:ind w:firstLine="5440" w:firstLineChars="1700"/>
        <w:jc w:val="both"/>
        <w:rPr>
          <w:rFonts w:ascii="Times New Roman" w:hAnsi="Times New Roman" w:eastAsia="方正仿宋_GBK" w:cs="Times New Roman"/>
          <w:kern w:val="2"/>
          <w:sz w:val="32"/>
          <w:szCs w:val="32"/>
        </w:rPr>
      </w:pPr>
    </w:p>
    <w:sectPr>
      <w:footerReference r:id="rId5" w:type="default"/>
      <w:pgSz w:w="11906" w:h="16838"/>
      <w:pgMar w:top="170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E3B2">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2AF00">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32AF00">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A4FB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0A4FB4"/>
                </w:txbxContent>
              </v:textbox>
            </v:shape>
          </w:pict>
        </mc:Fallback>
      </mc:AlternateContent>
    </w:r>
  </w:p>
  <w:p w14:paraId="34C8192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6C"/>
    <w:rsid w:val="00005230"/>
    <w:rsid w:val="000075FF"/>
    <w:rsid w:val="0001042C"/>
    <w:rsid w:val="0001221B"/>
    <w:rsid w:val="00022515"/>
    <w:rsid w:val="0003179C"/>
    <w:rsid w:val="0004165A"/>
    <w:rsid w:val="0004701F"/>
    <w:rsid w:val="00052E6D"/>
    <w:rsid w:val="00052F36"/>
    <w:rsid w:val="0007606E"/>
    <w:rsid w:val="00086831"/>
    <w:rsid w:val="0009121A"/>
    <w:rsid w:val="000A2F7C"/>
    <w:rsid w:val="000B236E"/>
    <w:rsid w:val="000B4FC3"/>
    <w:rsid w:val="000C410B"/>
    <w:rsid w:val="000D4038"/>
    <w:rsid w:val="000D416C"/>
    <w:rsid w:val="000E7608"/>
    <w:rsid w:val="000E7E58"/>
    <w:rsid w:val="000F40BB"/>
    <w:rsid w:val="00112297"/>
    <w:rsid w:val="001169EF"/>
    <w:rsid w:val="00132E25"/>
    <w:rsid w:val="00136A2D"/>
    <w:rsid w:val="0014126C"/>
    <w:rsid w:val="00141CA8"/>
    <w:rsid w:val="001447A0"/>
    <w:rsid w:val="0015324D"/>
    <w:rsid w:val="0018442B"/>
    <w:rsid w:val="0018694F"/>
    <w:rsid w:val="00187F22"/>
    <w:rsid w:val="00194960"/>
    <w:rsid w:val="001C50A7"/>
    <w:rsid w:val="001E2C0E"/>
    <w:rsid w:val="00221251"/>
    <w:rsid w:val="0022182A"/>
    <w:rsid w:val="00221FA1"/>
    <w:rsid w:val="00225D77"/>
    <w:rsid w:val="0022609A"/>
    <w:rsid w:val="00232841"/>
    <w:rsid w:val="002358E2"/>
    <w:rsid w:val="002364A0"/>
    <w:rsid w:val="0025194C"/>
    <w:rsid w:val="00252DC7"/>
    <w:rsid w:val="00263FAC"/>
    <w:rsid w:val="002641B5"/>
    <w:rsid w:val="002C01D6"/>
    <w:rsid w:val="002C3A5E"/>
    <w:rsid w:val="002E0DFD"/>
    <w:rsid w:val="002F1CA9"/>
    <w:rsid w:val="00314231"/>
    <w:rsid w:val="003236DC"/>
    <w:rsid w:val="0033631D"/>
    <w:rsid w:val="003425D0"/>
    <w:rsid w:val="00342C86"/>
    <w:rsid w:val="0034630E"/>
    <w:rsid w:val="00351D97"/>
    <w:rsid w:val="003636EB"/>
    <w:rsid w:val="0038279B"/>
    <w:rsid w:val="00383E35"/>
    <w:rsid w:val="00387AE6"/>
    <w:rsid w:val="00390ECB"/>
    <w:rsid w:val="00391023"/>
    <w:rsid w:val="00397459"/>
    <w:rsid w:val="003A515A"/>
    <w:rsid w:val="003B0017"/>
    <w:rsid w:val="003C0273"/>
    <w:rsid w:val="003C348F"/>
    <w:rsid w:val="003C57CE"/>
    <w:rsid w:val="003C6226"/>
    <w:rsid w:val="003E413D"/>
    <w:rsid w:val="003E6376"/>
    <w:rsid w:val="003F03E9"/>
    <w:rsid w:val="00400962"/>
    <w:rsid w:val="00401400"/>
    <w:rsid w:val="00410BB8"/>
    <w:rsid w:val="00416E7C"/>
    <w:rsid w:val="004222DB"/>
    <w:rsid w:val="004240C8"/>
    <w:rsid w:val="004257D6"/>
    <w:rsid w:val="00430BFF"/>
    <w:rsid w:val="00430E73"/>
    <w:rsid w:val="0043296B"/>
    <w:rsid w:val="00440EA4"/>
    <w:rsid w:val="0044291E"/>
    <w:rsid w:val="00456017"/>
    <w:rsid w:val="00457C55"/>
    <w:rsid w:val="0049360A"/>
    <w:rsid w:val="0049574E"/>
    <w:rsid w:val="004B29A9"/>
    <w:rsid w:val="004B42B3"/>
    <w:rsid w:val="004B5DF1"/>
    <w:rsid w:val="004D1363"/>
    <w:rsid w:val="00506384"/>
    <w:rsid w:val="0051047D"/>
    <w:rsid w:val="00516E20"/>
    <w:rsid w:val="00520E82"/>
    <w:rsid w:val="005224F0"/>
    <w:rsid w:val="00537933"/>
    <w:rsid w:val="00541E47"/>
    <w:rsid w:val="00545F75"/>
    <w:rsid w:val="0055415F"/>
    <w:rsid w:val="00555924"/>
    <w:rsid w:val="00561C0D"/>
    <w:rsid w:val="0057089C"/>
    <w:rsid w:val="0058353E"/>
    <w:rsid w:val="005B1B14"/>
    <w:rsid w:val="005B3B16"/>
    <w:rsid w:val="005C30A1"/>
    <w:rsid w:val="005C7047"/>
    <w:rsid w:val="005C7A1C"/>
    <w:rsid w:val="005D1DE0"/>
    <w:rsid w:val="005E2DB7"/>
    <w:rsid w:val="005F7025"/>
    <w:rsid w:val="00614F93"/>
    <w:rsid w:val="00615EAC"/>
    <w:rsid w:val="0062344E"/>
    <w:rsid w:val="00650825"/>
    <w:rsid w:val="00663D31"/>
    <w:rsid w:val="00683C1C"/>
    <w:rsid w:val="0069141C"/>
    <w:rsid w:val="00693DEA"/>
    <w:rsid w:val="006A0A99"/>
    <w:rsid w:val="006A13CF"/>
    <w:rsid w:val="006A7D42"/>
    <w:rsid w:val="006B2F95"/>
    <w:rsid w:val="006B4216"/>
    <w:rsid w:val="006C3F7C"/>
    <w:rsid w:val="006E5FF3"/>
    <w:rsid w:val="006E6323"/>
    <w:rsid w:val="00736371"/>
    <w:rsid w:val="00737D0D"/>
    <w:rsid w:val="00741444"/>
    <w:rsid w:val="00747C76"/>
    <w:rsid w:val="00753184"/>
    <w:rsid w:val="0075481B"/>
    <w:rsid w:val="00755111"/>
    <w:rsid w:val="0076331D"/>
    <w:rsid w:val="007853BA"/>
    <w:rsid w:val="0079676D"/>
    <w:rsid w:val="007C4B92"/>
    <w:rsid w:val="007C5890"/>
    <w:rsid w:val="007C76F6"/>
    <w:rsid w:val="007D5E1A"/>
    <w:rsid w:val="007D75E2"/>
    <w:rsid w:val="007F34BD"/>
    <w:rsid w:val="00807D73"/>
    <w:rsid w:val="0081458B"/>
    <w:rsid w:val="00817670"/>
    <w:rsid w:val="008266EF"/>
    <w:rsid w:val="008274CB"/>
    <w:rsid w:val="00827983"/>
    <w:rsid w:val="00827B02"/>
    <w:rsid w:val="00845D7D"/>
    <w:rsid w:val="0085688C"/>
    <w:rsid w:val="00856EC4"/>
    <w:rsid w:val="00857D18"/>
    <w:rsid w:val="008612D3"/>
    <w:rsid w:val="00861BE6"/>
    <w:rsid w:val="008712FD"/>
    <w:rsid w:val="00873979"/>
    <w:rsid w:val="00893690"/>
    <w:rsid w:val="00897E6C"/>
    <w:rsid w:val="008B6DD8"/>
    <w:rsid w:val="008C394B"/>
    <w:rsid w:val="008C5D9C"/>
    <w:rsid w:val="008D2160"/>
    <w:rsid w:val="009162D4"/>
    <w:rsid w:val="009245D7"/>
    <w:rsid w:val="0093014C"/>
    <w:rsid w:val="00932AB6"/>
    <w:rsid w:val="00940064"/>
    <w:rsid w:val="00946B83"/>
    <w:rsid w:val="00954B33"/>
    <w:rsid w:val="00960414"/>
    <w:rsid w:val="00971F93"/>
    <w:rsid w:val="00980B63"/>
    <w:rsid w:val="009A15CF"/>
    <w:rsid w:val="009B3CE7"/>
    <w:rsid w:val="009C04C6"/>
    <w:rsid w:val="009E07F0"/>
    <w:rsid w:val="009E0D0A"/>
    <w:rsid w:val="00A000D5"/>
    <w:rsid w:val="00A00C57"/>
    <w:rsid w:val="00A06BD6"/>
    <w:rsid w:val="00A26B61"/>
    <w:rsid w:val="00A3305B"/>
    <w:rsid w:val="00A90F49"/>
    <w:rsid w:val="00A94C40"/>
    <w:rsid w:val="00AA07AE"/>
    <w:rsid w:val="00AB015A"/>
    <w:rsid w:val="00AB18DB"/>
    <w:rsid w:val="00AC5381"/>
    <w:rsid w:val="00AE1F54"/>
    <w:rsid w:val="00AE2BF2"/>
    <w:rsid w:val="00B01014"/>
    <w:rsid w:val="00B01FB3"/>
    <w:rsid w:val="00B06ED4"/>
    <w:rsid w:val="00B1105E"/>
    <w:rsid w:val="00B121D7"/>
    <w:rsid w:val="00B1405E"/>
    <w:rsid w:val="00B24A67"/>
    <w:rsid w:val="00B27DFD"/>
    <w:rsid w:val="00B47E51"/>
    <w:rsid w:val="00B524E3"/>
    <w:rsid w:val="00B6522F"/>
    <w:rsid w:val="00B65EE8"/>
    <w:rsid w:val="00B77376"/>
    <w:rsid w:val="00B80D9D"/>
    <w:rsid w:val="00B91BD3"/>
    <w:rsid w:val="00BA0F98"/>
    <w:rsid w:val="00BA28D7"/>
    <w:rsid w:val="00BA3792"/>
    <w:rsid w:val="00BD4381"/>
    <w:rsid w:val="00BD6B76"/>
    <w:rsid w:val="00BF37DC"/>
    <w:rsid w:val="00C04FAE"/>
    <w:rsid w:val="00C2280D"/>
    <w:rsid w:val="00C22A2E"/>
    <w:rsid w:val="00C22DE5"/>
    <w:rsid w:val="00C26999"/>
    <w:rsid w:val="00C35FA6"/>
    <w:rsid w:val="00C3717C"/>
    <w:rsid w:val="00C4138C"/>
    <w:rsid w:val="00C442EA"/>
    <w:rsid w:val="00C44933"/>
    <w:rsid w:val="00C53617"/>
    <w:rsid w:val="00C66692"/>
    <w:rsid w:val="00C709D5"/>
    <w:rsid w:val="00C74E2A"/>
    <w:rsid w:val="00C82E42"/>
    <w:rsid w:val="00C86960"/>
    <w:rsid w:val="00C95B06"/>
    <w:rsid w:val="00C96057"/>
    <w:rsid w:val="00CC7468"/>
    <w:rsid w:val="00CD0922"/>
    <w:rsid w:val="00CD7EFD"/>
    <w:rsid w:val="00CE0BAF"/>
    <w:rsid w:val="00CE615C"/>
    <w:rsid w:val="00CF18CF"/>
    <w:rsid w:val="00CF3502"/>
    <w:rsid w:val="00CF3FD1"/>
    <w:rsid w:val="00CF5C40"/>
    <w:rsid w:val="00D013F4"/>
    <w:rsid w:val="00D073DA"/>
    <w:rsid w:val="00D111BF"/>
    <w:rsid w:val="00D11B6C"/>
    <w:rsid w:val="00D20B0F"/>
    <w:rsid w:val="00D25CC7"/>
    <w:rsid w:val="00D37761"/>
    <w:rsid w:val="00D46F44"/>
    <w:rsid w:val="00D740A6"/>
    <w:rsid w:val="00D75117"/>
    <w:rsid w:val="00D86196"/>
    <w:rsid w:val="00D94FAA"/>
    <w:rsid w:val="00DA2283"/>
    <w:rsid w:val="00DB4C7F"/>
    <w:rsid w:val="00DB667F"/>
    <w:rsid w:val="00DE3EFB"/>
    <w:rsid w:val="00DE708B"/>
    <w:rsid w:val="00E23298"/>
    <w:rsid w:val="00E3404E"/>
    <w:rsid w:val="00E374BE"/>
    <w:rsid w:val="00E66AA5"/>
    <w:rsid w:val="00E74C88"/>
    <w:rsid w:val="00E94242"/>
    <w:rsid w:val="00ED5C70"/>
    <w:rsid w:val="00EF4910"/>
    <w:rsid w:val="00F03643"/>
    <w:rsid w:val="00F332E3"/>
    <w:rsid w:val="00F34955"/>
    <w:rsid w:val="00F47DA8"/>
    <w:rsid w:val="00F53195"/>
    <w:rsid w:val="00F5376D"/>
    <w:rsid w:val="00F56AED"/>
    <w:rsid w:val="00F663BE"/>
    <w:rsid w:val="00F66F05"/>
    <w:rsid w:val="00F83AC4"/>
    <w:rsid w:val="00FC0202"/>
    <w:rsid w:val="00FD297C"/>
    <w:rsid w:val="00FD3BBD"/>
    <w:rsid w:val="00FF2CD3"/>
    <w:rsid w:val="00FF56A4"/>
    <w:rsid w:val="0EC65BBE"/>
    <w:rsid w:val="112D7D80"/>
    <w:rsid w:val="2D49665C"/>
    <w:rsid w:val="2FC539D5"/>
    <w:rsid w:val="5F4A37A1"/>
    <w:rsid w:val="63462464"/>
    <w:rsid w:val="6961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nhideWhenUsed/>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spacing w:after="0" w:line="240" w:lineRule="auto"/>
    </w:pPr>
    <w:rPr>
      <w:kern w:val="2"/>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6">
    <w:name w:val="Body Text First Indent"/>
    <w:basedOn w:val="2"/>
    <w:link w:val="13"/>
    <w:semiHidden/>
    <w:unhideWhenUsed/>
    <w:qFormat/>
    <w:uiPriority w:val="99"/>
    <w:pPr>
      <w:ind w:firstLine="420" w:firstLineChars="10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正文文本 Char"/>
    <w:basedOn w:val="8"/>
    <w:link w:val="2"/>
    <w:qFormat/>
    <w:uiPriority w:val="99"/>
    <w:rPr>
      <w:kern w:val="0"/>
      <w:sz w:val="20"/>
      <w:szCs w:val="20"/>
    </w:rPr>
  </w:style>
  <w:style w:type="character" w:customStyle="1" w:styleId="13">
    <w:name w:val="正文首行缩进 Char"/>
    <w:basedOn w:val="12"/>
    <w:link w:val="6"/>
    <w:semiHidden/>
    <w:qFormat/>
    <w:uiPriority w:val="99"/>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2604</Words>
  <Characters>2665</Characters>
  <Lines>19</Lines>
  <Paragraphs>5</Paragraphs>
  <TotalTime>29</TotalTime>
  <ScaleCrop>false</ScaleCrop>
  <LinksUpToDate>false</LinksUpToDate>
  <CharactersWithSpaces>2676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2022-04-12T06:49:00Z</dcterms:created>
  <dc:creator>陆建龙(lujianlong)</dc:creator>
  <cp:lastModifiedBy>xliya</cp:lastModifiedBy>
  <cp:lastPrinted>2025-02-21T09:28:00Z</cp:lastPrinted>
  <dcterms:modified xsi:type="dcterms:W3CDTF">2025-02-21T10:58:13Z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eyJoZGlkIjoiZTM3MWI1YzJkYjU2N2I1ZWFmNmQzNThkZjNiN2M4MzIifQ==</vt:lpwstr>
  </property>
  <property fmtid="{D5CDD505-2E9C-101B-9397-08002B2CF9AE}" pid="3" name="KSOProductBuildVer">
    <vt:lpwstr>2052-12.1.0.19770</vt:lpwstr>
  </property>
  <property fmtid="{D5CDD505-2E9C-101B-9397-08002B2CF9AE}" pid="4" name="ICV">
    <vt:lpwstr>C88FDDC2E2684137A5EC4C6089195548_13</vt:lpwstr>
  </property>
</Properties>
</file>