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155"/>
        </w:tabs>
        <w:kinsoku w:val="0"/>
        <w:wordWrap/>
        <w:overflowPunct w:val="0"/>
        <w:topLinePunct w:val="0"/>
        <w:autoSpaceDE w:val="0"/>
        <w:autoSpaceDN w:val="0"/>
        <w:bidi w:val="0"/>
        <w:adjustRightInd w:val="0"/>
        <w:snapToGrid w:val="0"/>
        <w:spacing w:line="560" w:lineRule="exact"/>
        <w:ind w:left="0" w:right="0"/>
        <w:jc w:val="both"/>
        <w:textAlignment w:val="baseline"/>
        <w:rPr>
          <w:rFonts w:hint="default" w:ascii="Times New Roman" w:hAnsi="Times New Roman" w:eastAsia="方正黑体_GBK" w:cs="Times New Roman"/>
          <w:color w:val="000000" w:themeColor="text1"/>
          <w:spacing w:val="6"/>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pacing w:val="6"/>
          <w:sz w:val="32"/>
          <w:szCs w:val="32"/>
          <w:lang w:val="en-US" w:eastAsia="zh-CN"/>
          <w14:textFill>
            <w14:solidFill>
              <w14:schemeClr w14:val="tx1"/>
            </w14:solidFill>
          </w14:textFill>
        </w:rPr>
        <w:t>附件1</w:t>
      </w:r>
      <w:bookmarkStart w:id="11" w:name="_GoBack"/>
      <w:bookmarkEnd w:id="11"/>
    </w:p>
    <w:p>
      <w:pPr>
        <w:pStyle w:val="2"/>
        <w:rPr>
          <w:rFonts w:hint="default"/>
          <w:lang w:val="en-US" w:eastAsia="zh-CN"/>
        </w:rPr>
      </w:pPr>
    </w:p>
    <w:p>
      <w:pPr>
        <w:keepNext w:val="0"/>
        <w:keepLines w:val="0"/>
        <w:pageBreakBefore w:val="0"/>
        <w:widowControl/>
        <w:tabs>
          <w:tab w:val="left" w:pos="155"/>
        </w:tabs>
        <w:kinsoku w:val="0"/>
        <w:wordWrap/>
        <w:overflowPunct w:val="0"/>
        <w:topLinePunct w:val="0"/>
        <w:autoSpaceDE w:val="0"/>
        <w:autoSpaceDN w:val="0"/>
        <w:bidi w:val="0"/>
        <w:adjustRightInd w:val="0"/>
        <w:snapToGrid w:val="0"/>
        <w:spacing w:line="560" w:lineRule="exact"/>
        <w:ind w:left="0" w:right="0"/>
        <w:jc w:val="center"/>
        <w:textAlignment w:val="baseline"/>
        <w:rPr>
          <w:rFonts w:hint="default" w:ascii="Times New Roman" w:hAnsi="Times New Roman" w:eastAsia="方正仿宋_GBK" w:cs="Times New Roman"/>
          <w:color w:val="000000" w:themeColor="text1"/>
          <w:spacing w:val="6"/>
          <w:sz w:val="44"/>
          <w:szCs w:val="44"/>
          <w14:textFill>
            <w14:solidFill>
              <w14:schemeClr w14:val="tx1"/>
            </w14:solidFill>
          </w14:textFill>
        </w:rPr>
      </w:pPr>
      <w:r>
        <w:rPr>
          <w:rFonts w:hint="default" w:ascii="Times New Roman" w:hAnsi="Times New Roman" w:eastAsia="方正小标宋_GBK" w:cs="Times New Roman"/>
          <w:color w:val="000000" w:themeColor="text1"/>
          <w:spacing w:val="6"/>
          <w:sz w:val="44"/>
          <w:szCs w:val="44"/>
          <w:lang w:val="en-US" w:eastAsia="zh-CN"/>
          <w14:textFill>
            <w14:solidFill>
              <w14:schemeClr w14:val="tx1"/>
            </w14:solidFill>
          </w14:textFill>
        </w:rPr>
        <w:t>海陵区</w:t>
      </w:r>
      <w:r>
        <w:rPr>
          <w:rFonts w:hint="default" w:ascii="Times New Roman" w:hAnsi="Times New Roman" w:eastAsia="方正小标宋_GBK" w:cs="Times New Roman"/>
          <w:color w:val="000000" w:themeColor="text1"/>
          <w:spacing w:val="6"/>
          <w:sz w:val="44"/>
          <w:szCs w:val="44"/>
          <w14:textFill>
            <w14:solidFill>
              <w14:schemeClr w14:val="tx1"/>
            </w14:solidFill>
          </w14:textFill>
        </w:rPr>
        <w:t>“一老一小”整体解决方案</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0" w:right="0"/>
        <w:jc w:val="center"/>
        <w:textAlignment w:val="baseline"/>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征求意见稿</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p>
    <w:p>
      <w:pPr>
        <w:keepNext w:val="0"/>
        <w:keepLines w:val="0"/>
        <w:pageBreakBefore w:val="0"/>
        <w:widowControl/>
        <w:tabs>
          <w:tab w:val="left" w:pos="155"/>
        </w:tabs>
        <w:kinsoku w:val="0"/>
        <w:wordWrap/>
        <w:overflowPunct w:val="0"/>
        <w:topLinePunct w:val="0"/>
        <w:autoSpaceDE w:val="0"/>
        <w:autoSpaceDN w:val="0"/>
        <w:bidi w:val="0"/>
        <w:adjustRightInd w:val="0"/>
        <w:snapToGrid w:val="0"/>
        <w:spacing w:line="560" w:lineRule="exact"/>
        <w:ind w:left="0" w:right="0" w:firstLine="664" w:firstLineChars="200"/>
        <w:jc w:val="left"/>
        <w:textAlignment w:val="baseline"/>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pPr>
    </w:p>
    <w:p>
      <w:pPr>
        <w:keepNext w:val="0"/>
        <w:keepLines w:val="0"/>
        <w:pageBreakBefore w:val="0"/>
        <w:widowControl w:val="0"/>
        <w:tabs>
          <w:tab w:val="left" w:pos="155"/>
        </w:tabs>
        <w:kinsoku/>
        <w:wordWrap/>
        <w:overflowPunct w:val="0"/>
        <w:topLinePunct w:val="0"/>
        <w:autoSpaceDE w:val="0"/>
        <w:autoSpaceDN w:val="0"/>
        <w:bidi w:val="0"/>
        <w:adjustRightInd w:val="0"/>
        <w:snapToGrid w:val="0"/>
        <w:spacing w:line="560" w:lineRule="exact"/>
        <w:ind w:right="0" w:firstLine="664" w:firstLineChars="200"/>
        <w:jc w:val="left"/>
        <w:textAlignment w:val="baseline"/>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“一老一小”事关百姓福祉和民生事业高质量发展，服务保障好“一老一小”是积极应对人口老龄化、促进人口长期均衡发展的重要基础</w:t>
      </w:r>
      <w:r>
        <w:rPr>
          <w:rFonts w:hint="eastAsia" w:ascii="Times New Roman" w:hAnsi="Times New Roman" w:eastAsia="方正仿宋_GBK" w:cs="Times New Roman"/>
          <w:color w:val="000000" w:themeColor="text1"/>
          <w:spacing w:val="6"/>
          <w:sz w:val="32"/>
          <w:szCs w:val="32"/>
          <w:lang w:val="en-US" w:eastAsia="zh-CN"/>
          <w14:textFill>
            <w14:solidFill>
              <w14:schemeClr w14:val="tx1"/>
            </w14:solidFill>
          </w14:textFill>
        </w:rPr>
        <w:t>，对于改善民生福祉、释放消费潜力、培育经济动能、提升就业质量具有重要意义。</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为落实《江苏省人民政府办公厅关于促进养老托育服务高质量发展的实施意见》（苏政办发〔2021〕75号）《泰州市“一老一小”整体解决方案》（泰政发〔2022〕55号），</w:t>
      </w:r>
      <w:r>
        <w:rPr>
          <w:rFonts w:hint="eastAsia" w:ascii="Times New Roman" w:hAnsi="Times New Roman" w:eastAsia="方正仿宋_GBK" w:cs="Times New Roman"/>
          <w:color w:val="000000" w:themeColor="text1"/>
          <w:spacing w:val="6"/>
          <w:sz w:val="32"/>
          <w:szCs w:val="32"/>
          <w:lang w:val="en-US" w:eastAsia="zh-CN"/>
          <w14:textFill>
            <w14:solidFill>
              <w14:schemeClr w14:val="tx1"/>
            </w14:solidFill>
          </w14:textFill>
        </w:rPr>
        <w:t>根据国家和省市有关要求，</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结合我区实际，制定本方案。</w:t>
      </w:r>
    </w:p>
    <w:p>
      <w:pPr>
        <w:keepNext w:val="0"/>
        <w:keepLines w:val="0"/>
        <w:pageBreakBefore w:val="0"/>
        <w:widowControl w:val="0"/>
        <w:tabs>
          <w:tab w:val="left" w:pos="155"/>
        </w:tabs>
        <w:kinsoku w:val="0"/>
        <w:wordWrap/>
        <w:overflowPunct w:val="0"/>
        <w:topLinePunct w:val="0"/>
        <w:autoSpaceDE w:val="0"/>
        <w:autoSpaceDN w:val="0"/>
        <w:bidi w:val="0"/>
        <w:adjustRightInd w:val="0"/>
        <w:snapToGrid w:val="0"/>
        <w:spacing w:line="560" w:lineRule="exact"/>
        <w:ind w:left="0" w:right="0" w:firstLine="664" w:firstLineChars="200"/>
        <w:jc w:val="left"/>
        <w:textAlignment w:val="baseline"/>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pacing w:val="6"/>
          <w:sz w:val="32"/>
          <w:szCs w:val="32"/>
          <w:lang w:val="en-US" w:eastAsia="zh-CN"/>
          <w14:textFill>
            <w14:solidFill>
              <w14:schemeClr w14:val="tx1"/>
            </w14:solidFill>
          </w14:textFill>
        </w:rPr>
        <w:t>一、实施背景</w:t>
      </w:r>
    </w:p>
    <w:p>
      <w:pPr>
        <w:keepNext w:val="0"/>
        <w:keepLines w:val="0"/>
        <w:pageBreakBefore w:val="0"/>
        <w:widowControl w:val="0"/>
        <w:tabs>
          <w:tab w:val="left" w:pos="155"/>
        </w:tabs>
        <w:kinsoku w:val="0"/>
        <w:wordWrap/>
        <w:overflowPunct w:val="0"/>
        <w:topLinePunct w:val="0"/>
        <w:autoSpaceDE w:val="0"/>
        <w:autoSpaceDN w:val="0"/>
        <w:bidi w:val="0"/>
        <w:adjustRightInd w:val="0"/>
        <w:snapToGrid w:val="0"/>
        <w:spacing w:line="560" w:lineRule="exact"/>
        <w:ind w:left="0" w:right="0" w:firstLine="664" w:firstLineChars="200"/>
        <w:jc w:val="left"/>
        <w:textAlignment w:val="baseline"/>
        <w:rPr>
          <w:rFonts w:hint="default" w:ascii="Times New Roman" w:hAnsi="Times New Roman" w:eastAsia="方正楷体_GBK" w:cs="Times New Roman"/>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pacing w:val="6"/>
          <w:sz w:val="32"/>
          <w:szCs w:val="32"/>
          <w:lang w:val="en-US" w:eastAsia="zh-CN"/>
          <w14:textFill>
            <w14:solidFill>
              <w14:schemeClr w14:val="tx1"/>
            </w14:solidFill>
          </w14:textFill>
        </w:rPr>
        <w:t>（一）发展基础加快夯实</w:t>
      </w:r>
    </w:p>
    <w:p>
      <w:pPr>
        <w:keepNext w:val="0"/>
        <w:keepLines w:val="0"/>
        <w:pageBreakBefore w:val="0"/>
        <w:widowControl w:val="0"/>
        <w:tabs>
          <w:tab w:val="left" w:pos="155"/>
        </w:tabs>
        <w:kinsoku/>
        <w:wordWrap/>
        <w:overflowPunct w:val="0"/>
        <w:topLinePunct w:val="0"/>
        <w:autoSpaceDE w:val="0"/>
        <w:autoSpaceDN w:val="0"/>
        <w:bidi w:val="0"/>
        <w:adjustRightInd w:val="0"/>
        <w:snapToGrid w:val="0"/>
        <w:spacing w:line="560" w:lineRule="exact"/>
        <w:ind w:right="0" w:firstLine="664" w:firstLineChars="200"/>
        <w:jc w:val="left"/>
        <w:textAlignment w:val="baseline"/>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近年来，我区坚持把“一老一小”作为保障和改善民生的重要内容，养老托育事业发展取得积极成效。养老服务方面，截至2022年底，全区备案养老机构9家、总床位数1341张，其中三星级养老机构2家、二星级3家、一星级3家；建有老年人日间照料中心7个、居家养老服务中心（站）152个；建成老年人助餐点60家、助浴点2家，市老年大学分校11所。积极推进医养融合发展，所有养老机构均建有标准医务室（护理站），护理型床位占比达到100%。托育服务方面，截至2022年底，全区托育机构共有49家，其中，幼儿园托班35家</w:t>
      </w:r>
      <w:r>
        <w:rPr>
          <w:rFonts w:hint="eastAsia" w:ascii="Times New Roman" w:hAnsi="Times New Roman" w:eastAsia="方正仿宋_GBK" w:cs="Times New Roman"/>
          <w:color w:val="000000" w:themeColor="text1"/>
          <w:spacing w:val="6"/>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托育机构</w:t>
      </w:r>
      <w:r>
        <w:rPr>
          <w:rFonts w:hint="eastAsia" w:ascii="Times New Roman" w:hAnsi="Times New Roman" w:eastAsia="方正仿宋_GBK" w:cs="Times New Roman"/>
          <w:color w:val="000000" w:themeColor="text1"/>
          <w:spacing w:val="6"/>
          <w:sz w:val="32"/>
          <w:szCs w:val="32"/>
          <w:lang w:val="en-US" w:eastAsia="zh-CN"/>
          <w14:textFill>
            <w14:solidFill>
              <w14:schemeClr w14:val="tx1"/>
            </w14:solidFill>
          </w14:textFill>
        </w:rPr>
        <w:t>14</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家，托位总数1705个，每千人</w:t>
      </w:r>
      <w:r>
        <w:rPr>
          <w:rFonts w:hint="eastAsia" w:ascii="Times New Roman" w:hAnsi="Times New Roman" w:eastAsia="方正仿宋_GBK" w:cs="Times New Roman"/>
          <w:color w:val="000000" w:themeColor="text1"/>
          <w:spacing w:val="6"/>
          <w:sz w:val="32"/>
          <w:szCs w:val="32"/>
          <w:lang w:val="en-US" w:eastAsia="zh-CN"/>
          <w14:textFill>
            <w14:solidFill>
              <w14:schemeClr w14:val="tx1"/>
            </w14:solidFill>
          </w14:textFill>
        </w:rPr>
        <w:t>口</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拥有</w:t>
      </w:r>
      <w:r>
        <w:rPr>
          <w:rFonts w:hint="eastAsia" w:ascii="Times New Roman" w:hAnsi="Times New Roman" w:eastAsia="方正仿宋_GBK" w:cs="Times New Roman"/>
          <w:color w:val="000000" w:themeColor="text1"/>
          <w:spacing w:val="6"/>
          <w:sz w:val="32"/>
          <w:szCs w:val="32"/>
          <w:lang w:val="en-US" w:eastAsia="zh-CN"/>
          <w14:textFill>
            <w14:solidFill>
              <w14:schemeClr w14:val="tx1"/>
            </w14:solidFill>
          </w14:textFill>
        </w:rPr>
        <w:t>3岁以下婴幼儿</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托位数2.9个。</w:t>
      </w:r>
    </w:p>
    <w:p>
      <w:pPr>
        <w:keepNext w:val="0"/>
        <w:keepLines w:val="0"/>
        <w:pageBreakBefore w:val="0"/>
        <w:widowControl w:val="0"/>
        <w:tabs>
          <w:tab w:val="left" w:pos="155"/>
        </w:tabs>
        <w:kinsoku w:val="0"/>
        <w:wordWrap/>
        <w:overflowPunct w:val="0"/>
        <w:topLinePunct w:val="0"/>
        <w:autoSpaceDE w:val="0"/>
        <w:autoSpaceDN w:val="0"/>
        <w:bidi w:val="0"/>
        <w:adjustRightInd w:val="0"/>
        <w:snapToGrid w:val="0"/>
        <w:spacing w:line="560" w:lineRule="exact"/>
        <w:ind w:left="0" w:right="0" w:firstLine="664" w:firstLineChars="200"/>
        <w:jc w:val="left"/>
        <w:textAlignment w:val="baseline"/>
        <w:rPr>
          <w:rFonts w:hint="default" w:ascii="Times New Roman" w:hAnsi="Times New Roman" w:eastAsia="方正楷体_GBK" w:cs="Times New Roman"/>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pacing w:val="6"/>
          <w:sz w:val="32"/>
          <w:szCs w:val="32"/>
          <w:lang w:val="en-US" w:eastAsia="zh-CN"/>
          <w14:textFill>
            <w14:solidFill>
              <w14:schemeClr w14:val="tx1"/>
            </w14:solidFill>
          </w14:textFill>
        </w:rPr>
        <w:t>（二）政策体系初步建立</w:t>
      </w:r>
    </w:p>
    <w:p>
      <w:pPr>
        <w:keepNext w:val="0"/>
        <w:keepLines w:val="0"/>
        <w:pageBreakBefore w:val="0"/>
        <w:widowControl w:val="0"/>
        <w:tabs>
          <w:tab w:val="left" w:pos="155"/>
        </w:tabs>
        <w:kinsoku/>
        <w:wordWrap/>
        <w:overflowPunct w:val="0"/>
        <w:topLinePunct w:val="0"/>
        <w:autoSpaceDE w:val="0"/>
        <w:autoSpaceDN w:val="0"/>
        <w:bidi w:val="0"/>
        <w:adjustRightInd w:val="0"/>
        <w:snapToGrid w:val="0"/>
        <w:spacing w:line="560" w:lineRule="exact"/>
        <w:ind w:right="0" w:firstLine="664" w:firstLineChars="200"/>
        <w:jc w:val="left"/>
        <w:textAlignment w:val="baseline"/>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把养老托育事业纳入《泰州市海陵区国民经济和社会发展第十四个五年规划和二〇三五年远景目标纲要》，相继出台《海陵区积极应对人口老龄化三年（2022-2024年）实施方案》《关于提升居家养老上门服务质量的实施意见》《海陵区促进3岁以下婴幼儿照护服务发展的实施方案》等一系列养老托育服务支持政策，涵盖体制机制、服务体系、业态模式、社会环境、要素支持等方面内容，政策体系不断完善，有力推动全区养老托育服务持续健康发展。</w:t>
      </w:r>
    </w:p>
    <w:p>
      <w:pPr>
        <w:keepNext w:val="0"/>
        <w:keepLines w:val="0"/>
        <w:pageBreakBefore w:val="0"/>
        <w:widowControl w:val="0"/>
        <w:tabs>
          <w:tab w:val="left" w:pos="805"/>
        </w:tabs>
        <w:kinsoku w:val="0"/>
        <w:wordWrap/>
        <w:overflowPunct w:val="0"/>
        <w:topLinePunct w:val="0"/>
        <w:autoSpaceDE w:val="0"/>
        <w:autoSpaceDN w:val="0"/>
        <w:bidi w:val="0"/>
        <w:adjustRightInd w:val="0"/>
        <w:snapToGrid w:val="0"/>
        <w:spacing w:line="560" w:lineRule="exact"/>
        <w:ind w:left="0" w:right="0" w:firstLine="664" w:firstLineChars="200"/>
        <w:textAlignment w:val="baseline"/>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pacing w:val="6"/>
          <w:sz w:val="32"/>
          <w:szCs w:val="32"/>
          <w:lang w:val="en-US" w:eastAsia="zh-CN"/>
          <w14:textFill>
            <w14:solidFill>
              <w14:schemeClr w14:val="tx1"/>
            </w14:solidFill>
          </w14:textFill>
        </w:rPr>
        <w:t>（三）服务质效显著提升</w:t>
      </w:r>
    </w:p>
    <w:p>
      <w:pPr>
        <w:pStyle w:val="16"/>
        <w:keepNext w:val="0"/>
        <w:keepLines w:val="0"/>
        <w:pageBreakBefore w:val="0"/>
        <w:widowControl w:val="0"/>
        <w:kinsoku/>
        <w:wordWrap/>
        <w:overflowPunct w:val="0"/>
        <w:topLinePunct w:val="0"/>
        <w:autoSpaceDE w:val="0"/>
        <w:autoSpaceDN/>
        <w:bidi w:val="0"/>
        <w:adjustRightInd w:val="0"/>
        <w:snapToGrid w:val="0"/>
        <w:spacing w:line="560" w:lineRule="exact"/>
        <w:ind w:left="0" w:leftChars="0" w:firstLine="664" w:firstLineChars="200"/>
        <w:textAlignment w:val="auto"/>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pP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养老服务方面，常态化开展老年人能力评估和关爱巡访，建立重点空巢、独居老人信息</w:t>
      </w:r>
      <w:r>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档案</w:t>
      </w: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享受居家上门服务老年人占比达16%以上；分批对特殊困难老年人家庭实施适老化改造，累计改造900户；依托各类阵地，围绕老年人“家边、身边、周边”养老需求，持续优化助餐助洁、生活照料、文娱休闲等服务，形成“晚霞情”“好享福”“爱心门铃”“大院式养老”等社区养老服务品牌。</w:t>
      </w:r>
    </w:p>
    <w:p>
      <w:pPr>
        <w:pStyle w:val="16"/>
        <w:keepNext w:val="0"/>
        <w:keepLines w:val="0"/>
        <w:pageBreakBefore w:val="0"/>
        <w:widowControl w:val="0"/>
        <w:kinsoku/>
        <w:wordWrap/>
        <w:overflowPunct w:val="0"/>
        <w:topLinePunct w:val="0"/>
        <w:autoSpaceDE w:val="0"/>
        <w:autoSpaceDN/>
        <w:bidi w:val="0"/>
        <w:adjustRightInd w:val="0"/>
        <w:snapToGrid w:val="0"/>
        <w:spacing w:line="560" w:lineRule="exact"/>
        <w:ind w:left="0" w:leftChars="0" w:firstLine="664" w:firstLineChars="200"/>
        <w:textAlignment w:val="auto"/>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pP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托育服务方面，加强“托幼一体化”和社区托育点建设，鼓励支持社会资本独办、政企合办、幼儿园举办等多种形式，大力发展多元化、多样化托育服务。实行托育机构登记备案管理，已完成注册登记48家，其中备案成功19家。积极推进省、市级普惠托育机构创建，建成省级普惠性托育机构2家、省级社区托育点1家、市级普惠性托育机构3家。组织多部门</w:t>
      </w:r>
      <w:r>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开展</w:t>
      </w: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日常巡查</w:t>
      </w:r>
      <w:r>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和</w:t>
      </w: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专项督查，</w:t>
      </w:r>
      <w:r>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持续</w:t>
      </w: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推进托育机构依法依规发展。</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8" w:firstLineChars="200"/>
        <w:textAlignment w:val="baseline"/>
        <w:rPr>
          <w:rFonts w:hint="default" w:ascii="Times New Roman" w:hAnsi="Times New Roman" w:eastAsia="方正黑体_GBK" w:cs="Times New Roman"/>
          <w:color w:val="000000" w:themeColor="text1"/>
          <w:sz w:val="31"/>
          <w:szCs w:val="31"/>
          <w14:textFill>
            <w14:solidFill>
              <w14:schemeClr w14:val="tx1"/>
            </w14:solidFill>
          </w14:textFill>
        </w:rPr>
      </w:pPr>
      <w:r>
        <w:rPr>
          <w:rFonts w:hint="default" w:ascii="Times New Roman" w:hAnsi="Times New Roman" w:eastAsia="方正黑体_GBK" w:cs="Times New Roman"/>
          <w:color w:val="000000" w:themeColor="text1"/>
          <w:spacing w:val="7"/>
          <w:sz w:val="31"/>
          <w:szCs w:val="31"/>
          <w14:textFill>
            <w14:solidFill>
              <w14:schemeClr w14:val="tx1"/>
            </w14:solidFill>
          </w14:textFill>
        </w:rPr>
        <w:t>二、发展趋</w:t>
      </w:r>
      <w:r>
        <w:rPr>
          <w:rFonts w:hint="default" w:ascii="Times New Roman" w:hAnsi="Times New Roman" w:eastAsia="方正黑体_GBK" w:cs="Times New Roman"/>
          <w:color w:val="000000" w:themeColor="text1"/>
          <w:spacing w:val="5"/>
          <w:sz w:val="31"/>
          <w:szCs w:val="31"/>
          <w14:textFill>
            <w14:solidFill>
              <w14:schemeClr w14:val="tx1"/>
            </w14:solidFill>
          </w14:textFill>
        </w:rPr>
        <w:t>势</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37"/>
        <w:textAlignment w:val="baseline"/>
        <w:rPr>
          <w:rFonts w:hint="default" w:ascii="Times New Roman" w:hAnsi="Times New Roman" w:eastAsia="方正楷体_GBK" w:cs="Times New Roman"/>
          <w:color w:val="000000" w:themeColor="text1"/>
          <w:spacing w:val="-5"/>
          <w:sz w:val="31"/>
          <w:szCs w:val="31"/>
          <w14:textFill>
            <w14:solidFill>
              <w14:schemeClr w14:val="tx1"/>
            </w14:solidFill>
          </w14:textFill>
        </w:rPr>
      </w:pPr>
      <w:r>
        <w:rPr>
          <w:rFonts w:hint="default" w:ascii="Times New Roman" w:hAnsi="Times New Roman" w:eastAsia="方正楷体_GBK" w:cs="Times New Roman"/>
          <w:color w:val="000000" w:themeColor="text1"/>
          <w:spacing w:val="-5"/>
          <w:sz w:val="31"/>
          <w:szCs w:val="31"/>
          <w:lang w:eastAsia="zh-CN"/>
          <w14:textFill>
            <w14:solidFill>
              <w14:schemeClr w14:val="tx1"/>
            </w14:solidFill>
          </w14:textFill>
        </w:rPr>
        <w:t>（</w:t>
      </w:r>
      <w:r>
        <w:rPr>
          <w:rFonts w:hint="default" w:ascii="Times New Roman" w:hAnsi="Times New Roman" w:eastAsia="方正楷体_GBK" w:cs="Times New Roman"/>
          <w:color w:val="000000" w:themeColor="text1"/>
          <w:spacing w:val="-5"/>
          <w:sz w:val="31"/>
          <w:szCs w:val="31"/>
          <w:lang w:val="en-US" w:eastAsia="zh-CN"/>
          <w14:textFill>
            <w14:solidFill>
              <w14:schemeClr w14:val="tx1"/>
            </w14:solidFill>
          </w14:textFill>
        </w:rPr>
        <w:t>一</w:t>
      </w:r>
      <w:r>
        <w:rPr>
          <w:rFonts w:hint="default" w:ascii="Times New Roman" w:hAnsi="Times New Roman" w:eastAsia="方正楷体_GBK" w:cs="Times New Roman"/>
          <w:color w:val="000000" w:themeColor="text1"/>
          <w:spacing w:val="-5"/>
          <w:sz w:val="31"/>
          <w:szCs w:val="31"/>
          <w:lang w:eastAsia="zh-CN"/>
          <w14:textFill>
            <w14:solidFill>
              <w14:schemeClr w14:val="tx1"/>
            </w14:solidFill>
          </w14:textFill>
        </w:rPr>
        <w:t>）</w:t>
      </w:r>
      <w:r>
        <w:rPr>
          <w:rFonts w:hint="default" w:ascii="Times New Roman" w:hAnsi="Times New Roman" w:eastAsia="方正楷体_GBK" w:cs="Times New Roman"/>
          <w:color w:val="000000" w:themeColor="text1"/>
          <w:spacing w:val="-5"/>
          <w:sz w:val="31"/>
          <w:szCs w:val="31"/>
          <w14:textFill>
            <w14:solidFill>
              <w14:schemeClr w14:val="tx1"/>
            </w14:solidFill>
          </w14:textFill>
        </w:rPr>
        <w:t>发展机遇</w:t>
      </w:r>
    </w:p>
    <w:p>
      <w:pPr>
        <w:pStyle w:val="16"/>
        <w:keepNext w:val="0"/>
        <w:keepLines w:val="0"/>
        <w:pageBreakBefore w:val="0"/>
        <w:widowControl w:val="0"/>
        <w:kinsoku/>
        <w:wordWrap/>
        <w:overflowPunct w:val="0"/>
        <w:topLinePunct w:val="0"/>
        <w:autoSpaceDE w:val="0"/>
        <w:autoSpaceDN/>
        <w:bidi w:val="0"/>
        <w:adjustRightInd w:val="0"/>
        <w:snapToGrid w:val="0"/>
        <w:spacing w:line="560" w:lineRule="exact"/>
        <w:ind w:left="0" w:leftChars="0" w:firstLine="664" w:firstLineChars="200"/>
        <w:textAlignment w:val="auto"/>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pP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“十四五”时期是开启全面建设社会主义现代化国家新征程的第一个五年，</w:t>
      </w:r>
      <w:r>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海陵区</w:t>
      </w: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养老托育服务发展将迎来前所未有的新机遇</w:t>
      </w:r>
      <w:r>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w:t>
      </w: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党中央把积极应对人口老龄化上升为国家战略，省委省政府、市委市政府、区委区政府高度重视“一老一小”工作，为养老托育服务体系建设提供了坚强的组织保障。“十四五”以来，全区经济社会平稳健康发展，2022年实现地区生产总值733亿元，城镇居民人均可支配收入达58874元，为支持完善养老托育服务体系建设奠定了坚实的物质基础。2022年，海陵区获评省级积极应对人口老龄化重点联系城市，</w:t>
      </w:r>
      <w:r>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养老托育服务政策、业态、要素等获得重要保障</w:t>
      </w: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w:t>
      </w:r>
    </w:p>
    <w:p>
      <w:pPr>
        <w:pStyle w:val="16"/>
        <w:keepNext w:val="0"/>
        <w:keepLines w:val="0"/>
        <w:pageBreakBefore w:val="0"/>
        <w:widowControl w:val="0"/>
        <w:kinsoku/>
        <w:wordWrap/>
        <w:overflowPunct w:val="0"/>
        <w:topLinePunct w:val="0"/>
        <w:autoSpaceDE w:val="0"/>
        <w:autoSpaceDN/>
        <w:bidi w:val="0"/>
        <w:adjustRightInd w:val="0"/>
        <w:snapToGrid w:val="0"/>
        <w:spacing w:line="560" w:lineRule="exact"/>
        <w:ind w:left="0" w:leftChars="0" w:firstLine="600" w:firstLineChars="200"/>
        <w:textAlignment w:val="auto"/>
        <w:rPr>
          <w:rFonts w:hint="default" w:ascii="Times New Roman" w:hAnsi="Times New Roman" w:eastAsia="方正仿宋_GBK" w:cs="Times New Roman"/>
          <w:color w:val="000000" w:themeColor="text1"/>
          <w:sz w:val="31"/>
          <w:szCs w:val="31"/>
          <w14:textFill>
            <w14:solidFill>
              <w14:schemeClr w14:val="tx1"/>
            </w14:solidFill>
          </w14:textFill>
        </w:rPr>
      </w:pPr>
      <w:r>
        <w:rPr>
          <w:rFonts w:hint="default" w:ascii="Times New Roman" w:hAnsi="Times New Roman" w:eastAsia="方正楷体_GBK" w:cs="Times New Roman"/>
          <w:color w:val="000000" w:themeColor="text1"/>
          <w:spacing w:val="-5"/>
          <w:sz w:val="31"/>
          <w:szCs w:val="31"/>
          <w:lang w:eastAsia="zh-CN"/>
          <w14:textFill>
            <w14:solidFill>
              <w14:schemeClr w14:val="tx1"/>
            </w14:solidFill>
          </w14:textFill>
        </w:rPr>
        <w:t>（</w:t>
      </w:r>
      <w:r>
        <w:rPr>
          <w:rFonts w:hint="default" w:ascii="Times New Roman" w:hAnsi="Times New Roman" w:eastAsia="方正楷体_GBK" w:cs="Times New Roman"/>
          <w:color w:val="000000" w:themeColor="text1"/>
          <w:spacing w:val="-5"/>
          <w:sz w:val="31"/>
          <w:szCs w:val="31"/>
          <w:lang w:val="en-US" w:eastAsia="zh-CN"/>
          <w14:textFill>
            <w14:solidFill>
              <w14:schemeClr w14:val="tx1"/>
            </w14:solidFill>
          </w14:textFill>
        </w:rPr>
        <w:t>二</w:t>
      </w:r>
      <w:r>
        <w:rPr>
          <w:rFonts w:hint="default" w:ascii="Times New Roman" w:hAnsi="Times New Roman" w:eastAsia="方正楷体_GBK" w:cs="Times New Roman"/>
          <w:color w:val="000000" w:themeColor="text1"/>
          <w:spacing w:val="-5"/>
          <w:sz w:val="31"/>
          <w:szCs w:val="31"/>
          <w:lang w:eastAsia="zh-CN"/>
          <w14:textFill>
            <w14:solidFill>
              <w14:schemeClr w14:val="tx1"/>
            </w14:solidFill>
          </w14:textFill>
        </w:rPr>
        <w:t>）</w:t>
      </w:r>
      <w:r>
        <w:rPr>
          <w:rFonts w:hint="default" w:ascii="Times New Roman" w:hAnsi="Times New Roman" w:eastAsia="方正楷体_GBK" w:cs="Times New Roman"/>
          <w:color w:val="000000" w:themeColor="text1"/>
          <w:spacing w:val="-5"/>
          <w:sz w:val="31"/>
          <w:szCs w:val="31"/>
          <w14:textFill>
            <w14:solidFill>
              <w14:schemeClr w14:val="tx1"/>
            </w14:solidFill>
          </w14:textFill>
        </w:rPr>
        <w:t>面临挑战</w:t>
      </w:r>
    </w:p>
    <w:p>
      <w:pPr>
        <w:pStyle w:val="16"/>
        <w:keepNext w:val="0"/>
        <w:keepLines w:val="0"/>
        <w:pageBreakBefore w:val="0"/>
        <w:widowControl w:val="0"/>
        <w:kinsoku/>
        <w:wordWrap/>
        <w:overflowPunct w:val="0"/>
        <w:topLinePunct w:val="0"/>
        <w:autoSpaceDE w:val="0"/>
        <w:autoSpaceDN/>
        <w:bidi w:val="0"/>
        <w:adjustRightInd w:val="0"/>
        <w:snapToGrid w:val="0"/>
        <w:spacing w:line="560" w:lineRule="exact"/>
        <w:ind w:left="0" w:leftChars="0" w:firstLine="664" w:firstLineChars="200"/>
        <w:jc w:val="both"/>
        <w:textAlignment w:val="auto"/>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pPr>
      <w:r>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一是形势更加严峻。一方面，老龄化形势日益严峻。</w:t>
      </w: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目前，全区60周岁以上户籍人口13.79万人，老年人口占全区总人口比重23.82%；80周岁以上户籍人口1.92万人，高龄人口占全区老龄人口比重13.9</w:t>
      </w:r>
      <w:r>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2</w:t>
      </w: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%。“十四五”及今后一段时期，全区人口老龄化仍将处于快速增长阶段</w:t>
      </w:r>
      <w:r>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，对养老服务提出了更高要求。另一方面，出生率</w:t>
      </w: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持续</w:t>
      </w:r>
      <w:r>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走</w:t>
      </w: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低</w:t>
      </w:r>
      <w:r>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。2020-2022年，全年出生人口数量连续3年下降，生育支持政策体系需进一步健全。</w:t>
      </w:r>
    </w:p>
    <w:p>
      <w:pPr>
        <w:pStyle w:val="16"/>
        <w:keepNext w:val="0"/>
        <w:keepLines w:val="0"/>
        <w:pageBreakBefore w:val="0"/>
        <w:widowControl w:val="0"/>
        <w:kinsoku/>
        <w:wordWrap/>
        <w:overflowPunct w:val="0"/>
        <w:topLinePunct w:val="0"/>
        <w:autoSpaceDE w:val="0"/>
        <w:autoSpaceDN/>
        <w:bidi w:val="0"/>
        <w:adjustRightInd w:val="0"/>
        <w:snapToGrid w:val="0"/>
        <w:spacing w:line="560" w:lineRule="exact"/>
        <w:ind w:left="0" w:leftChars="0" w:firstLine="664" w:firstLineChars="200"/>
        <w:jc w:val="both"/>
        <w:textAlignment w:val="auto"/>
        <w:rPr>
          <w:rFonts w:ascii="Times New Roman" w:hAnsi="Times New Roman" w:eastAsia="方正仿宋_GBK" w:cs="Times New Roman"/>
          <w:color w:val="000000" w:themeColor="text1"/>
          <w:spacing w:val="6"/>
          <w:sz w:val="32"/>
          <w:szCs w:val="32"/>
          <w:highlight w:val="none"/>
          <w14:textFill>
            <w14:solidFill>
              <w14:schemeClr w14:val="tx1"/>
            </w14:solidFill>
          </w14:textFill>
        </w:rPr>
      </w:pPr>
      <w:r>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二是需求持续升级。随着</w:t>
      </w: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家庭规模小型化</w:t>
      </w:r>
      <w:r>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、生活配套便利化，</w:t>
      </w: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养老</w:t>
      </w:r>
      <w:r>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托育</w:t>
      </w: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服务需求</w:t>
      </w:r>
      <w:r>
        <w:rPr>
          <w:rFonts w:ascii="Times New Roman" w:hAnsi="Times New Roman" w:eastAsia="方正仿宋_GBK" w:cs="Times New Roman"/>
          <w:color w:val="000000" w:themeColor="text1"/>
          <w:spacing w:val="6"/>
          <w:sz w:val="32"/>
          <w:szCs w:val="32"/>
          <w:highlight w:val="none"/>
          <w14:textFill>
            <w14:solidFill>
              <w14:schemeClr w14:val="tx1"/>
            </w14:solidFill>
          </w14:textFill>
        </w:rPr>
        <w:t>从单一场景的托底性基本生活服务向医疗康复、精神慰藉、文体娱乐、教育学习等全场景多业态的复合方向转变，对发展多层次、精准化的养老</w:t>
      </w:r>
      <w:r>
        <w:rPr>
          <w:rFonts w:hint="eastAsia" w:ascii="Times New Roman" w:hAnsi="Times New Roman" w:eastAsia="方正仿宋_GBK" w:cs="Times New Roman"/>
          <w:color w:val="000000" w:themeColor="text1"/>
          <w:spacing w:val="6"/>
          <w:sz w:val="32"/>
          <w:szCs w:val="32"/>
          <w:highlight w:val="none"/>
          <w14:textFill>
            <w14:solidFill>
              <w14:schemeClr w14:val="tx1"/>
            </w14:solidFill>
          </w14:textFill>
        </w:rPr>
        <w:t>托育</w:t>
      </w:r>
      <w:r>
        <w:rPr>
          <w:rFonts w:ascii="Times New Roman" w:hAnsi="Times New Roman" w:eastAsia="方正仿宋_GBK" w:cs="Times New Roman"/>
          <w:color w:val="000000" w:themeColor="text1"/>
          <w:spacing w:val="6"/>
          <w:sz w:val="32"/>
          <w:szCs w:val="32"/>
          <w:highlight w:val="none"/>
          <w14:textFill>
            <w14:solidFill>
              <w14:schemeClr w14:val="tx1"/>
            </w14:solidFill>
          </w14:textFill>
        </w:rPr>
        <w:t>保障体系和服务供给提出了更高要求。</w:t>
      </w:r>
    </w:p>
    <w:p>
      <w:pPr>
        <w:pStyle w:val="16"/>
        <w:keepNext w:val="0"/>
        <w:keepLines w:val="0"/>
        <w:pageBreakBefore w:val="0"/>
        <w:widowControl w:val="0"/>
        <w:kinsoku/>
        <w:wordWrap/>
        <w:overflowPunct w:val="0"/>
        <w:topLinePunct w:val="0"/>
        <w:autoSpaceDE w:val="0"/>
        <w:autoSpaceDN/>
        <w:bidi w:val="0"/>
        <w:adjustRightInd w:val="0"/>
        <w:snapToGrid w:val="0"/>
        <w:spacing w:line="560" w:lineRule="exact"/>
        <w:ind w:left="0" w:leftChars="0" w:firstLine="664" w:firstLineChars="200"/>
        <w:jc w:val="both"/>
        <w:textAlignment w:val="auto"/>
        <w:rPr>
          <w:rFonts w:hint="default" w:ascii="Times New Roman" w:hAnsi="Times New Roman" w:eastAsia="方正仿宋_GBK" w:cs="Times New Roman"/>
          <w:snapToGrid w:val="0"/>
          <w:color w:val="000000" w:themeColor="text1"/>
          <w:spacing w:val="6"/>
          <w:kern w:val="0"/>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6"/>
          <w:sz w:val="32"/>
          <w:szCs w:val="32"/>
          <w:highlight w:val="none"/>
          <w14:textFill>
            <w14:solidFill>
              <w14:schemeClr w14:val="tx1"/>
            </w14:solidFill>
          </w14:textFill>
        </w:rPr>
        <w:t>三是供给结构不优。</w:t>
      </w:r>
      <w:r>
        <w:rPr>
          <w:rFonts w:ascii="Times New Roman" w:hAnsi="Times New Roman" w:eastAsia="方正仿宋_GBK" w:cs="Times New Roman"/>
          <w:color w:val="000000" w:themeColor="text1"/>
          <w:spacing w:val="6"/>
          <w:sz w:val="32"/>
          <w:szCs w:val="32"/>
          <w:highlight w:val="none"/>
          <w14:textFill>
            <w14:solidFill>
              <w14:schemeClr w14:val="tx1"/>
            </w14:solidFill>
          </w14:textFill>
        </w:rPr>
        <w:t>机构</w:t>
      </w:r>
      <w:r>
        <w:rPr>
          <w:rFonts w:hint="eastAsia" w:ascii="Times New Roman" w:hAnsi="Times New Roman" w:eastAsia="方正仿宋_GBK" w:cs="Times New Roman"/>
          <w:color w:val="000000" w:themeColor="text1"/>
          <w:spacing w:val="6"/>
          <w:sz w:val="32"/>
          <w:szCs w:val="32"/>
          <w:highlight w:val="none"/>
          <w14:textFill>
            <w14:solidFill>
              <w14:schemeClr w14:val="tx1"/>
            </w14:solidFill>
          </w14:textFill>
        </w:rPr>
        <w:t>普遍</w:t>
      </w:r>
      <w:r>
        <w:rPr>
          <w:rFonts w:ascii="Times New Roman" w:hAnsi="Times New Roman" w:eastAsia="方正仿宋_GBK" w:cs="Times New Roman"/>
          <w:color w:val="000000" w:themeColor="text1"/>
          <w:spacing w:val="6"/>
          <w:sz w:val="32"/>
          <w:szCs w:val="32"/>
          <w:highlight w:val="none"/>
          <w14:textFill>
            <w14:solidFill>
              <w14:schemeClr w14:val="tx1"/>
            </w14:solidFill>
          </w14:textFill>
        </w:rPr>
        <w:t>小而散，</w:t>
      </w:r>
      <w:r>
        <w:rPr>
          <w:rFonts w:hint="eastAsia" w:ascii="Times New Roman" w:hAnsi="Times New Roman" w:eastAsia="方正仿宋_GBK" w:cs="Times New Roman"/>
          <w:color w:val="000000" w:themeColor="text1"/>
          <w:spacing w:val="6"/>
          <w:sz w:val="32"/>
          <w:szCs w:val="32"/>
          <w:highlight w:val="none"/>
          <w14:textFill>
            <w14:solidFill>
              <w14:schemeClr w14:val="tx1"/>
            </w14:solidFill>
          </w14:textFill>
        </w:rPr>
        <w:t>养老机构入住率偏低，托位缺口约5</w:t>
      </w:r>
      <w:r>
        <w:rPr>
          <w:rFonts w:ascii="Times New Roman" w:hAnsi="Times New Roman" w:eastAsia="方正仿宋_GBK" w:cs="Times New Roman"/>
          <w:color w:val="000000" w:themeColor="text1"/>
          <w:spacing w:val="6"/>
          <w:sz w:val="32"/>
          <w:szCs w:val="32"/>
          <w:highlight w:val="none"/>
          <w14:textFill>
            <w14:solidFill>
              <w14:schemeClr w14:val="tx1"/>
            </w14:solidFill>
          </w14:textFill>
        </w:rPr>
        <w:t>30</w:t>
      </w:r>
      <w:r>
        <w:rPr>
          <w:rFonts w:hint="eastAsia" w:ascii="Times New Roman" w:hAnsi="Times New Roman" w:eastAsia="方正仿宋_GBK" w:cs="Times New Roman"/>
          <w:color w:val="000000" w:themeColor="text1"/>
          <w:spacing w:val="6"/>
          <w:sz w:val="32"/>
          <w:szCs w:val="32"/>
          <w:highlight w:val="none"/>
          <w14:textFill>
            <w14:solidFill>
              <w14:schemeClr w14:val="tx1"/>
            </w14:solidFill>
          </w14:textFill>
        </w:rPr>
        <w:t>个，</w:t>
      </w:r>
      <w:r>
        <w:rPr>
          <w:rFonts w:ascii="Times New Roman" w:hAnsi="Times New Roman" w:eastAsia="方正仿宋_GBK" w:cs="Times New Roman"/>
          <w:color w:val="000000" w:themeColor="text1"/>
          <w:spacing w:val="6"/>
          <w:sz w:val="32"/>
          <w:szCs w:val="32"/>
          <w:highlight w:val="none"/>
          <w14:textFill>
            <w14:solidFill>
              <w14:schemeClr w14:val="tx1"/>
            </w14:solidFill>
          </w14:textFill>
        </w:rPr>
        <w:t>实际收托40人及以下的</w:t>
      </w:r>
      <w:r>
        <w:rPr>
          <w:rFonts w:hint="eastAsia" w:ascii="Times New Roman" w:hAnsi="Times New Roman" w:eastAsia="方正仿宋_GBK" w:cs="Times New Roman"/>
          <w:color w:val="000000" w:themeColor="text1"/>
          <w:spacing w:val="6"/>
          <w:sz w:val="32"/>
          <w:szCs w:val="32"/>
          <w:highlight w:val="none"/>
          <w14:textFill>
            <w14:solidFill>
              <w14:schemeClr w14:val="tx1"/>
            </w14:solidFill>
          </w14:textFill>
        </w:rPr>
        <w:t>托育机构</w:t>
      </w:r>
      <w:r>
        <w:rPr>
          <w:rFonts w:ascii="Times New Roman" w:hAnsi="Times New Roman" w:eastAsia="方正仿宋_GBK" w:cs="Times New Roman"/>
          <w:color w:val="000000" w:themeColor="text1"/>
          <w:spacing w:val="6"/>
          <w:sz w:val="32"/>
          <w:szCs w:val="32"/>
          <w:highlight w:val="none"/>
          <w14:textFill>
            <w14:solidFill>
              <w14:schemeClr w14:val="tx1"/>
            </w14:solidFill>
          </w14:textFill>
        </w:rPr>
        <w:t>占比88%，托育机构总备案率41.18%，其中幼儿园延伸托班备案率为55.56%、民营托育机构备案率仅为6.67%</w:t>
      </w:r>
      <w:r>
        <w:rPr>
          <w:rFonts w:hint="eastAsia" w:ascii="Times New Roman" w:hAnsi="Times New Roman" w:eastAsia="方正仿宋_GBK" w:cs="Times New Roman"/>
          <w:color w:val="000000" w:themeColor="text1"/>
          <w:spacing w:val="6"/>
          <w:sz w:val="32"/>
          <w:szCs w:val="32"/>
          <w:highlight w:val="none"/>
          <w14:textFill>
            <w14:solidFill>
              <w14:schemeClr w14:val="tx1"/>
            </w14:solidFill>
          </w14:textFill>
        </w:rPr>
        <w:t>。品牌化、旗舰型养老托育服务机构紧缺，资源闲置与高端需求供应不足问题并存</w:t>
      </w:r>
      <w:r>
        <w:rPr>
          <w:rFonts w:ascii="Times New Roman" w:hAnsi="Times New Roman" w:eastAsia="方正仿宋_GBK" w:cs="Times New Roman"/>
          <w:color w:val="000000" w:themeColor="text1"/>
          <w:spacing w:val="6"/>
          <w:sz w:val="32"/>
          <w:szCs w:val="32"/>
          <w:highlight w:val="none"/>
          <w14:textFill>
            <w14:solidFill>
              <w14:schemeClr w14:val="tx1"/>
            </w14:solidFill>
          </w14:textFill>
        </w:rPr>
        <w:t>。</w:t>
      </w:r>
      <w:r>
        <w:rPr>
          <w:rFonts w:hint="eastAsia" w:ascii="Times New Roman" w:hAnsi="Times New Roman" w:eastAsia="方正仿宋_GBK" w:cs="Times New Roman"/>
          <w:color w:val="000000" w:themeColor="text1"/>
          <w:spacing w:val="6"/>
          <w:sz w:val="32"/>
          <w:szCs w:val="32"/>
          <w:highlight w:val="none"/>
          <w14:textFill>
            <w14:solidFill>
              <w14:schemeClr w14:val="tx1"/>
            </w14:solidFill>
          </w14:textFill>
        </w:rPr>
        <w:t>农村地区养老托育服务存在短板。养老</w:t>
      </w:r>
      <w:r>
        <w:rPr>
          <w:rFonts w:ascii="Times New Roman" w:hAnsi="Times New Roman" w:eastAsia="方正仿宋_GBK" w:cs="Times New Roman"/>
          <w:color w:val="000000" w:themeColor="text1"/>
          <w:spacing w:val="6"/>
          <w:sz w:val="32"/>
          <w:szCs w:val="32"/>
          <w:highlight w:val="none"/>
          <w14:textFill>
            <w14:solidFill>
              <w14:schemeClr w14:val="tx1"/>
            </w14:solidFill>
          </w14:textFill>
        </w:rPr>
        <w:t>托育机构普遍存在用工难</w:t>
      </w:r>
      <w:r>
        <w:rPr>
          <w:rFonts w:hint="eastAsia" w:ascii="Times New Roman" w:hAnsi="Times New Roman" w:eastAsia="方正仿宋_GBK" w:cs="Times New Roman"/>
          <w:color w:val="000000" w:themeColor="text1"/>
          <w:spacing w:val="6"/>
          <w:sz w:val="32"/>
          <w:szCs w:val="32"/>
          <w:highlight w:val="none"/>
          <w14:textFill>
            <w14:solidFill>
              <w14:schemeClr w14:val="tx1"/>
            </w14:solidFill>
          </w14:textFill>
        </w:rPr>
        <w:t>、保运转</w:t>
      </w:r>
      <w:r>
        <w:rPr>
          <w:rFonts w:ascii="Times New Roman" w:hAnsi="Times New Roman" w:eastAsia="方正仿宋_GBK" w:cs="Times New Roman"/>
          <w:color w:val="000000" w:themeColor="text1"/>
          <w:spacing w:val="6"/>
          <w:sz w:val="32"/>
          <w:szCs w:val="32"/>
          <w:highlight w:val="none"/>
          <w14:textFill>
            <w14:solidFill>
              <w14:schemeClr w14:val="tx1"/>
            </w14:solidFill>
          </w14:textFill>
        </w:rPr>
        <w:t>问题，专业</w:t>
      </w:r>
      <w:r>
        <w:rPr>
          <w:rFonts w:hint="eastAsia" w:ascii="Times New Roman" w:hAnsi="Times New Roman" w:eastAsia="方正仿宋_GBK" w:cs="Times New Roman"/>
          <w:color w:val="000000" w:themeColor="text1"/>
          <w:spacing w:val="6"/>
          <w:sz w:val="32"/>
          <w:szCs w:val="32"/>
          <w:highlight w:val="none"/>
          <w14:textFill>
            <w14:solidFill>
              <w14:schemeClr w14:val="tx1"/>
            </w14:solidFill>
          </w14:textFill>
        </w:rPr>
        <w:t>化职业化人才队伍建设力度有待加强。</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4" w:firstLineChars="200"/>
        <w:textAlignment w:val="baseline"/>
        <w:rPr>
          <w:rFonts w:hint="default" w:ascii="Times New Roman" w:hAnsi="Times New Roman" w:eastAsia="方正仿宋_GBK" w:cs="Times New Roman"/>
          <w:color w:val="000000" w:themeColor="text1"/>
          <w:sz w:val="31"/>
          <w:szCs w:val="31"/>
          <w14:textFill>
            <w14:solidFill>
              <w14:schemeClr w14:val="tx1"/>
            </w14:solidFill>
          </w14:textFill>
        </w:rPr>
      </w:pPr>
      <w:r>
        <w:rPr>
          <w:rFonts w:hint="default" w:ascii="Times New Roman" w:hAnsi="Times New Roman" w:eastAsia="方正黑体_GBK" w:cs="Times New Roman"/>
          <w:color w:val="000000" w:themeColor="text1"/>
          <w:spacing w:val="6"/>
          <w:sz w:val="31"/>
          <w:szCs w:val="31"/>
          <w14:textFill>
            <w14:solidFill>
              <w14:schemeClr w14:val="tx1"/>
            </w14:solidFill>
          </w14:textFill>
        </w:rPr>
        <w:t>三、总体要求</w:t>
      </w:r>
    </w:p>
    <w:p>
      <w:pPr>
        <w:keepNext w:val="0"/>
        <w:keepLines w:val="0"/>
        <w:pageBreakBefore w:val="0"/>
        <w:widowControl w:val="0"/>
        <w:tabs>
          <w:tab w:val="left" w:pos="779"/>
        </w:tabs>
        <w:kinsoku w:val="0"/>
        <w:wordWrap/>
        <w:overflowPunct w:val="0"/>
        <w:topLinePunct w:val="0"/>
        <w:autoSpaceDE w:val="0"/>
        <w:autoSpaceDN w:val="0"/>
        <w:bidi w:val="0"/>
        <w:adjustRightInd w:val="0"/>
        <w:snapToGrid w:val="0"/>
        <w:spacing w:line="560" w:lineRule="exact"/>
        <w:ind w:left="0" w:right="0" w:firstLine="600" w:firstLineChars="200"/>
        <w:textAlignment w:val="baseline"/>
        <w:rPr>
          <w:rFonts w:hint="default" w:ascii="Times New Roman" w:hAnsi="Times New Roman" w:eastAsia="方正楷体_GBK" w:cs="Times New Roman"/>
          <w:color w:val="000000" w:themeColor="text1"/>
          <w:spacing w:val="-5"/>
          <w:sz w:val="31"/>
          <w:szCs w:val="31"/>
          <w:lang w:eastAsia="zh-CN"/>
          <w14:textFill>
            <w14:solidFill>
              <w14:schemeClr w14:val="tx1"/>
            </w14:solidFill>
          </w14:textFill>
        </w:rPr>
      </w:pPr>
      <w:r>
        <w:rPr>
          <w:rFonts w:hint="default" w:ascii="Times New Roman" w:hAnsi="Times New Roman" w:eastAsia="方正楷体_GBK" w:cs="Times New Roman"/>
          <w:color w:val="000000" w:themeColor="text1"/>
          <w:spacing w:val="-5"/>
          <w:sz w:val="31"/>
          <w:szCs w:val="31"/>
          <w:lang w:eastAsia="zh-CN"/>
          <w14:textFill>
            <w14:solidFill>
              <w14:schemeClr w14:val="tx1"/>
            </w14:solidFill>
          </w14:textFill>
        </w:rPr>
        <w:t>（</w:t>
      </w:r>
      <w:r>
        <w:rPr>
          <w:rFonts w:hint="default" w:ascii="Times New Roman" w:hAnsi="Times New Roman" w:eastAsia="方正楷体_GBK" w:cs="Times New Roman"/>
          <w:color w:val="000000" w:themeColor="text1"/>
          <w:spacing w:val="-5"/>
          <w:sz w:val="31"/>
          <w:szCs w:val="31"/>
          <w:lang w:val="en-US" w:eastAsia="zh-CN"/>
          <w14:textFill>
            <w14:solidFill>
              <w14:schemeClr w14:val="tx1"/>
            </w14:solidFill>
          </w14:textFill>
        </w:rPr>
        <w:t>一</w:t>
      </w:r>
      <w:r>
        <w:rPr>
          <w:rFonts w:hint="default" w:ascii="Times New Roman" w:hAnsi="Times New Roman" w:eastAsia="方正楷体_GBK" w:cs="Times New Roman"/>
          <w:color w:val="000000" w:themeColor="text1"/>
          <w:spacing w:val="-5"/>
          <w:sz w:val="31"/>
          <w:szCs w:val="31"/>
          <w:lang w:eastAsia="zh-CN"/>
          <w14:textFill>
            <w14:solidFill>
              <w14:schemeClr w14:val="tx1"/>
            </w14:solidFill>
          </w14:textFill>
        </w:rPr>
        <w:t>）总体思路</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64" w:firstLineChars="200"/>
        <w:textAlignment w:val="baseline"/>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pP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坚持以习近平新时代中国特色社会主义思想为指导，全面贯彻党的二十大精神，深化落实积极应对人口老龄化国家战略，</w:t>
      </w:r>
      <w:r>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科学研判“一老一小”人口发展形势和变动趋势，深化改革、综合施策，加大制度创新、政策供给，推动事业和产业协同发展，以补短板、强弱项、增供给、提质量为重点，构建更加优质、充分、均衡的养老托育服务体系，加快建设老有颐养、幼有善育幸福城市</w:t>
      </w: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38"/>
        <w:textAlignment w:val="baseline"/>
        <w:rPr>
          <w:rFonts w:hint="default" w:ascii="Times New Roman" w:hAnsi="Times New Roman" w:eastAsia="方正楷体_GBK" w:cs="Times New Roman"/>
          <w:color w:val="000000" w:themeColor="text1"/>
          <w:spacing w:val="2"/>
          <w:sz w:val="31"/>
          <w:szCs w:val="31"/>
          <w14:textFill>
            <w14:solidFill>
              <w14:schemeClr w14:val="tx1"/>
            </w14:solidFill>
          </w14:textFill>
        </w:rPr>
      </w:pPr>
      <w:r>
        <w:rPr>
          <w:rFonts w:hint="default" w:ascii="Times New Roman" w:hAnsi="Times New Roman" w:eastAsia="方正楷体_GBK" w:cs="Times New Roman"/>
          <w:color w:val="000000" w:themeColor="text1"/>
          <w:spacing w:val="2"/>
          <w:sz w:val="31"/>
          <w:szCs w:val="31"/>
          <w14:textFill>
            <w14:solidFill>
              <w14:schemeClr w14:val="tx1"/>
            </w14:solidFill>
          </w14:textFill>
        </w:rPr>
        <w:t>（</w:t>
      </w:r>
      <w:r>
        <w:rPr>
          <w:rFonts w:hint="default" w:ascii="Times New Roman" w:hAnsi="Times New Roman" w:eastAsia="方正楷体_GBK" w:cs="Times New Roman"/>
          <w:color w:val="000000" w:themeColor="text1"/>
          <w:spacing w:val="2"/>
          <w:sz w:val="31"/>
          <w:szCs w:val="31"/>
          <w:lang w:val="en-US" w:eastAsia="zh-CN"/>
          <w14:textFill>
            <w14:solidFill>
              <w14:schemeClr w14:val="tx1"/>
            </w14:solidFill>
          </w14:textFill>
        </w:rPr>
        <w:t>二</w:t>
      </w:r>
      <w:r>
        <w:rPr>
          <w:rFonts w:hint="default" w:ascii="Times New Roman" w:hAnsi="Times New Roman" w:eastAsia="方正楷体_GBK" w:cs="Times New Roman"/>
          <w:color w:val="000000" w:themeColor="text1"/>
          <w:spacing w:val="2"/>
          <w:sz w:val="31"/>
          <w:szCs w:val="31"/>
          <w14:textFill>
            <w14:solidFill>
              <w14:schemeClr w14:val="tx1"/>
            </w14:solidFill>
          </w14:textFill>
        </w:rPr>
        <w:t>）整体目标</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38"/>
        <w:textAlignment w:val="baseline"/>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pP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到2025年，基本建立与人口老龄化进程、生育水平相适应的</w:t>
      </w:r>
      <w:r>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养老托育服务</w:t>
      </w: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体系，政府、社会、家庭共同参与、各尽其责的发展格局基本形成，形成一批特色鲜明、务实管用、可复制可推广的“一老一小”政策举措和典型经验。</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1"/>
        <w:textAlignment w:val="baseline"/>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spacing w:val="6"/>
          <w:kern w:val="0"/>
          <w:sz w:val="32"/>
          <w:szCs w:val="32"/>
          <w:lang w:val="en-US" w:eastAsia="zh-CN"/>
          <w14:textFill>
            <w14:solidFill>
              <w14:schemeClr w14:val="tx1"/>
            </w14:solidFill>
          </w14:textFill>
        </w:rPr>
        <w:t>——养老服务体系建设向更高能级跃升，打造“老有颐养”幸福城市。</w:t>
      </w: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按照“党委领导、政府主导、社会协同、市场参与、统筹发展、共建共享”的总体原则，以增强老年人获得感、幸福感、安全感为主要目标，聚焦重点、优化结构、细化规范、集聚资源、强化管理、深化改革、塑造品牌，提供覆盖城乡、惠及全民、均衡合理、优质高效的养老服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1"/>
        <w:textAlignment w:val="baseline"/>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pP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到2025年，全面建成居家、社区、机构相协调、医养康养相结合，主体多元、服务多样、品质优良、区域均衡、监管有力的多层次养老服务体系，助推养老服务高质量发展，更好地满足老年人居住环境、服务设施、健康服务、养老服务、社会参与、精神文化生活等多样化需求。全区新建居住（小）区养老服务设施配套建设率100%，建成标准化农村区域性养老服务中心</w:t>
      </w:r>
      <w:r>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3</w:t>
      </w: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家，每千名老年人养老床位数43张，老年人接受居家上门服务覆盖率达18%以上。</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1"/>
        <w:textAlignment w:val="baseline"/>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spacing w:val="6"/>
          <w:kern w:val="0"/>
          <w:sz w:val="32"/>
          <w:szCs w:val="32"/>
          <w:lang w:val="en-US" w:eastAsia="zh-CN"/>
          <w14:textFill>
            <w14:solidFill>
              <w14:schemeClr w14:val="tx1"/>
            </w14:solidFill>
          </w14:textFill>
        </w:rPr>
        <w:t>——托育服务体系建设向更高水平跃升，打造“幼有善育”幸福城市。</w:t>
      </w: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坚持以推动托育服务高质量发展为主题，以满足人民群众多样化托育服务需求为目标，逐步建立完善促进婴幼儿照护服务发展的服务供给体系、标准规范体系、监督管理体系和支持保障体系，大力发展多种形式的普惠托育服务，切实减轻家庭生育养育负担，促进婴幼儿健康成长。</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1"/>
        <w:textAlignment w:val="baseline"/>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pP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到2025年，全区托位</w:t>
      </w:r>
      <w:r>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数达</w:t>
      </w: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2600个以上，每千人口拥有3岁以下婴幼儿托位数</w:t>
      </w:r>
      <w:r>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达</w:t>
      </w:r>
      <w:r>
        <w:rPr>
          <w:rFonts w:hint="default"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4.5个以上；全面提升托育服务质量水平，建成省级示范性托育机构1家以上，培育品牌连锁托育机构1家以上；兜底性保障能力显著增强，普惠性服务有效供给显著增加，实现“一街道（乡镇）一普惠”，每年新增省级普惠托育机构1家、市级普惠托育机构2家。</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Chars="0" w:right="0" w:rightChars="0" w:firstLine="628" w:firstLineChars="200"/>
        <w:textAlignment w:val="baseline"/>
        <w:rPr>
          <w:rFonts w:hint="eastAsia" w:ascii="方正楷体_GBK" w:hAnsi="方正楷体_GBK" w:eastAsia="方正楷体_GBK" w:cs="方正楷体_GBK"/>
          <w:color w:val="000000" w:themeColor="text1"/>
          <w:spacing w:val="2"/>
          <w:sz w:val="31"/>
          <w:szCs w:val="31"/>
          <w14:textFill>
            <w14:solidFill>
              <w14:schemeClr w14:val="tx1"/>
            </w14:solidFill>
          </w14:textFill>
        </w:rPr>
      </w:pPr>
      <w:r>
        <w:rPr>
          <w:rFonts w:hint="eastAsia" w:ascii="方正楷体_GBK" w:hAnsi="方正楷体_GBK" w:eastAsia="方正楷体_GBK" w:cs="方正楷体_GBK"/>
          <w:color w:val="000000" w:themeColor="text1"/>
          <w:spacing w:val="2"/>
          <w:sz w:val="31"/>
          <w:szCs w:val="31"/>
          <w:lang w:eastAsia="zh-CN"/>
          <w14:textFill>
            <w14:solidFill>
              <w14:schemeClr w14:val="tx1"/>
            </w14:solidFill>
          </w14:textFill>
        </w:rPr>
        <w:t>（</w:t>
      </w:r>
      <w:r>
        <w:rPr>
          <w:rFonts w:hint="eastAsia" w:ascii="方正楷体_GBK" w:hAnsi="方正楷体_GBK" w:eastAsia="方正楷体_GBK" w:cs="方正楷体_GBK"/>
          <w:color w:val="000000" w:themeColor="text1"/>
          <w:spacing w:val="2"/>
          <w:sz w:val="31"/>
          <w:szCs w:val="31"/>
          <w:lang w:val="en-US" w:eastAsia="zh-CN"/>
          <w14:textFill>
            <w14:solidFill>
              <w14:schemeClr w14:val="tx1"/>
            </w14:solidFill>
          </w14:textFill>
        </w:rPr>
        <w:t>三</w:t>
      </w:r>
      <w:r>
        <w:rPr>
          <w:rFonts w:hint="eastAsia" w:ascii="方正楷体_GBK" w:hAnsi="方正楷体_GBK" w:eastAsia="方正楷体_GBK" w:cs="方正楷体_GBK"/>
          <w:color w:val="000000" w:themeColor="text1"/>
          <w:spacing w:val="2"/>
          <w:sz w:val="31"/>
          <w:szCs w:val="31"/>
          <w:lang w:eastAsia="zh-CN"/>
          <w14:textFill>
            <w14:solidFill>
              <w14:schemeClr w14:val="tx1"/>
            </w14:solidFill>
          </w14:textFill>
        </w:rPr>
        <w:t>）</w:t>
      </w:r>
      <w:r>
        <w:rPr>
          <w:rFonts w:hint="eastAsia" w:ascii="方正楷体_GBK" w:hAnsi="方正楷体_GBK" w:eastAsia="方正楷体_GBK" w:cs="方正楷体_GBK"/>
          <w:color w:val="000000" w:themeColor="text1"/>
          <w:spacing w:val="2"/>
          <w:sz w:val="31"/>
          <w:szCs w:val="31"/>
          <w14:textFill>
            <w14:solidFill>
              <w14:schemeClr w14:val="tx1"/>
            </w14:solidFill>
          </w14:textFill>
        </w:rPr>
        <w:t>主要指标</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0"/>
        <w:jc w:val="center"/>
        <w:textAlignment w:val="baseline"/>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pPr>
      <w:r>
        <w:rPr>
          <w:rFonts w:hint="eastAsia" w:ascii="Times New Roman" w:hAnsi="Times New Roman" w:eastAsia="方正仿宋_GBK" w:cs="Times New Roman"/>
          <w:snapToGrid w:val="0"/>
          <w:color w:val="000000" w:themeColor="text1"/>
          <w:spacing w:val="6"/>
          <w:kern w:val="0"/>
          <w:sz w:val="32"/>
          <w:szCs w:val="32"/>
          <w:lang w:val="en-US" w:eastAsia="zh-CN"/>
          <w14:textFill>
            <w14:solidFill>
              <w14:schemeClr w14:val="tx1"/>
            </w14:solidFill>
          </w14:textFill>
        </w:rPr>
        <w:t>“十四五”海陵区养老托育服务主要发展指标</w:t>
      </w:r>
    </w:p>
    <w:tbl>
      <w:tblPr>
        <w:tblStyle w:val="12"/>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738"/>
        <w:gridCol w:w="739"/>
        <w:gridCol w:w="3595"/>
        <w:gridCol w:w="818"/>
        <w:gridCol w:w="1064"/>
        <w:gridCol w:w="1145"/>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848" w:hRule="atLeast"/>
          <w:tblHeader/>
          <w:jc w:val="center"/>
        </w:trPr>
        <w:tc>
          <w:tcPr>
            <w:tcW w:w="5072" w:type="dxa"/>
            <w:gridSpan w:val="3"/>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方正黑体_GBK"/>
                <w:color w:val="000000" w:themeColor="text1"/>
                <w:kern w:val="0"/>
                <w:sz w:val="24"/>
                <w:szCs w:val="24"/>
                <w14:textFill>
                  <w14:solidFill>
                    <w14:schemeClr w14:val="tx1"/>
                  </w14:solidFill>
                </w14:textFill>
              </w:rPr>
            </w:pPr>
            <w:r>
              <w:rPr>
                <w:rFonts w:ascii="Times New Roman" w:hAnsi="Times New Roman" w:eastAsia="方正黑体_GBK"/>
                <w:color w:val="000000" w:themeColor="text1"/>
                <w:kern w:val="0"/>
                <w:sz w:val="24"/>
                <w:szCs w:val="24"/>
                <w14:textFill>
                  <w14:solidFill>
                    <w14:schemeClr w14:val="tx1"/>
                  </w14:solidFill>
                </w14:textFill>
              </w:rPr>
              <w:t>指标名称</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方正黑体_GBK"/>
                <w:color w:val="000000" w:themeColor="text1"/>
                <w:kern w:val="0"/>
                <w:sz w:val="24"/>
                <w:szCs w:val="24"/>
                <w14:textFill>
                  <w14:solidFill>
                    <w14:schemeClr w14:val="tx1"/>
                  </w14:solidFill>
                </w14:textFill>
              </w:rPr>
            </w:pPr>
            <w:r>
              <w:rPr>
                <w:rFonts w:ascii="Times New Roman" w:hAnsi="Times New Roman" w:eastAsia="方正黑体_GBK"/>
                <w:color w:val="000000" w:themeColor="text1"/>
                <w:kern w:val="0"/>
                <w:sz w:val="24"/>
                <w:szCs w:val="24"/>
                <w14:textFill>
                  <w14:solidFill>
                    <w14:schemeClr w14:val="tx1"/>
                  </w14:solidFill>
                </w14:textFill>
              </w:rPr>
              <w:t>单位</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pacing w:line="300" w:lineRule="exact"/>
              <w:ind w:firstLine="0" w:firstLineChars="0"/>
              <w:jc w:val="center"/>
              <w:textAlignment w:val="baseline"/>
              <w:rPr>
                <w:rFonts w:ascii="Times New Roman" w:hAnsi="Times New Roman" w:eastAsia="方正黑体_GBK"/>
                <w:color w:val="000000" w:themeColor="text1"/>
                <w:kern w:val="0"/>
                <w:sz w:val="24"/>
                <w:szCs w:val="24"/>
                <w14:textFill>
                  <w14:solidFill>
                    <w14:schemeClr w14:val="tx1"/>
                  </w14:solidFill>
                </w14:textFill>
              </w:rPr>
            </w:pPr>
            <w:r>
              <w:rPr>
                <w:rFonts w:ascii="Times New Roman" w:hAnsi="Times New Roman" w:eastAsia="方正黑体_GBK"/>
                <w:color w:val="000000" w:themeColor="text1"/>
                <w:kern w:val="0"/>
                <w:sz w:val="24"/>
                <w:szCs w:val="24"/>
                <w14:textFill>
                  <w14:solidFill>
                    <w14:schemeClr w14:val="tx1"/>
                  </w14:solidFill>
                </w14:textFill>
              </w:rPr>
              <w:t>2022年</w:t>
            </w:r>
          </w:p>
          <w:p>
            <w:pPr>
              <w:keepNext w:val="0"/>
              <w:keepLines w:val="0"/>
              <w:pageBreakBefore w:val="0"/>
              <w:widowControl/>
              <w:kinsoku w:val="0"/>
              <w:wordWrap/>
              <w:overflowPunct w:val="0"/>
              <w:topLinePunct w:val="0"/>
              <w:autoSpaceDE w:val="0"/>
              <w:autoSpaceDN w:val="0"/>
              <w:bidi w:val="0"/>
              <w:adjustRightInd w:val="0"/>
              <w:spacing w:line="300" w:lineRule="exact"/>
              <w:ind w:firstLine="0" w:firstLineChars="0"/>
              <w:jc w:val="center"/>
              <w:textAlignment w:val="baseline"/>
              <w:rPr>
                <w:rFonts w:ascii="Times New Roman" w:hAnsi="Times New Roman" w:eastAsia="方正黑体_GBK"/>
                <w:color w:val="000000" w:themeColor="text1"/>
                <w:kern w:val="0"/>
                <w:sz w:val="24"/>
                <w:szCs w:val="24"/>
                <w14:textFill>
                  <w14:solidFill>
                    <w14:schemeClr w14:val="tx1"/>
                  </w14:solidFill>
                </w14:textFill>
              </w:rPr>
            </w:pPr>
            <w:r>
              <w:rPr>
                <w:rFonts w:ascii="Times New Roman" w:hAnsi="Times New Roman" w:eastAsia="方正黑体_GBK"/>
                <w:color w:val="000000" w:themeColor="text1"/>
                <w:kern w:val="0"/>
                <w:sz w:val="24"/>
                <w:szCs w:val="24"/>
                <w14:textFill>
                  <w14:solidFill>
                    <w14:schemeClr w14:val="tx1"/>
                  </w14:solidFill>
                </w14:textFill>
              </w:rPr>
              <w:t>现状值</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pacing w:line="300" w:lineRule="exact"/>
              <w:ind w:firstLine="0" w:firstLineChars="0"/>
              <w:jc w:val="center"/>
              <w:textAlignment w:val="baseline"/>
              <w:rPr>
                <w:rFonts w:ascii="Times New Roman" w:hAnsi="Times New Roman" w:eastAsia="方正黑体_GBK"/>
                <w:color w:val="000000" w:themeColor="text1"/>
                <w:kern w:val="0"/>
                <w:sz w:val="24"/>
                <w:szCs w:val="24"/>
                <w14:textFill>
                  <w14:solidFill>
                    <w14:schemeClr w14:val="tx1"/>
                  </w14:solidFill>
                </w14:textFill>
              </w:rPr>
            </w:pPr>
            <w:r>
              <w:rPr>
                <w:rFonts w:ascii="Times New Roman" w:hAnsi="Times New Roman" w:eastAsia="方正黑体_GBK"/>
                <w:color w:val="000000" w:themeColor="text1"/>
                <w:kern w:val="0"/>
                <w:sz w:val="24"/>
                <w:szCs w:val="24"/>
                <w14:textFill>
                  <w14:solidFill>
                    <w14:schemeClr w14:val="tx1"/>
                  </w14:solidFill>
                </w14:textFill>
              </w:rPr>
              <w:t>2025年</w:t>
            </w:r>
          </w:p>
          <w:p>
            <w:pPr>
              <w:keepNext w:val="0"/>
              <w:keepLines w:val="0"/>
              <w:pageBreakBefore w:val="0"/>
              <w:widowControl/>
              <w:kinsoku w:val="0"/>
              <w:wordWrap/>
              <w:overflowPunct w:val="0"/>
              <w:topLinePunct w:val="0"/>
              <w:autoSpaceDE w:val="0"/>
              <w:autoSpaceDN w:val="0"/>
              <w:bidi w:val="0"/>
              <w:adjustRightInd w:val="0"/>
              <w:spacing w:line="300" w:lineRule="exact"/>
              <w:ind w:firstLine="0" w:firstLineChars="0"/>
              <w:jc w:val="center"/>
              <w:textAlignment w:val="baseline"/>
              <w:rPr>
                <w:rFonts w:ascii="Times New Roman" w:hAnsi="Times New Roman" w:eastAsia="方正黑体_GBK"/>
                <w:color w:val="000000" w:themeColor="text1"/>
                <w:kern w:val="0"/>
                <w:sz w:val="24"/>
                <w:szCs w:val="24"/>
                <w14:textFill>
                  <w14:solidFill>
                    <w14:schemeClr w14:val="tx1"/>
                  </w14:solidFill>
                </w14:textFill>
              </w:rPr>
            </w:pPr>
            <w:r>
              <w:rPr>
                <w:rFonts w:ascii="Times New Roman" w:hAnsi="Times New Roman" w:eastAsia="方正黑体_GBK"/>
                <w:color w:val="000000" w:themeColor="text1"/>
                <w:kern w:val="0"/>
                <w:sz w:val="24"/>
                <w:szCs w:val="24"/>
                <w14:textFill>
                  <w14:solidFill>
                    <w14:schemeClr w14:val="tx1"/>
                  </w14:solidFill>
                </w14:textFill>
              </w:rPr>
              <w:t>目标值</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pacing w:line="300" w:lineRule="exact"/>
              <w:ind w:firstLine="0" w:firstLineChars="0"/>
              <w:jc w:val="center"/>
              <w:textAlignment w:val="baseline"/>
              <w:rPr>
                <w:rFonts w:ascii="Times New Roman" w:hAnsi="Times New Roman" w:eastAsia="方正黑体_GBK"/>
                <w:color w:val="000000" w:themeColor="text1"/>
                <w:kern w:val="0"/>
                <w:sz w:val="24"/>
                <w:szCs w:val="24"/>
                <w14:textFill>
                  <w14:solidFill>
                    <w14:schemeClr w14:val="tx1"/>
                  </w14:solidFill>
                </w14:textFill>
              </w:rPr>
            </w:pPr>
            <w:r>
              <w:rPr>
                <w:rFonts w:ascii="Times New Roman" w:hAnsi="Times New Roman" w:eastAsia="方正黑体_GBK"/>
                <w:color w:val="000000" w:themeColor="text1"/>
                <w:kern w:val="0"/>
                <w:sz w:val="24"/>
                <w:szCs w:val="24"/>
                <w14:textFill>
                  <w14:solidFill>
                    <w14:schemeClr w14:val="tx1"/>
                  </w14:solidFill>
                </w14:textFill>
              </w:rPr>
              <w:t>指标</w:t>
            </w:r>
          </w:p>
          <w:p>
            <w:pPr>
              <w:keepNext w:val="0"/>
              <w:keepLines w:val="0"/>
              <w:pageBreakBefore w:val="0"/>
              <w:widowControl/>
              <w:kinsoku w:val="0"/>
              <w:wordWrap/>
              <w:overflowPunct w:val="0"/>
              <w:topLinePunct w:val="0"/>
              <w:autoSpaceDE w:val="0"/>
              <w:autoSpaceDN w:val="0"/>
              <w:bidi w:val="0"/>
              <w:adjustRightInd w:val="0"/>
              <w:spacing w:line="300" w:lineRule="exact"/>
              <w:ind w:firstLine="0" w:firstLineChars="0"/>
              <w:jc w:val="center"/>
              <w:textAlignment w:val="baseline"/>
              <w:rPr>
                <w:rFonts w:ascii="Times New Roman" w:hAnsi="Times New Roman" w:eastAsia="方正黑体_GBK"/>
                <w:color w:val="000000" w:themeColor="text1"/>
                <w:kern w:val="0"/>
                <w:sz w:val="24"/>
                <w:szCs w:val="24"/>
                <w14:textFill>
                  <w14:solidFill>
                    <w14:schemeClr w14:val="tx1"/>
                  </w14:solidFill>
                </w14:textFill>
              </w:rPr>
            </w:pPr>
            <w:r>
              <w:rPr>
                <w:rFonts w:ascii="Times New Roman" w:hAnsi="Times New Roman" w:eastAsia="方正黑体_GBK"/>
                <w:color w:val="000000" w:themeColor="text1"/>
                <w:kern w:val="0"/>
                <w:sz w:val="24"/>
                <w:szCs w:val="24"/>
                <w14:textFill>
                  <w14:solidFill>
                    <w14:schemeClr w14:val="tx1"/>
                  </w14:solidFill>
                </w14:textFill>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738" w:type="dxa"/>
            <w:vMerge w:val="restart"/>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eastAsia="宋体"/>
                <w:color w:val="000000" w:themeColor="text1"/>
                <w:kern w:val="0"/>
                <w:sz w:val="24"/>
                <w:szCs w:val="24"/>
                <w:lang w:val="en-US" w:eastAsia="zh-CN"/>
                <w14:textFill>
                  <w14:solidFill>
                    <w14:schemeClr w14:val="tx1"/>
                  </w14:solidFill>
                </w14:textFill>
              </w:rPr>
              <w:t>养老</w:t>
            </w:r>
            <w:r>
              <w:rPr>
                <w:rFonts w:ascii="Times New Roman" w:hAnsi="Times New Roman"/>
                <w:color w:val="000000" w:themeColor="text1"/>
                <w:kern w:val="0"/>
                <w:sz w:val="24"/>
                <w:szCs w:val="24"/>
                <w14:textFill>
                  <w14:solidFill>
                    <w14:schemeClr w14:val="tx1"/>
                  </w14:solidFill>
                </w14:textFill>
              </w:rPr>
              <w:t>服务能力</w:t>
            </w:r>
          </w:p>
        </w:tc>
        <w:tc>
          <w:tcPr>
            <w:tcW w:w="739" w:type="dxa"/>
            <w:vMerge w:val="restart"/>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hint="default" w:ascii="Times New Roman" w:hAnsi="Times New Roman" w:eastAsia="宋体"/>
                <w:color w:val="000000" w:themeColor="text1"/>
                <w:kern w:val="0"/>
                <w:sz w:val="24"/>
                <w:szCs w:val="24"/>
                <w:lang w:val="en-US" w:eastAsia="zh-CN"/>
                <w14:textFill>
                  <w14:solidFill>
                    <w14:schemeClr w14:val="tx1"/>
                  </w14:solidFill>
                </w14:textFill>
              </w:rPr>
            </w:pPr>
            <w:r>
              <w:rPr>
                <w:rFonts w:hint="default" w:ascii="Times New Roman" w:hAnsi="Times New Roman" w:eastAsia="宋体"/>
                <w:color w:val="000000" w:themeColor="text1"/>
                <w:kern w:val="0"/>
                <w:sz w:val="24"/>
                <w:szCs w:val="24"/>
                <w:lang w:val="en-US" w:eastAsia="zh-CN"/>
                <w14:textFill>
                  <w14:solidFill>
                    <w14:schemeClr w14:val="tx1"/>
                  </w14:solidFill>
                </w14:textFill>
              </w:rPr>
              <w:t>居家社区</w:t>
            </w:r>
          </w:p>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hint="eastAsia" w:ascii="Times New Roman" w:hAnsi="Times New Roman" w:eastAsia="宋体"/>
                <w:color w:val="000000" w:themeColor="text1"/>
                <w:kern w:val="0"/>
                <w:sz w:val="24"/>
                <w:szCs w:val="24"/>
                <w:lang w:val="en-US" w:eastAsia="zh-CN"/>
                <w14:textFill>
                  <w14:solidFill>
                    <w14:schemeClr w14:val="tx1"/>
                  </w14:solidFill>
                </w14:textFill>
              </w:rPr>
            </w:pPr>
            <w:r>
              <w:rPr>
                <w:rFonts w:hint="default" w:ascii="Times New Roman" w:hAnsi="Times New Roman" w:eastAsia="宋体"/>
                <w:color w:val="000000" w:themeColor="text1"/>
                <w:kern w:val="0"/>
                <w:sz w:val="24"/>
                <w:szCs w:val="24"/>
                <w:lang w:val="en-US" w:eastAsia="zh-CN"/>
                <w14:textFill>
                  <w14:solidFill>
                    <w14:schemeClr w14:val="tx1"/>
                  </w14:solidFill>
                </w14:textFill>
              </w:rPr>
              <w:t>养老</w:t>
            </w: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jc w:val="left"/>
              <w:textAlignment w:val="baseline"/>
              <w:rPr>
                <w:rFonts w:hint="default" w:ascii="Times New Roman" w:hAnsi="Times New Roman"/>
                <w:color w:val="000000" w:themeColor="text1"/>
                <w:kern w:val="0"/>
                <w:sz w:val="24"/>
                <w:szCs w:val="24"/>
                <w:lang w:val="en-US" w:eastAsia="zh-CN"/>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老年人接受居家上门服务覆盖率</w:t>
            </w:r>
          </w:p>
        </w:tc>
        <w:tc>
          <w:tcPr>
            <w:tcW w:w="81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w:t>
            </w:r>
          </w:p>
        </w:tc>
        <w:tc>
          <w:tcPr>
            <w:tcW w:w="1064"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宋体"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eastAsia="宋体"/>
                <w:color w:val="000000" w:themeColor="text1"/>
                <w:kern w:val="0"/>
                <w:sz w:val="24"/>
                <w:szCs w:val="24"/>
                <w:lang w:val="en-US" w:eastAsia="zh-CN"/>
                <w14:textFill>
                  <w14:solidFill>
                    <w14:schemeClr w14:val="tx1"/>
                  </w14:solidFill>
                </w14:textFill>
              </w:rPr>
              <w:t>16</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14:textFill>
                  <w14:solidFill>
                    <w14:schemeClr w14:val="tx1"/>
                  </w14:solidFill>
                </w14:textFill>
              </w:rPr>
              <w:t>18</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738"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hint="eastAsia" w:ascii="Times New Roman" w:hAnsi="Times New Roman" w:eastAsia="宋体"/>
                <w:color w:val="000000" w:themeColor="text1"/>
                <w:kern w:val="0"/>
                <w:sz w:val="24"/>
                <w:szCs w:val="24"/>
                <w:lang w:val="en-US" w:eastAsia="zh-CN"/>
                <w14:textFill>
                  <w14:solidFill>
                    <w14:schemeClr w14:val="tx1"/>
                  </w14:solidFill>
                </w14:textFill>
              </w:rPr>
            </w:pPr>
          </w:p>
        </w:tc>
        <w:tc>
          <w:tcPr>
            <w:tcW w:w="739"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hint="default" w:ascii="Times New Roman" w:hAnsi="Times New Roman" w:eastAsia="宋体"/>
                <w:color w:val="000000" w:themeColor="text1"/>
                <w:kern w:val="0"/>
                <w:sz w:val="24"/>
                <w:szCs w:val="24"/>
                <w:lang w:val="en-US" w:eastAsia="zh-CN"/>
                <w14:textFill>
                  <w14:solidFill>
                    <w14:schemeClr w14:val="tx1"/>
                  </w14:solidFill>
                </w14:textFill>
              </w:rPr>
            </w:pP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hint="eastAsia" w:ascii="Times New Roman" w:hAnsi="Times New Roman" w:eastAsia="Arial"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居家</w:t>
            </w:r>
            <w:r>
              <w:rPr>
                <w:rFonts w:hint="default" w:ascii="Times New Roman" w:hAnsi="Times New Roman"/>
                <w:color w:val="000000" w:themeColor="text1"/>
                <w:kern w:val="0"/>
                <w:sz w:val="24"/>
                <w:szCs w:val="24"/>
                <w:lang w:val="en-US" w:eastAsia="zh-CN"/>
                <w14:textFill>
                  <w14:solidFill>
                    <w14:schemeClr w14:val="tx1"/>
                  </w14:solidFill>
                </w14:textFill>
              </w:rPr>
              <w:t>适老化改造户数</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t>户</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宋体"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t>900</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Arial" w:cs="Arial"/>
                <w:snapToGrid w:val="0"/>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≥150</w:t>
            </w:r>
            <w:r>
              <w:rPr>
                <w:rFonts w:ascii="Times New Roman" w:hAnsi="Times New Roman"/>
                <w:color w:val="000000" w:themeColor="text1"/>
                <w:kern w:val="0"/>
                <w:sz w:val="24"/>
                <w:szCs w:val="24"/>
                <w14:textFill>
                  <w14:solidFill>
                    <w14:schemeClr w14:val="tx1"/>
                  </w14:solidFill>
                </w14:textFill>
              </w:rPr>
              <w:t>0</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Arial" w:cs="Arial"/>
                <w:snapToGrid w:val="0"/>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738"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739"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hint="eastAsia" w:ascii="Times New Roman" w:hAnsi="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color w:val="000000" w:themeColor="text1"/>
                <w:kern w:val="0"/>
                <w:sz w:val="24"/>
                <w:szCs w:val="24"/>
                <w:highlight w:val="none"/>
                <w:lang w:val="en-US" w:eastAsia="zh-CN"/>
                <w14:textFill>
                  <w14:solidFill>
                    <w14:schemeClr w14:val="tx1"/>
                  </w14:solidFill>
                </w14:textFill>
              </w:rPr>
              <w:t>80周岁</w:t>
            </w:r>
            <w:r>
              <w:rPr>
                <w:rFonts w:hint="eastAsia" w:ascii="Times New Roman" w:hAnsi="Times New Roman"/>
                <w:color w:val="000000" w:themeColor="text1"/>
                <w:kern w:val="0"/>
                <w:sz w:val="24"/>
                <w:szCs w:val="24"/>
                <w:highlight w:val="none"/>
                <w:lang w:val="en-US" w:eastAsia="zh-CN"/>
                <w14:textFill>
                  <w14:solidFill>
                    <w14:schemeClr w14:val="tx1"/>
                  </w14:solidFill>
                </w14:textFill>
              </w:rPr>
              <w:t>及</w:t>
            </w:r>
            <w:r>
              <w:rPr>
                <w:rFonts w:hint="default" w:ascii="Times New Roman" w:hAnsi="Times New Roman"/>
                <w:color w:val="000000" w:themeColor="text1"/>
                <w:kern w:val="0"/>
                <w:sz w:val="24"/>
                <w:szCs w:val="24"/>
                <w:highlight w:val="none"/>
                <w:lang w:val="en-US" w:eastAsia="zh-CN"/>
                <w14:textFill>
                  <w14:solidFill>
                    <w14:schemeClr w14:val="tx1"/>
                  </w14:solidFill>
                </w14:textFill>
              </w:rPr>
              <w:t>以上老年人能力评估覆盖率</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t>%</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Arial"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cs="Arial"/>
                <w:snapToGrid w:val="0"/>
                <w:color w:val="000000" w:themeColor="text1"/>
                <w:kern w:val="0"/>
                <w:sz w:val="24"/>
                <w:szCs w:val="24"/>
                <w:lang w:val="en-US" w:eastAsia="zh-CN"/>
                <w14:textFill>
                  <w14:solidFill>
                    <w14:schemeClr w14:val="tx1"/>
                  </w14:solidFill>
                </w14:textFill>
              </w:rPr>
              <w:t>100</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14:textFill>
                  <w14:solidFill>
                    <w14:schemeClr w14:val="tx1"/>
                  </w14:solidFill>
                </w14:textFill>
              </w:rPr>
              <w:t>100</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738"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739"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hint="eastAsia" w:ascii="Times New Roman" w:hAnsi="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新建居住（小）区配套建设养老服务设施</w:t>
            </w:r>
          </w:p>
        </w:tc>
        <w:tc>
          <w:tcPr>
            <w:tcW w:w="818" w:type="dxa"/>
            <w:tcBorders>
              <w:tl2br w:val="nil"/>
              <w:tr2bl w:val="nil"/>
            </w:tcBorders>
            <w:vAlign w:val="center"/>
          </w:tcPr>
          <w:p>
            <w:pPr>
              <w:keepNext w:val="0"/>
              <w:keepLines w:val="0"/>
              <w:pageBreakBefore w:val="0"/>
              <w:widowControl/>
              <w:kinsoku w:val="0"/>
              <w:wordWrap/>
              <w:topLinePunct w:val="0"/>
              <w:autoSpaceDE w:val="0"/>
              <w:autoSpaceDN w:val="0"/>
              <w:bidi w:val="0"/>
              <w:adjustRightInd w:val="0"/>
              <w:snapToGrid/>
              <w:spacing w:line="300" w:lineRule="exact"/>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w:t>
            </w:r>
          </w:p>
        </w:tc>
        <w:tc>
          <w:tcPr>
            <w:tcW w:w="1064" w:type="dxa"/>
            <w:tcBorders>
              <w:tl2br w:val="nil"/>
              <w:tr2bl w:val="nil"/>
            </w:tcBorders>
            <w:vAlign w:val="center"/>
          </w:tcPr>
          <w:p>
            <w:pPr>
              <w:keepNext w:val="0"/>
              <w:keepLines w:val="0"/>
              <w:pageBreakBefore w:val="0"/>
              <w:widowControl/>
              <w:kinsoku w:val="0"/>
              <w:wordWrap/>
              <w:topLinePunct w:val="0"/>
              <w:autoSpaceDE w:val="0"/>
              <w:autoSpaceDN w:val="0"/>
              <w:bidi w:val="0"/>
              <w:adjustRightInd w:val="0"/>
              <w:snapToGrid/>
              <w:spacing w:line="300" w:lineRule="exact"/>
              <w:jc w:val="center"/>
              <w:textAlignment w:val="baseline"/>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100</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738"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739"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hint="eastAsia" w:ascii="Times New Roman" w:hAnsi="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65岁及以上老年人城乡社区规范健康管理服务率</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t>%</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宋体"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t>65</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Arial" w:cs="Arial"/>
                <w:snapToGrid w:val="0"/>
                <w:color w:val="000000" w:themeColor="text1"/>
                <w:kern w:val="0"/>
                <w:sz w:val="24"/>
                <w:szCs w:val="24"/>
                <w:lang w:val="en-US"/>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≥66</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预期</w:t>
            </w:r>
            <w:r>
              <w:rPr>
                <w:rFonts w:hint="default" w:ascii="Times New Roman" w:hAnsi="Times New Roman"/>
                <w:color w:val="000000" w:themeColor="text1"/>
                <w:kern w:val="0"/>
                <w:sz w:val="24"/>
                <w:szCs w:val="24"/>
                <w14:textFill>
                  <w14:solidFill>
                    <w14:schemeClr w14:val="tx1"/>
                  </w14:solidFill>
                </w14:textFill>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738"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739"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hint="eastAsia" w:ascii="Times New Roman" w:hAnsi="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每千名老年人养老床位数</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t>张</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宋体" w:cs="Arial"/>
                <w:snapToGrid w:val="0"/>
                <w:color w:val="000000" w:themeColor="text1"/>
                <w:kern w:val="0"/>
                <w:sz w:val="24"/>
                <w:szCs w:val="24"/>
                <w:lang w:val="en-US" w:eastAsia="zh-CN"/>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43</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738"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739" w:type="dxa"/>
            <w:vMerge w:val="restart"/>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lang w:val="en-US" w:eastAsia="zh-CN"/>
                <w14:textFill>
                  <w14:solidFill>
                    <w14:schemeClr w14:val="tx1"/>
                  </w14:solidFill>
                </w14:textFill>
              </w:rPr>
              <w:t>机构养</w:t>
            </w:r>
            <w:r>
              <w:rPr>
                <w:rFonts w:hint="default" w:ascii="Times New Roman" w:hAnsi="Times New Roman"/>
                <w:color w:val="000000" w:themeColor="text1"/>
                <w:kern w:val="0"/>
                <w:sz w:val="24"/>
                <w:szCs w:val="24"/>
                <w14:textFill>
                  <w14:solidFill>
                    <w14:schemeClr w14:val="tx1"/>
                  </w14:solidFill>
                </w14:textFill>
              </w:rPr>
              <w:t>老</w:t>
            </w: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hint="eastAsia" w:ascii="Times New Roman" w:hAnsi="Times New Roman"/>
                <w:color w:val="000000" w:themeColor="text1"/>
                <w:kern w:val="0"/>
                <w:sz w:val="24"/>
                <w:szCs w:val="24"/>
                <w:lang w:val="en-US" w:eastAsia="zh-CN"/>
                <w14:textFill>
                  <w14:solidFill>
                    <w14:schemeClr w14:val="tx1"/>
                  </w14:solidFill>
                </w14:textFill>
              </w:rPr>
            </w:pPr>
            <w:r>
              <w:rPr>
                <w:rFonts w:hint="default" w:ascii="Times New Roman" w:hAnsi="Times New Roman"/>
                <w:color w:val="000000" w:themeColor="text1"/>
                <w:kern w:val="0"/>
                <w:sz w:val="24"/>
                <w:szCs w:val="24"/>
                <w:lang w:val="en-US" w:eastAsia="zh-CN"/>
                <w14:textFill>
                  <w14:solidFill>
                    <w14:schemeClr w14:val="tx1"/>
                  </w14:solidFill>
                </w14:textFill>
              </w:rPr>
              <w:t>护理型床位数占养老机构床位总数比例</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lang w:val="en-US" w:eastAsia="zh-CN"/>
                <w14:textFill>
                  <w14:solidFill>
                    <w14:schemeClr w14:val="tx1"/>
                  </w14:solidFill>
                </w14:textFill>
              </w:rPr>
              <w:t>%</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宋体"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eastAsia="宋体"/>
                <w:color w:val="000000" w:themeColor="text1"/>
                <w:kern w:val="0"/>
                <w:sz w:val="24"/>
                <w:szCs w:val="24"/>
                <w:lang w:val="en-US" w:eastAsia="zh-CN"/>
                <w14:textFill>
                  <w14:solidFill>
                    <w14:schemeClr w14:val="tx1"/>
                  </w14:solidFill>
                </w14:textFill>
              </w:rPr>
              <w:t>100</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100</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738"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739"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hint="eastAsia" w:ascii="Times New Roman" w:hAnsi="Times New Roman"/>
                <w:color w:val="000000" w:themeColor="text1"/>
                <w:kern w:val="0"/>
                <w:sz w:val="24"/>
                <w:szCs w:val="24"/>
                <w:lang w:val="en-US" w:eastAsia="zh-CN"/>
                <w14:textFill>
                  <w14:solidFill>
                    <w14:schemeClr w14:val="tx1"/>
                  </w14:solidFill>
                </w14:textFill>
              </w:rPr>
            </w:pPr>
            <w:r>
              <w:rPr>
                <w:rFonts w:hint="default" w:ascii="Times New Roman" w:hAnsi="Times New Roman"/>
                <w:color w:val="000000" w:themeColor="text1"/>
                <w:kern w:val="0"/>
                <w:sz w:val="24"/>
                <w:szCs w:val="24"/>
                <w:lang w:val="en-US" w:eastAsia="zh-CN"/>
                <w14:textFill>
                  <w14:solidFill>
                    <w14:schemeClr w14:val="tx1"/>
                  </w14:solidFill>
                </w14:textFill>
              </w:rPr>
              <w:t>区级护理院建成数</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t>家</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宋体" w:cs="Arial"/>
                <w:snapToGrid w:val="0"/>
                <w:color w:val="000000" w:themeColor="text1"/>
                <w:kern w:val="0"/>
                <w:sz w:val="24"/>
                <w:szCs w:val="24"/>
                <w:lang w:val="en-US" w:eastAsia="zh-CN"/>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t>1</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738"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739"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hint="eastAsia" w:ascii="Times New Roman" w:hAnsi="Times New Roman"/>
                <w:color w:val="000000" w:themeColor="text1"/>
                <w:kern w:val="0"/>
                <w:sz w:val="24"/>
                <w:szCs w:val="24"/>
                <w:lang w:val="en-US" w:eastAsia="zh-CN"/>
                <w14:textFill>
                  <w14:solidFill>
                    <w14:schemeClr w14:val="tx1"/>
                  </w14:solidFill>
                </w14:textFill>
              </w:rPr>
            </w:pPr>
            <w:r>
              <w:rPr>
                <w:rFonts w:hint="default" w:ascii="Times New Roman" w:hAnsi="Times New Roman"/>
                <w:color w:val="000000" w:themeColor="text1"/>
                <w:kern w:val="0"/>
                <w:sz w:val="24"/>
                <w:szCs w:val="24"/>
                <w:lang w:val="en-US" w:eastAsia="zh-CN"/>
                <w14:textFill>
                  <w14:solidFill>
                    <w14:schemeClr w14:val="tx1"/>
                  </w14:solidFill>
                </w14:textFill>
              </w:rPr>
              <w:t>等级养老机构占比</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lang w:val="en-US" w:eastAsia="zh-CN"/>
                <w14:textFill>
                  <w14:solidFill>
                    <w14:schemeClr w14:val="tx1"/>
                  </w14:solidFill>
                </w14:textFill>
              </w:rPr>
              <w:t>%</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宋体"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eastAsia="宋体"/>
                <w:color w:val="000000" w:themeColor="text1"/>
                <w:kern w:val="0"/>
                <w:sz w:val="24"/>
                <w:szCs w:val="24"/>
                <w:lang w:val="en-US" w:eastAsia="zh-CN"/>
                <w14:textFill>
                  <w14:solidFill>
                    <w14:schemeClr w14:val="tx1"/>
                  </w14:solidFill>
                </w14:textFill>
              </w:rPr>
              <w:t>90</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14:textFill>
                  <w14:solidFill>
                    <w14:schemeClr w14:val="tx1"/>
                  </w14:solidFill>
                </w14:textFill>
              </w:rPr>
              <w:t>100</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738"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739" w:type="dxa"/>
            <w:vMerge w:val="restart"/>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hint="eastAsia" w:ascii="Times New Roman" w:hAnsi="Times New Roman" w:eastAsia="宋体"/>
                <w:color w:val="000000" w:themeColor="text1"/>
                <w:kern w:val="0"/>
                <w:sz w:val="24"/>
                <w:szCs w:val="24"/>
                <w:lang w:val="en-US" w:eastAsia="zh-CN"/>
                <w14:textFill>
                  <w14:solidFill>
                    <w14:schemeClr w14:val="tx1"/>
                  </w14:solidFill>
                </w14:textFill>
              </w:rPr>
            </w:pPr>
            <w:r>
              <w:rPr>
                <w:rFonts w:hint="eastAsia" w:ascii="Times New Roman" w:hAnsi="Times New Roman" w:eastAsia="宋体"/>
                <w:color w:val="000000" w:themeColor="text1"/>
                <w:kern w:val="0"/>
                <w:sz w:val="24"/>
                <w:szCs w:val="24"/>
                <w:lang w:val="en-US" w:eastAsia="zh-CN"/>
                <w14:textFill>
                  <w14:solidFill>
                    <w14:schemeClr w14:val="tx1"/>
                  </w14:solidFill>
                </w14:textFill>
              </w:rPr>
              <w:t>农村保障</w:t>
            </w: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hint="eastAsia" w:ascii="Times New Roman" w:hAnsi="Times New Roman"/>
                <w:color w:val="000000" w:themeColor="text1"/>
                <w:kern w:val="0"/>
                <w:sz w:val="24"/>
                <w:szCs w:val="24"/>
                <w:lang w:val="en-US" w:eastAsia="zh-CN"/>
                <w14:textFill>
                  <w14:solidFill>
                    <w14:schemeClr w14:val="tx1"/>
                  </w14:solidFill>
                </w14:textFill>
              </w:rPr>
            </w:pPr>
            <w:r>
              <w:rPr>
                <w:rFonts w:hint="default" w:ascii="Times New Roman" w:hAnsi="Times New Roman"/>
                <w:color w:val="000000" w:themeColor="text1"/>
                <w:kern w:val="0"/>
                <w:sz w:val="24"/>
                <w:szCs w:val="24"/>
                <w:lang w:val="en-US" w:eastAsia="zh-CN"/>
                <w14:textFill>
                  <w14:solidFill>
                    <w14:schemeClr w14:val="tx1"/>
                  </w14:solidFill>
                </w14:textFill>
              </w:rPr>
              <w:t>农村特困人员供养服务机构护理型床位占比</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lang w:val="en-US" w:eastAsia="zh-CN"/>
                <w14:textFill>
                  <w14:solidFill>
                    <w14:schemeClr w14:val="tx1"/>
                  </w14:solidFill>
                </w14:textFill>
              </w:rPr>
              <w:t>（%）</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100</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Arial"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100</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738"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739"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hint="eastAsia" w:ascii="Times New Roman" w:hAnsi="Times New Roman"/>
                <w:color w:val="000000" w:themeColor="text1"/>
                <w:kern w:val="0"/>
                <w:sz w:val="24"/>
                <w:szCs w:val="24"/>
                <w:lang w:val="en-US" w:eastAsia="zh-CN"/>
                <w14:textFill>
                  <w14:solidFill>
                    <w14:schemeClr w14:val="tx1"/>
                  </w14:solidFill>
                </w14:textFill>
              </w:rPr>
            </w:pPr>
            <w:r>
              <w:rPr>
                <w:rFonts w:hint="default" w:ascii="Times New Roman" w:hAnsi="Times New Roman"/>
                <w:color w:val="000000" w:themeColor="text1"/>
                <w:kern w:val="0"/>
                <w:sz w:val="24"/>
                <w:szCs w:val="24"/>
                <w:lang w:val="en-US" w:eastAsia="zh-CN"/>
                <w14:textFill>
                  <w14:solidFill>
                    <w14:schemeClr w14:val="tx1"/>
                  </w14:solidFill>
                </w14:textFill>
              </w:rPr>
              <w:t>标准化农村区域性养老服务中心建成数</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lang w:val="en-US" w:eastAsia="zh-CN"/>
                <w14:textFill>
                  <w14:solidFill>
                    <w14:schemeClr w14:val="tx1"/>
                  </w14:solidFill>
                </w14:textFill>
              </w:rPr>
              <w:t>家</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eastAsia" w:ascii="Times New Roman" w:hAnsi="Times New Roman" w:eastAsia="宋体" w:cs="Arial"/>
                <w:snapToGrid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kern w:val="0"/>
                <w:sz w:val="24"/>
                <w:szCs w:val="24"/>
                <w:highlight w:val="none"/>
                <w:lang w:val="en-US" w:eastAsia="zh-CN"/>
                <w14:textFill>
                  <w14:solidFill>
                    <w14:schemeClr w14:val="tx1"/>
                  </w14:solidFill>
                </w14:textFill>
              </w:rPr>
              <w:t>1</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Arial" w:cs="Arial"/>
                <w:snapToGrid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cs="Arial"/>
                <w:snapToGrid w:val="0"/>
                <w:color w:val="000000" w:themeColor="text1"/>
                <w:kern w:val="0"/>
                <w:sz w:val="24"/>
                <w:szCs w:val="24"/>
                <w:highlight w:val="none"/>
                <w:lang w:val="en-US" w:eastAsia="zh-CN"/>
                <w14:textFill>
                  <w14:solidFill>
                    <w14:schemeClr w14:val="tx1"/>
                  </w14:solidFill>
                </w14:textFill>
              </w:rPr>
              <w:t>3</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738"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739"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hint="eastAsia" w:ascii="Times New Roman" w:hAnsi="Times New Roman"/>
                <w:color w:val="000000" w:themeColor="text1"/>
                <w:kern w:val="0"/>
                <w:sz w:val="24"/>
                <w:szCs w:val="24"/>
                <w:lang w:val="en-US" w:eastAsia="zh-CN"/>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具备</w:t>
            </w:r>
            <w:r>
              <w:rPr>
                <w:rFonts w:hint="default" w:ascii="Times New Roman" w:hAnsi="Times New Roman"/>
                <w:color w:val="000000" w:themeColor="text1"/>
                <w:kern w:val="0"/>
                <w:sz w:val="24"/>
                <w:szCs w:val="24"/>
                <w:lang w:val="en-US" w:eastAsia="zh-CN"/>
                <w14:textFill>
                  <w14:solidFill>
                    <w14:schemeClr w14:val="tx1"/>
                  </w14:solidFill>
                </w14:textFill>
              </w:rPr>
              <w:t>失能</w:t>
            </w:r>
            <w:r>
              <w:rPr>
                <w:rFonts w:hint="eastAsia" w:ascii="Times New Roman" w:hAnsi="Times New Roman"/>
                <w:color w:val="000000" w:themeColor="text1"/>
                <w:kern w:val="0"/>
                <w:sz w:val="24"/>
                <w:szCs w:val="24"/>
                <w:lang w:val="en-US" w:eastAsia="zh-CN"/>
                <w14:textFill>
                  <w14:solidFill>
                    <w14:schemeClr w14:val="tx1"/>
                  </w14:solidFill>
                </w14:textFill>
              </w:rPr>
              <w:t>（</w:t>
            </w:r>
            <w:r>
              <w:rPr>
                <w:rFonts w:hint="default" w:ascii="Times New Roman" w:hAnsi="Times New Roman"/>
                <w:color w:val="000000" w:themeColor="text1"/>
                <w:kern w:val="0"/>
                <w:sz w:val="24"/>
                <w:szCs w:val="24"/>
                <w:lang w:val="en-US" w:eastAsia="zh-CN"/>
                <w14:textFill>
                  <w14:solidFill>
                    <w14:schemeClr w14:val="tx1"/>
                  </w14:solidFill>
                </w14:textFill>
              </w:rPr>
              <w:t>失智</w:t>
            </w:r>
            <w:r>
              <w:rPr>
                <w:rFonts w:hint="eastAsia" w:ascii="Times New Roman" w:hAnsi="Times New Roman"/>
                <w:color w:val="000000" w:themeColor="text1"/>
                <w:kern w:val="0"/>
                <w:sz w:val="24"/>
                <w:szCs w:val="24"/>
                <w:lang w:val="en-US" w:eastAsia="zh-CN"/>
                <w14:textFill>
                  <w14:solidFill>
                    <w14:schemeClr w14:val="tx1"/>
                  </w14:solidFill>
                </w14:textFill>
              </w:rPr>
              <w:t>）</w:t>
            </w:r>
            <w:r>
              <w:rPr>
                <w:rFonts w:hint="default" w:ascii="Times New Roman" w:hAnsi="Times New Roman"/>
                <w:color w:val="000000" w:themeColor="text1"/>
                <w:kern w:val="0"/>
                <w:sz w:val="24"/>
                <w:szCs w:val="24"/>
                <w:lang w:val="en-US" w:eastAsia="zh-CN"/>
                <w14:textFill>
                  <w14:solidFill>
                    <w14:schemeClr w14:val="tx1"/>
                  </w14:solidFill>
                </w14:textFill>
              </w:rPr>
              <w:t>特困人员集中供养</w:t>
            </w:r>
            <w:r>
              <w:rPr>
                <w:rFonts w:hint="eastAsia" w:ascii="Times New Roman" w:hAnsi="Times New Roman"/>
                <w:color w:val="000000" w:themeColor="text1"/>
                <w:kern w:val="0"/>
                <w:sz w:val="24"/>
                <w:szCs w:val="24"/>
                <w:lang w:val="en-US" w:eastAsia="zh-CN"/>
                <w14:textFill>
                  <w14:solidFill>
                    <w14:schemeClr w14:val="tx1"/>
                  </w14:solidFill>
                </w14:textFill>
              </w:rPr>
              <w:t>服务功能的</w:t>
            </w:r>
            <w:r>
              <w:rPr>
                <w:rFonts w:hint="default" w:ascii="Times New Roman" w:hAnsi="Times New Roman"/>
                <w:color w:val="000000" w:themeColor="text1"/>
                <w:kern w:val="0"/>
                <w:sz w:val="24"/>
                <w:szCs w:val="24"/>
                <w:lang w:val="en-US" w:eastAsia="zh-CN"/>
                <w14:textFill>
                  <w14:solidFill>
                    <w14:schemeClr w14:val="tx1"/>
                  </w14:solidFill>
                </w14:textFill>
              </w:rPr>
              <w:t>机构建成数</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lang w:val="en-US" w:eastAsia="zh-CN"/>
                <w14:textFill>
                  <w14:solidFill>
                    <w14:schemeClr w14:val="tx1"/>
                  </w14:solidFill>
                </w14:textFill>
              </w:rPr>
              <w:t>家</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eastAsia="宋体"/>
                <w:color w:val="000000" w:themeColor="text1"/>
                <w:kern w:val="0"/>
                <w:sz w:val="24"/>
                <w:szCs w:val="24"/>
                <w:lang w:val="en-US" w:eastAsia="zh-CN"/>
                <w14:textFill>
                  <w14:solidFill>
                    <w14:schemeClr w14:val="tx1"/>
                  </w14:solidFill>
                </w14:textFill>
              </w:rPr>
              <w:t>1</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eastAsia" w:ascii="Times New Roman" w:hAnsi="Times New Roman" w:eastAsia="Arial"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2</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1477" w:type="dxa"/>
            <w:gridSpan w:val="2"/>
            <w:vMerge w:val="restart"/>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pacing w:line="300" w:lineRule="exact"/>
              <w:jc w:val="center"/>
              <w:textAlignment w:val="baseline"/>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托育</w:t>
            </w:r>
          </w:p>
          <w:p>
            <w:pPr>
              <w:keepNext w:val="0"/>
              <w:keepLines w:val="0"/>
              <w:pageBreakBefore w:val="0"/>
              <w:widowControl/>
              <w:kinsoku w:val="0"/>
              <w:wordWrap/>
              <w:overflowPunct w:val="0"/>
              <w:topLinePunct w:val="0"/>
              <w:autoSpaceDE w:val="0"/>
              <w:autoSpaceDN w:val="0"/>
              <w:bidi w:val="0"/>
              <w:adjustRightInd w:val="0"/>
              <w:spacing w:line="300" w:lineRule="exact"/>
              <w:jc w:val="center"/>
              <w:textAlignment w:val="baseline"/>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服务</w:t>
            </w:r>
          </w:p>
          <w:p>
            <w:pPr>
              <w:keepNext w:val="0"/>
              <w:keepLines w:val="0"/>
              <w:pageBreakBefore w:val="0"/>
              <w:widowControl/>
              <w:kinsoku w:val="0"/>
              <w:wordWrap/>
              <w:overflowPunct w:val="0"/>
              <w:topLinePunct w:val="0"/>
              <w:autoSpaceDE w:val="0"/>
              <w:autoSpaceDN w:val="0"/>
              <w:bidi w:val="0"/>
              <w:adjustRightInd w:val="0"/>
              <w:spacing w:line="300" w:lineRule="exact"/>
              <w:jc w:val="center"/>
              <w:textAlignment w:val="baseline"/>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能力</w:t>
            </w: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jc w:val="left"/>
              <w:textAlignment w:val="baseline"/>
              <w:rPr>
                <w:rFonts w:hint="eastAsia" w:ascii="Times New Roman" w:hAnsi="Times New Roman" w:eastAsia="Arial"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婴幼儿基本公共服务覆盖率</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Arial" w:cs="Arial"/>
                <w:snapToGrid w:val="0"/>
                <w:color w:val="000000" w:themeColor="text1"/>
                <w:kern w:val="0"/>
                <w:sz w:val="24"/>
                <w:szCs w:val="24"/>
                <w:lang w:val="en-US" w:eastAsia="zh-CN"/>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eastAsia" w:ascii="Times New Roman" w:hAnsi="Times New Roman" w:eastAsia="Arial" w:cs="Arial"/>
                <w:snapToGrid w:val="0"/>
                <w:color w:val="000000" w:themeColor="text1"/>
                <w:kern w:val="0"/>
                <w:sz w:val="24"/>
                <w:szCs w:val="24"/>
                <w:lang w:val="en-US" w:eastAsia="zh-CN"/>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100</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eastAsia" w:ascii="Times New Roman" w:hAnsi="Times New Roman" w:eastAsia="Arial" w:cs="Arial"/>
                <w:snapToGrid w:val="0"/>
                <w:color w:val="000000" w:themeColor="text1"/>
                <w:kern w:val="0"/>
                <w:sz w:val="24"/>
                <w:szCs w:val="24"/>
                <w:lang w:val="en-US" w:eastAsia="zh-CN"/>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100</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1477" w:type="dxa"/>
            <w:gridSpan w:val="2"/>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hint="eastAsia" w:ascii="Times New Roman" w:hAnsi="Times New Roman" w:eastAsia="Arial" w:cs="Arial"/>
                <w:snapToGrid w:val="0"/>
                <w:color w:val="000000" w:themeColor="text1"/>
                <w:kern w:val="0"/>
                <w:sz w:val="24"/>
                <w:szCs w:val="24"/>
                <w:lang w:val="en-US" w:eastAsia="zh-CN"/>
                <w14:textFill>
                  <w14:solidFill>
                    <w14:schemeClr w14:val="tx1"/>
                  </w14:solidFill>
                </w14:textFill>
              </w:rPr>
            </w:pPr>
            <w:r>
              <w:rPr>
                <w:rFonts w:ascii="Times New Roman" w:hAnsi="Times New Roman"/>
                <w:color w:val="000000" w:themeColor="text1"/>
                <w:kern w:val="0"/>
                <w:sz w:val="24"/>
                <w:szCs w:val="24"/>
                <w:lang w:val="zh-CN"/>
                <w14:textFill>
                  <w14:solidFill>
                    <w14:schemeClr w14:val="tx1"/>
                  </w14:solidFill>
                </w14:textFill>
              </w:rPr>
              <w:t>孕产妇系统管理率</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lang w:val="zh-CN"/>
                <w14:textFill>
                  <w14:solidFill>
                    <w14:schemeClr w14:val="tx1"/>
                  </w14:solidFill>
                </w14:textFill>
              </w:rPr>
              <w:t>%</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lang w:val="zh-CN"/>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90</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lang w:val="zh-CN"/>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1477" w:type="dxa"/>
            <w:gridSpan w:val="2"/>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eastAsia="Arial" w:cs="Arial"/>
                <w:snapToGrid w:val="0"/>
                <w:color w:val="000000" w:themeColor="text1"/>
                <w:kern w:val="0"/>
                <w:sz w:val="24"/>
                <w:szCs w:val="24"/>
                <w:lang w:val="zh-CN"/>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0-6岁儿童健康管理率</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lang w:val="zh-CN"/>
                <w14:textFill>
                  <w14:solidFill>
                    <w14:schemeClr w14:val="tx1"/>
                  </w14:solidFill>
                </w14:textFill>
              </w:rPr>
            </w:pPr>
            <w:r>
              <w:rPr>
                <w:rFonts w:ascii="Times New Roman" w:hAnsi="Times New Roman"/>
                <w:color w:val="000000" w:themeColor="text1"/>
                <w:kern w:val="0"/>
                <w:sz w:val="24"/>
                <w:szCs w:val="24"/>
                <w:lang w:val="zh-CN"/>
                <w14:textFill>
                  <w14:solidFill>
                    <w14:schemeClr w14:val="tx1"/>
                  </w14:solidFill>
                </w14:textFill>
              </w:rPr>
              <w:t>%</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lang w:val="zh-CN"/>
                <w14:textFill>
                  <w14:solidFill>
                    <w14:schemeClr w14:val="tx1"/>
                  </w14:solidFill>
                </w14:textFill>
              </w:rPr>
            </w:pPr>
            <w:r>
              <w:rPr>
                <w:rFonts w:ascii="Times New Roman" w:hAnsi="Times New Roman"/>
                <w:color w:val="000000" w:themeColor="text1"/>
                <w:kern w:val="0"/>
                <w:sz w:val="24"/>
                <w:szCs w:val="24"/>
                <w:lang w:val="zh-CN"/>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95</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lang w:val="zh-CN"/>
                <w14:textFill>
                  <w14:solidFill>
                    <w14:schemeClr w14:val="tx1"/>
                  </w14:solidFill>
                </w14:textFill>
              </w:rPr>
            </w:pPr>
            <w:r>
              <w:rPr>
                <w:rFonts w:ascii="Times New Roman" w:hAnsi="Times New Roman"/>
                <w:color w:val="000000" w:themeColor="text1"/>
                <w:kern w:val="0"/>
                <w:sz w:val="24"/>
                <w:szCs w:val="24"/>
                <w:lang w:val="zh-CN"/>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1477" w:type="dxa"/>
            <w:gridSpan w:val="2"/>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婴幼儿早期发展指导覆盖率</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lang w:val="zh-CN"/>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80</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lang w:val="zh-CN"/>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100</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lang w:val="zh-CN"/>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1477" w:type="dxa"/>
            <w:gridSpan w:val="2"/>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每千人口拥有3岁以下婴幼儿托位数</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个</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2.9</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4.5</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1477" w:type="dxa"/>
            <w:gridSpan w:val="2"/>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jc w:val="left"/>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其中：普惠性托位占比</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40</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60</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1477" w:type="dxa"/>
            <w:gridSpan w:val="2"/>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jc w:val="left"/>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新建居住区配套托育</w:t>
            </w:r>
            <w:r>
              <w:rPr>
                <w:rFonts w:hint="eastAsia" w:ascii="Times New Roman" w:hAnsi="Times New Roman" w:eastAsia="宋体"/>
                <w:color w:val="000000" w:themeColor="text1"/>
                <w:kern w:val="0"/>
                <w:sz w:val="24"/>
                <w:szCs w:val="24"/>
                <w:lang w:val="en-US" w:eastAsia="zh-CN"/>
                <w14:textFill>
                  <w14:solidFill>
                    <w14:schemeClr w14:val="tx1"/>
                  </w14:solidFill>
                </w14:textFill>
              </w:rPr>
              <w:t>服务</w:t>
            </w:r>
            <w:r>
              <w:rPr>
                <w:rFonts w:ascii="Times New Roman" w:hAnsi="Times New Roman"/>
                <w:color w:val="000000" w:themeColor="text1"/>
                <w:kern w:val="0"/>
                <w:sz w:val="24"/>
                <w:szCs w:val="24"/>
                <w14:textFill>
                  <w14:solidFill>
                    <w14:schemeClr w14:val="tx1"/>
                  </w14:solidFill>
                </w14:textFill>
              </w:rPr>
              <w:t>设施覆盖率</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100</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738" w:type="dxa"/>
            <w:vMerge w:val="restart"/>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要素</w:t>
            </w:r>
          </w:p>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保障</w:t>
            </w:r>
          </w:p>
        </w:tc>
        <w:tc>
          <w:tcPr>
            <w:tcW w:w="739" w:type="dxa"/>
            <w:vMerge w:val="restart"/>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eastAsia" w:ascii="Times New Roman" w:hAnsi="Times New Roman" w:eastAsia="宋体"/>
                <w:color w:val="000000" w:themeColor="text1"/>
                <w:kern w:val="0"/>
                <w:sz w:val="24"/>
                <w:szCs w:val="24"/>
                <w:lang w:val="en-US" w:eastAsia="zh-CN"/>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人才队伍</w:t>
            </w: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jc w:val="left"/>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14:textFill>
                  <w14:solidFill>
                    <w14:schemeClr w14:val="tx1"/>
                  </w14:solidFill>
                </w14:textFill>
              </w:rPr>
              <w:t>养老护理员培训人次数</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t>人次</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宋体"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t>140</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Arial"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300</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Arial" w:cs="Arial"/>
                <w:snapToGrid w:val="0"/>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738"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739"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jc w:val="left"/>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14:textFill>
                  <w14:solidFill>
                    <w14:schemeClr w14:val="tx1"/>
                  </w14:solidFill>
                </w14:textFill>
              </w:rPr>
              <w:t>新增</w:t>
            </w:r>
            <w:r>
              <w:rPr>
                <w:rFonts w:hint="eastAsia" w:ascii="Times New Roman" w:hAnsi="Times New Roman"/>
                <w:color w:val="000000" w:themeColor="text1"/>
                <w:kern w:val="0"/>
                <w:sz w:val="24"/>
                <w:szCs w:val="24"/>
                <w:lang w:val="en-US" w:eastAsia="zh-CN"/>
                <w14:textFill>
                  <w14:solidFill>
                    <w14:schemeClr w14:val="tx1"/>
                  </w14:solidFill>
                </w14:textFill>
              </w:rPr>
              <w:t>通过</w:t>
            </w:r>
            <w:r>
              <w:rPr>
                <w:rFonts w:hint="default" w:ascii="Times New Roman" w:hAnsi="Times New Roman"/>
                <w:color w:val="000000" w:themeColor="text1"/>
                <w:kern w:val="0"/>
                <w:sz w:val="24"/>
                <w:szCs w:val="24"/>
                <w14:textFill>
                  <w14:solidFill>
                    <w14:schemeClr w14:val="tx1"/>
                  </w14:solidFill>
                </w14:textFill>
              </w:rPr>
              <w:t>职业</w:t>
            </w:r>
            <w:r>
              <w:rPr>
                <w:rFonts w:hint="eastAsia" w:ascii="Times New Roman" w:hAnsi="Times New Roman"/>
                <w:color w:val="000000" w:themeColor="text1"/>
                <w:kern w:val="0"/>
                <w:sz w:val="24"/>
                <w:szCs w:val="24"/>
                <w:lang w:val="en-US" w:eastAsia="zh-CN"/>
                <w14:textFill>
                  <w14:solidFill>
                    <w14:schemeClr w14:val="tx1"/>
                  </w14:solidFill>
                </w14:textFill>
              </w:rPr>
              <w:t>等级认定的</w:t>
            </w:r>
            <w:r>
              <w:rPr>
                <w:rFonts w:hint="default" w:ascii="Times New Roman" w:hAnsi="Times New Roman"/>
                <w:color w:val="000000" w:themeColor="text1"/>
                <w:kern w:val="0"/>
                <w:sz w:val="24"/>
                <w:szCs w:val="24"/>
                <w14:textFill>
                  <w14:solidFill>
                    <w14:schemeClr w14:val="tx1"/>
                  </w14:solidFill>
                </w14:textFill>
              </w:rPr>
              <w:t>养老护理员数</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t>人</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宋体"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t>90</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Arial"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200</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Arial" w:cs="Arial"/>
                <w:snapToGrid w:val="0"/>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738"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739"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jc w:val="left"/>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14:textFill>
                  <w14:solidFill>
                    <w14:schemeClr w14:val="tx1"/>
                  </w14:solidFill>
                </w14:textFill>
              </w:rPr>
              <w:t>每百张养老机构床位配备社会工作者数量</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t>人</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宋体"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t>0.76</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Arial" w:cs="Arial"/>
                <w:snapToGrid w:val="0"/>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14:textFill>
                  <w14:solidFill>
                    <w14:schemeClr w14:val="tx1"/>
                  </w14:solidFill>
                </w14:textFill>
              </w:rPr>
              <w:t>1</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Arial" w:cs="Arial"/>
                <w:snapToGrid w:val="0"/>
                <w:color w:val="000000" w:themeColor="text1"/>
                <w:kern w:val="0"/>
                <w:sz w:val="24"/>
                <w:szCs w:val="24"/>
                <w14:textFill>
                  <w14:solidFill>
                    <w14:schemeClr w14:val="tx1"/>
                  </w14:solidFill>
                </w14:textFill>
              </w:rPr>
            </w:pPr>
            <w:r>
              <w:rPr>
                <w:rFonts w:hint="default" w:ascii="Times New Roman" w:hAnsi="Times New Roman"/>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738"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739"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微软雅黑" w:hAnsi="微软雅黑" w:eastAsia="微软雅黑" w:cs="微软雅黑"/>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托育服务专业人才数</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个</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130</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300</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738"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739"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微软雅黑" w:hAnsi="微软雅黑" w:eastAsia="微软雅黑" w:cs="微软雅黑"/>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托育从业人员持证上岗率</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60</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100</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738"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739"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资金 投入</w:t>
            </w: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财政</w:t>
            </w:r>
            <w:r>
              <w:rPr>
                <w:rFonts w:hint="eastAsia" w:ascii="Times New Roman" w:hAnsi="Times New Roman" w:eastAsia="宋体"/>
                <w:color w:val="000000" w:themeColor="text1"/>
                <w:kern w:val="0"/>
                <w:sz w:val="24"/>
                <w:szCs w:val="24"/>
                <w:lang w:eastAsia="zh-CN"/>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福彩公益金</w:t>
            </w:r>
            <w:r>
              <w:rPr>
                <w:rFonts w:hint="eastAsia" w:ascii="Times New Roman" w:hAnsi="Times New Roman" w:eastAsia="宋体"/>
                <w:color w:val="000000" w:themeColor="text1"/>
                <w:kern w:val="0"/>
                <w:sz w:val="24"/>
                <w:szCs w:val="24"/>
                <w:lang w:eastAsia="zh-CN"/>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投入比例</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55</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738"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739" w:type="dxa"/>
            <w:vMerge w:val="restart"/>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both"/>
              <w:textAlignment w:val="baseline"/>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企业</w:t>
            </w:r>
          </w:p>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培育</w:t>
            </w: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eastAsia="Arial" w:cs="Arial"/>
                <w:snapToGrid w:val="0"/>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备案</w:t>
            </w:r>
            <w:r>
              <w:rPr>
                <w:rFonts w:hint="eastAsia" w:ascii="Times New Roman" w:hAnsi="Times New Roman" w:eastAsia="宋体"/>
                <w:color w:val="000000" w:themeColor="text1"/>
                <w:kern w:val="0"/>
                <w:sz w:val="24"/>
                <w:szCs w:val="24"/>
                <w:highlight w:val="none"/>
                <w:lang w:val="en-US" w:eastAsia="zh-CN"/>
                <w14:textFill>
                  <w14:solidFill>
                    <w14:schemeClr w14:val="tx1"/>
                  </w14:solidFill>
                </w14:textFill>
              </w:rPr>
              <w:t>养老</w:t>
            </w:r>
            <w:r>
              <w:rPr>
                <w:rFonts w:ascii="Times New Roman" w:hAnsi="Times New Roman"/>
                <w:color w:val="000000" w:themeColor="text1"/>
                <w:kern w:val="0"/>
                <w:sz w:val="24"/>
                <w:szCs w:val="24"/>
                <w:highlight w:val="none"/>
                <w14:textFill>
                  <w14:solidFill>
                    <w14:schemeClr w14:val="tx1"/>
                  </w14:solidFill>
                </w14:textFill>
              </w:rPr>
              <w:t>机构数量</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eastAsia" w:ascii="Times New Roman" w:hAnsi="Times New Roman" w:eastAsia="宋体" w:cs="Arial"/>
                <w:snapToGrid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Arial"/>
                <w:snapToGrid w:val="0"/>
                <w:color w:val="000000" w:themeColor="text1"/>
                <w:kern w:val="0"/>
                <w:sz w:val="24"/>
                <w:szCs w:val="24"/>
                <w:highlight w:val="none"/>
                <w:lang w:val="en-US" w:eastAsia="zh-CN"/>
                <w14:textFill>
                  <w14:solidFill>
                    <w14:schemeClr w14:val="tx1"/>
                  </w14:solidFill>
                </w14:textFill>
              </w:rPr>
              <w:t>个</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eastAsia" w:ascii="Times New Roman" w:hAnsi="Times New Roman" w:eastAsia="宋体" w:cs="Arial"/>
                <w:snapToGrid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Arial"/>
                <w:snapToGrid w:val="0"/>
                <w:color w:val="000000" w:themeColor="text1"/>
                <w:kern w:val="0"/>
                <w:sz w:val="24"/>
                <w:szCs w:val="24"/>
                <w:highlight w:val="none"/>
                <w:lang w:val="en-US" w:eastAsia="zh-CN"/>
                <w14:textFill>
                  <w14:solidFill>
                    <w14:schemeClr w14:val="tx1"/>
                  </w14:solidFill>
                </w14:textFill>
              </w:rPr>
              <w:t>9</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宋体" w:cs="Arial"/>
                <w:snapToGrid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Arial"/>
                <w:snapToGrid w:val="0"/>
                <w:color w:val="000000" w:themeColor="text1"/>
                <w:kern w:val="0"/>
                <w:sz w:val="24"/>
                <w:szCs w:val="24"/>
                <w:highlight w:val="none"/>
                <w:lang w:val="en-US" w:eastAsia="zh-CN"/>
                <w14:textFill>
                  <w14:solidFill>
                    <w14:schemeClr w14:val="tx1"/>
                  </w14:solidFill>
                </w14:textFill>
              </w:rPr>
              <w:t>10</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eastAsia" w:ascii="Times New Roman" w:hAnsi="Times New Roman" w:eastAsia="宋体" w:cs="Arial"/>
                <w:snapToGrid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Arial"/>
                <w:snapToGrid w:val="0"/>
                <w:color w:val="000000" w:themeColor="text1"/>
                <w:kern w:val="0"/>
                <w:sz w:val="24"/>
                <w:szCs w:val="24"/>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624" w:hRule="exact"/>
          <w:tblHeader/>
          <w:jc w:val="center"/>
        </w:trPr>
        <w:tc>
          <w:tcPr>
            <w:tcW w:w="738"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739" w:type="dxa"/>
            <w:vMerge w:val="continue"/>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color w:val="000000" w:themeColor="text1"/>
                <w:kern w:val="0"/>
                <w:sz w:val="24"/>
                <w:szCs w:val="24"/>
                <w14:textFill>
                  <w14:solidFill>
                    <w14:schemeClr w14:val="tx1"/>
                  </w14:solidFill>
                </w14:textFill>
              </w:rPr>
            </w:pPr>
          </w:p>
        </w:tc>
        <w:tc>
          <w:tcPr>
            <w:tcW w:w="359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left"/>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备案托育机构数量</w:t>
            </w:r>
          </w:p>
        </w:tc>
        <w:tc>
          <w:tcPr>
            <w:tcW w:w="81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家</w:t>
            </w:r>
          </w:p>
        </w:tc>
        <w:tc>
          <w:tcPr>
            <w:tcW w:w="1064"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19</w:t>
            </w:r>
          </w:p>
        </w:tc>
        <w:tc>
          <w:tcPr>
            <w:tcW w:w="1145"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hint="default" w:ascii="Times New Roman" w:hAnsi="Times New Roman" w:eastAsia="宋体" w:cs="Arial"/>
                <w:snapToGrid w:val="0"/>
                <w:color w:val="000000" w:themeColor="text1"/>
                <w:kern w:val="0"/>
                <w:sz w:val="24"/>
                <w:szCs w:val="24"/>
                <w:lang w:val="en-US" w:eastAsia="zh-CN"/>
                <w14:textFill>
                  <w14:solidFill>
                    <w14:schemeClr w14:val="tx1"/>
                  </w14:solidFill>
                </w14:textFill>
              </w:rPr>
            </w:pPr>
            <w:r>
              <w:rPr>
                <w:rFonts w:hint="eastAsia" w:ascii="Times New Roman" w:hAnsi="Times New Roman" w:eastAsia="宋体" w:cs="Arial"/>
                <w:snapToGrid w:val="0"/>
                <w:color w:val="000000" w:themeColor="text1"/>
                <w:kern w:val="0"/>
                <w:sz w:val="24"/>
                <w:szCs w:val="24"/>
                <w:lang w:val="en-US" w:eastAsia="zh-CN"/>
                <w14:textFill>
                  <w14:solidFill>
                    <w14:schemeClr w14:val="tx1"/>
                  </w14:solidFill>
                </w14:textFill>
              </w:rPr>
              <w:t>45</w:t>
            </w:r>
          </w:p>
        </w:tc>
        <w:tc>
          <w:tcPr>
            <w:tcW w:w="1048" w:type="dxa"/>
            <w:tcBorders>
              <w:tl2br w:val="nil"/>
              <w:tr2bl w:val="nil"/>
            </w:tcBorders>
            <w:vAlign w:val="center"/>
          </w:tcPr>
          <w:p>
            <w:pPr>
              <w:keepNext w:val="0"/>
              <w:keepLines w:val="0"/>
              <w:pageBreakBefore w:val="0"/>
              <w:widowControl/>
              <w:kinsoku w:val="0"/>
              <w:wordWrap/>
              <w:overflowPunct w:val="0"/>
              <w:topLinePunct w:val="0"/>
              <w:autoSpaceDE w:val="0"/>
              <w:autoSpaceDN w:val="0"/>
              <w:bidi w:val="0"/>
              <w:adjustRightInd w:val="0"/>
              <w:snapToGrid/>
              <w:spacing w:line="300" w:lineRule="exact"/>
              <w:ind w:firstLine="0" w:firstLineChars="0"/>
              <w:jc w:val="center"/>
              <w:textAlignment w:val="baseline"/>
              <w:rPr>
                <w:rFonts w:ascii="Times New Roman" w:hAnsi="Times New Roman" w:eastAsia="Arial" w:cs="Arial"/>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预期性</w:t>
            </w:r>
          </w:p>
        </w:tc>
      </w:tr>
    </w:tbl>
    <w:p>
      <w:pPr>
        <w:pageBreakBefore w:val="0"/>
        <w:widowControl/>
        <w:wordWrap/>
        <w:overflowPunct w:val="0"/>
        <w:topLinePunct w:val="0"/>
        <w:autoSpaceDE w:val="0"/>
        <w:autoSpaceDN w:val="0"/>
        <w:bidi w:val="0"/>
        <w:adjustRightInd w:val="0"/>
        <w:spacing w:before="133" w:line="207" w:lineRule="auto"/>
        <w:ind w:left="790"/>
        <w:textAlignment w:val="baseline"/>
        <w:rPr>
          <w:rFonts w:hint="eastAsia" w:ascii="方正黑体_GBK" w:hAnsi="方正黑体_GBK" w:eastAsia="方正黑体_GBK" w:cs="方正黑体_GBK"/>
          <w:color w:val="000000" w:themeColor="text1"/>
          <w:spacing w:val="6"/>
          <w:sz w:val="31"/>
          <w:szCs w:val="31"/>
          <w14:textFill>
            <w14:solidFill>
              <w14:schemeClr w14:val="tx1"/>
            </w14:solidFill>
          </w14:textFill>
        </w:rPr>
      </w:pP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664" w:firstLineChars="200"/>
        <w:textAlignment w:val="baseline"/>
        <w:rPr>
          <w:rFonts w:hint="eastAsia" w:ascii="方正黑体_GBK" w:hAns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6"/>
          <w:sz w:val="32"/>
          <w:szCs w:val="32"/>
          <w14:textFill>
            <w14:solidFill>
              <w14:schemeClr w14:val="tx1"/>
            </w14:solidFill>
          </w14:textFill>
        </w:rPr>
        <w:t>四</w:t>
      </w:r>
      <w:r>
        <w:rPr>
          <w:rFonts w:hint="eastAsia" w:ascii="方正黑体_GBK" w:hAnsi="方正黑体_GBK" w:eastAsia="方正黑体_GBK" w:cs="方正黑体_GBK"/>
          <w:b w:val="0"/>
          <w:bCs w:val="0"/>
          <w:color w:val="000000" w:themeColor="text1"/>
          <w:spacing w:val="4"/>
          <w:sz w:val="32"/>
          <w:szCs w:val="32"/>
          <w14:textFill>
            <w14:solidFill>
              <w14:schemeClr w14:val="tx1"/>
            </w14:solidFill>
          </w14:textFill>
        </w:rPr>
        <w:t>、</w:t>
      </w:r>
      <w:r>
        <w:rPr>
          <w:rFonts w:hint="eastAsia" w:ascii="方正黑体_GBK" w:hAnsi="方正黑体_GBK" w:eastAsia="方正黑体_GBK" w:cs="方正黑体_GBK"/>
          <w:b w:val="0"/>
          <w:bCs w:val="0"/>
          <w:color w:val="000000" w:themeColor="text1"/>
          <w:spacing w:val="3"/>
          <w:sz w:val="32"/>
          <w:szCs w:val="32"/>
          <w14:textFill>
            <w14:solidFill>
              <w14:schemeClr w14:val="tx1"/>
            </w14:solidFill>
          </w14:textFill>
        </w:rPr>
        <w:t>重点任务</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8" w:firstLineChars="200"/>
        <w:textAlignment w:val="baseline"/>
        <w:rPr>
          <w:rFonts w:hint="eastAsia" w:ascii="方正楷体_GBK" w:hAnsi="方正楷体_GBK" w:eastAsia="方正楷体_GBK" w:cs="方正楷体_GBK"/>
          <w:b w:val="0"/>
          <w:bCs w:val="0"/>
          <w:color w:val="000000" w:themeColor="text1"/>
          <w:spacing w:val="2"/>
          <w:sz w:val="32"/>
          <w:szCs w:val="32"/>
          <w:lang w:eastAsia="zh-CN"/>
          <w14:textFill>
            <w14:solidFill>
              <w14:schemeClr w14:val="tx1"/>
            </w14:solidFill>
          </w14:textFill>
        </w:rPr>
      </w:pPr>
      <w:r>
        <w:rPr>
          <w:rFonts w:hint="eastAsia" w:ascii="方正楷体_GBK" w:hAnsi="方正楷体_GBK" w:eastAsia="方正楷体_GBK" w:cs="方正楷体_GBK"/>
          <w:b w:val="0"/>
          <w:bCs w:val="0"/>
          <w:color w:val="000000" w:themeColor="text1"/>
          <w:spacing w:val="2"/>
          <w:sz w:val="32"/>
          <w:szCs w:val="32"/>
          <w:lang w:eastAsia="zh-CN"/>
          <w14:textFill>
            <w14:solidFill>
              <w14:schemeClr w14:val="tx1"/>
            </w14:solidFill>
          </w14:textFill>
        </w:rPr>
        <w:t>（</w:t>
      </w:r>
      <w:r>
        <w:rPr>
          <w:rFonts w:hint="eastAsia" w:ascii="方正楷体_GBK" w:hAnsi="方正楷体_GBK" w:eastAsia="方正楷体_GBK" w:cs="方正楷体_GBK"/>
          <w:b w:val="0"/>
          <w:bCs w:val="0"/>
          <w:color w:val="000000" w:themeColor="text1"/>
          <w:spacing w:val="2"/>
          <w:sz w:val="32"/>
          <w:szCs w:val="32"/>
          <w:lang w:val="en-US" w:eastAsia="zh-CN"/>
          <w14:textFill>
            <w14:solidFill>
              <w14:schemeClr w14:val="tx1"/>
            </w14:solidFill>
          </w14:textFill>
        </w:rPr>
        <w:t>一</w:t>
      </w:r>
      <w:r>
        <w:rPr>
          <w:rFonts w:hint="eastAsia" w:ascii="方正楷体_GBK" w:hAnsi="方正楷体_GBK" w:eastAsia="方正楷体_GBK" w:cs="方正楷体_GBK"/>
          <w:b w:val="0"/>
          <w:bCs w:val="0"/>
          <w:color w:val="000000" w:themeColor="text1"/>
          <w:spacing w:val="2"/>
          <w:sz w:val="32"/>
          <w:szCs w:val="32"/>
          <w:lang w:eastAsia="zh-CN"/>
          <w14:textFill>
            <w14:solidFill>
              <w14:schemeClr w14:val="tx1"/>
            </w14:solidFill>
          </w14:textFill>
        </w:rPr>
        <w:t>）</w:t>
      </w:r>
      <w:r>
        <w:rPr>
          <w:rFonts w:hint="eastAsia" w:ascii="方正楷体_GBK" w:hAnsi="方正楷体_GBK" w:eastAsia="方正楷体_GBK" w:cs="方正楷体_GBK"/>
          <w:b w:val="0"/>
          <w:bCs w:val="0"/>
          <w:color w:val="000000" w:themeColor="text1"/>
          <w:spacing w:val="2"/>
          <w:sz w:val="32"/>
          <w:szCs w:val="32"/>
          <w:lang w:val="en-US" w:eastAsia="zh-CN"/>
          <w14:textFill>
            <w14:solidFill>
              <w14:schemeClr w14:val="tx1"/>
            </w14:solidFill>
          </w14:textFill>
        </w:rPr>
        <w:t>打造</w:t>
      </w:r>
      <w:r>
        <w:rPr>
          <w:rFonts w:hint="eastAsia" w:ascii="方正楷体_GBK" w:hAnsi="方正楷体_GBK" w:eastAsia="方正楷体_GBK" w:cs="方正楷体_GBK"/>
          <w:b w:val="0"/>
          <w:bCs w:val="0"/>
          <w:color w:val="000000" w:themeColor="text1"/>
          <w:spacing w:val="2"/>
          <w:sz w:val="32"/>
          <w:szCs w:val="32"/>
          <w:lang w:eastAsia="zh-CN"/>
          <w14:textFill>
            <w14:solidFill>
              <w14:schemeClr w14:val="tx1"/>
            </w14:solidFill>
          </w14:textFill>
        </w:rPr>
        <w:t>“</w:t>
      </w:r>
      <w:r>
        <w:rPr>
          <w:rFonts w:hint="eastAsia" w:ascii="方正楷体_GBK" w:hAnsi="方正楷体_GBK" w:eastAsia="方正楷体_GBK" w:cs="方正楷体_GBK"/>
          <w:b w:val="0"/>
          <w:bCs w:val="0"/>
          <w:color w:val="000000" w:themeColor="text1"/>
          <w:spacing w:val="2"/>
          <w:sz w:val="32"/>
          <w:szCs w:val="32"/>
          <w:lang w:val="en-US" w:eastAsia="zh-CN"/>
          <w14:textFill>
            <w14:solidFill>
              <w14:schemeClr w14:val="tx1"/>
            </w14:solidFill>
          </w14:textFill>
        </w:rPr>
        <w:t>老有颐养</w:t>
      </w:r>
      <w:r>
        <w:rPr>
          <w:rFonts w:hint="eastAsia" w:ascii="方正楷体_GBK" w:hAnsi="方正楷体_GBK" w:eastAsia="方正楷体_GBK" w:cs="方正楷体_GBK"/>
          <w:b w:val="0"/>
          <w:bCs w:val="0"/>
          <w:color w:val="000000" w:themeColor="text1"/>
          <w:spacing w:val="2"/>
          <w:sz w:val="32"/>
          <w:szCs w:val="32"/>
          <w:lang w:eastAsia="zh-CN"/>
          <w14:textFill>
            <w14:solidFill>
              <w14:schemeClr w14:val="tx1"/>
            </w14:solidFill>
          </w14:textFill>
        </w:rPr>
        <w:t>”</w:t>
      </w:r>
      <w:r>
        <w:rPr>
          <w:rFonts w:hint="eastAsia" w:ascii="方正楷体_GBK" w:hAnsi="方正楷体_GBK" w:eastAsia="方正楷体_GBK" w:cs="方正楷体_GBK"/>
          <w:b w:val="0"/>
          <w:bCs w:val="0"/>
          <w:color w:val="000000" w:themeColor="text1"/>
          <w:spacing w:val="2"/>
          <w:sz w:val="32"/>
          <w:szCs w:val="32"/>
          <w:lang w:val="en-US" w:eastAsia="zh-CN"/>
          <w14:textFill>
            <w14:solidFill>
              <w14:schemeClr w14:val="tx1"/>
            </w14:solidFill>
          </w14:textFill>
        </w:rPr>
        <w:t>幸福</w:t>
      </w:r>
      <w:r>
        <w:rPr>
          <w:rFonts w:hint="eastAsia" w:ascii="方正楷体_GBK" w:hAnsi="方正楷体_GBK" w:eastAsia="方正楷体_GBK" w:cs="方正楷体_GBK"/>
          <w:b w:val="0"/>
          <w:bCs w:val="0"/>
          <w:color w:val="000000" w:themeColor="text1"/>
          <w:spacing w:val="2"/>
          <w:sz w:val="32"/>
          <w:szCs w:val="32"/>
          <w:lang w:eastAsia="zh-CN"/>
          <w14:textFill>
            <w14:solidFill>
              <w14:schemeClr w14:val="tx1"/>
            </w14:solidFill>
          </w14:textFill>
        </w:rPr>
        <w:t>城市</w:t>
      </w:r>
    </w:p>
    <w:p>
      <w:pPr>
        <w:pStyle w:val="16"/>
        <w:keepNext w:val="0"/>
        <w:keepLines w:val="0"/>
        <w:pageBreakBefore w:val="0"/>
        <w:widowControl w:val="0"/>
        <w:kinsoku/>
        <w:wordWrap/>
        <w:overflowPunct/>
        <w:topLinePunct w:val="0"/>
        <w:autoSpaceDE w:val="0"/>
        <w:autoSpaceDN/>
        <w:bidi w:val="0"/>
        <w:adjustRightInd w:val="0"/>
        <w:snapToGrid w:val="0"/>
        <w:spacing w:line="560" w:lineRule="exact"/>
        <w:ind w:left="0" w:leftChars="0" w:firstLine="664" w:firstLineChars="200"/>
        <w:textAlignment w:val="auto"/>
        <w:outlineLvl w:val="1"/>
        <w:rPr>
          <w:rFonts w:hint="default" w:ascii="Times New Roman" w:hAnsi="Times New Roman" w:eastAsia="方正仿宋_GBK" w:cs="Times New Roman"/>
          <w:b w:val="0"/>
          <w:bCs w:val="0"/>
          <w:snapToGrid w:val="0"/>
          <w:color w:val="000000" w:themeColor="text1"/>
          <w:spacing w:val="6"/>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32"/>
          <w:szCs w:val="32"/>
          <w:lang w:val="en-US" w:eastAsia="zh-CN"/>
          <w14:textFill>
            <w14:solidFill>
              <w14:schemeClr w14:val="tx1"/>
            </w14:solidFill>
          </w14:textFill>
        </w:rPr>
        <w:t>1.完善基本养老服务体系</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64" w:firstLineChars="200"/>
        <w:textAlignment w:val="auto"/>
        <w:outlineLvl w:val="2"/>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32"/>
          <w:szCs w:val="32"/>
          <w:lang w:val="en-US" w:eastAsia="zh-CN"/>
          <w14:textFill>
            <w14:solidFill>
              <w14:schemeClr w14:val="tx1"/>
            </w14:solidFill>
          </w14:textFill>
        </w:rPr>
        <w:t>（1）动态发布基本养老服务清单。聚焦老年人生存安全、生活需要、照护需求、社会参与等内容，动态发布基本养老</w:t>
      </w:r>
      <w:r>
        <w:rPr>
          <w:rFonts w:hint="eastAsia" w:ascii="Times New Roman" w:hAnsi="Times New Roman" w:eastAsia="方正仿宋_GBK" w:cs="Times New Roman"/>
          <w:b w:val="0"/>
          <w:bCs w:val="0"/>
          <w:snapToGrid w:val="0"/>
          <w:color w:val="000000" w:themeColor="text1"/>
          <w:spacing w:val="6"/>
          <w:kern w:val="0"/>
          <w:sz w:val="32"/>
          <w:szCs w:val="32"/>
          <w:lang w:val="en-US" w:eastAsia="zh-CN"/>
          <w14:textFill>
            <w14:solidFill>
              <w14:schemeClr w14:val="tx1"/>
            </w14:solidFill>
          </w14:textFill>
        </w:rPr>
        <w:t>指导性目录</w:t>
      </w:r>
      <w:r>
        <w:rPr>
          <w:rFonts w:hint="default" w:ascii="Times New Roman" w:hAnsi="Times New Roman" w:eastAsia="方正仿宋_GBK" w:cs="Times New Roman"/>
          <w:b w:val="0"/>
          <w:bCs w:val="0"/>
          <w:snapToGrid w:val="0"/>
          <w:color w:val="000000" w:themeColor="text1"/>
          <w:spacing w:val="6"/>
          <w:kern w:val="0"/>
          <w:sz w:val="32"/>
          <w:szCs w:val="32"/>
          <w:lang w:val="en-US" w:eastAsia="zh-CN"/>
          <w14:textFill>
            <w14:solidFill>
              <w14:schemeClr w14:val="tx1"/>
            </w14:solidFill>
          </w14:textFill>
        </w:rPr>
        <w:t>清单，明确服务内容及标准，不断扩展基本养老公共服务保障范围。</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（责任单位：</w:t>
      </w:r>
      <w:r>
        <w:rPr>
          <w:rFonts w:hint="eastAsia"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区民政局、区发改委、区卫健委等</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spacing w:line="560" w:lineRule="exact"/>
        <w:ind w:firstLine="664" w:firstLineChars="200"/>
        <w:textAlignment w:val="auto"/>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6"/>
          <w:kern w:val="2"/>
          <w:sz w:val="32"/>
          <w:szCs w:val="32"/>
          <w:lang w:val="en-US" w:eastAsia="zh-CN" w:bidi="ar-SA"/>
          <w14:textFill>
            <w14:solidFill>
              <w14:schemeClr w14:val="tx1"/>
            </w14:solidFill>
          </w14:textFill>
        </w:rPr>
        <w:t>（2）强化养老服务兜底保障功能。突出政府在“兜底线、保基本”中的重要职责，不断提升养老服务兜底保障水平。落实城乡特困老人集中供养，对符合特困供养条件的老年人实现“应保尽保、应养尽养”。开展特困人员集中供养需求摸底排查，优先满足生活不能自理的特困人员集中供养需求，确保有意愿入住机构的特困人员实现集中供养。到2025年，</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建成</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具备</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失能</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失智</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特困人员集中供养</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服务功能的</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机构</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2家。</w:t>
      </w:r>
      <w:r>
        <w:rPr>
          <w:rFonts w:hint="default" w:ascii="Times New Roman" w:hAnsi="Times New Roman" w:eastAsia="方正仿宋_GBK" w:cs="Times New Roman"/>
          <w:b w:val="0"/>
          <w:bCs w:val="0"/>
          <w:color w:val="000000" w:themeColor="text1"/>
          <w:spacing w:val="6"/>
          <w:kern w:val="2"/>
          <w:sz w:val="32"/>
          <w:szCs w:val="32"/>
          <w:lang w:val="en-US" w:eastAsia="zh-CN" w:bidi="ar-SA"/>
          <w14:textFill>
            <w14:solidFill>
              <w14:schemeClr w14:val="tx1"/>
            </w14:solidFill>
          </w14:textFill>
        </w:rPr>
        <w:t>充分发挥临时救助制度效能，解决困难老年人遭遇的突发性、紧迫性、临时性基本生活困难。</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（责任单位：</w:t>
      </w:r>
      <w:r>
        <w:rPr>
          <w:rFonts w:hint="eastAsia"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区民政局、区财政局，各镇街</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spacing w:line="560" w:lineRule="exact"/>
        <w:ind w:firstLine="664" w:firstLineChars="200"/>
        <w:textAlignment w:val="auto"/>
        <w:outlineLvl w:val="2"/>
        <w:rPr>
          <w:rFonts w:hint="default" w:ascii="Times New Roman" w:hAnsi="Times New Roman" w:eastAsia="方正仿宋_GBK" w:cs="Times New Roman"/>
          <w:b w:val="0"/>
          <w:bCs w:val="0"/>
          <w:color w:val="000000" w:themeColor="text1"/>
          <w:spacing w:val="6"/>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扩大普惠养老服务覆盖面</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鼓励公办养老机构在满足特困人员兜底保障前提下</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面向失能、失智、高龄老年人</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及有供养需求的老年人</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延伸价格适中的照护服务</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满足不同层次的养老服务需求</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；集成</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各类资源</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培育扶持助老类社会组织、企业发展，</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引导各类主体提供</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为老</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公益</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项目</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让更多的老年人享受到“质量有保障、价格可接受”的普惠养老服务</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（责任单位：区民政局、区委组织部、区发改委、区财政局等</w:t>
      </w:r>
      <w:r>
        <w:rPr>
          <w:rFonts w:hint="eastAsia"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各镇街）</w:t>
      </w:r>
    </w:p>
    <w:p>
      <w:pPr>
        <w:pStyle w:val="16"/>
        <w:keepNext w:val="0"/>
        <w:keepLines w:val="0"/>
        <w:pageBreakBefore w:val="0"/>
        <w:widowControl w:val="0"/>
        <w:kinsoku/>
        <w:wordWrap/>
        <w:overflowPunct/>
        <w:topLinePunct w:val="0"/>
        <w:autoSpaceDE w:val="0"/>
        <w:autoSpaceDN/>
        <w:bidi w:val="0"/>
        <w:spacing w:line="560" w:lineRule="exact"/>
        <w:ind w:left="0" w:leftChars="0" w:firstLine="664" w:firstLineChars="200"/>
        <w:textAlignment w:val="auto"/>
        <w:outlineLvl w:val="1"/>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构建多元养老服务供给</w:t>
      </w:r>
    </w:p>
    <w:p>
      <w:pPr>
        <w:keepNext w:val="0"/>
        <w:keepLines w:val="0"/>
        <w:pageBreakBefore w:val="0"/>
        <w:widowControl w:val="0"/>
        <w:kinsoku/>
        <w:wordWrap/>
        <w:overflowPunct/>
        <w:topLinePunct w:val="0"/>
        <w:autoSpaceDE w:val="0"/>
        <w:autoSpaceDN/>
        <w:bidi w:val="0"/>
        <w:adjustRightInd/>
        <w:snapToGrid/>
        <w:spacing w:line="560" w:lineRule="exact"/>
        <w:ind w:firstLine="664" w:firstLineChars="200"/>
        <w:textAlignment w:val="auto"/>
        <w:outlineLvl w:val="2"/>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居家养老服务精准有效</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提高居家上门服务覆盖面。</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持续开展高龄老人</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日常探访、生活照料、助餐助洁、辅助出行、紧急救援等居家</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养老</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上门服务</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不断</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提升上门服务质量</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和覆盖率</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。到2025年，</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80周岁</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及</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以上老年人能力评估覆盖率</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100%</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老年人接受居家上门服务覆盖率</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达</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扩大适老化改造服务普惠面</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逐步将家庭适老化改造服务范围扩大至高龄、失能半失能、残疾老年人家庭</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到2025年，</w:t>
      </w:r>
      <w:r>
        <w:rPr>
          <w:rFonts w:hint="default" w:ascii="Times New Roman" w:hAnsi="Times New Roman" w:eastAsia="方正仿宋_GBK" w:cs="Times New Roman"/>
          <w:b w:val="0"/>
          <w:bCs w:val="0"/>
          <w:color w:val="000000" w:themeColor="text1"/>
          <w:spacing w:val="6"/>
          <w:sz w:val="32"/>
          <w:szCs w:val="32"/>
          <w:highlight w:val="none"/>
          <w14:textFill>
            <w14:solidFill>
              <w14:schemeClr w14:val="tx1"/>
            </w14:solidFill>
          </w14:textFill>
        </w:rPr>
        <w:t>家庭适老化改造户数</w:t>
      </w:r>
      <w:r>
        <w:rPr>
          <w:rFonts w:hint="default" w:ascii="Times New Roman" w:hAnsi="Times New Roman" w:eastAsia="方正仿宋_GBK" w:cs="Times New Roman"/>
          <w:b w:val="0"/>
          <w:bCs w:val="0"/>
          <w:color w:val="000000" w:themeColor="text1"/>
          <w:spacing w:val="6"/>
          <w:sz w:val="32"/>
          <w:szCs w:val="32"/>
          <w:highlight w:val="none"/>
          <w:lang w:val="en-US" w:eastAsia="zh-CN"/>
          <w14:textFill>
            <w14:solidFill>
              <w14:schemeClr w14:val="tx1"/>
            </w14:solidFill>
          </w14:textFill>
        </w:rPr>
        <w:t>累计</w:t>
      </w:r>
      <w:r>
        <w:rPr>
          <w:rFonts w:hint="default" w:ascii="Times New Roman" w:hAnsi="Times New Roman" w:eastAsia="方正仿宋_GBK" w:cs="Times New Roman"/>
          <w:b w:val="0"/>
          <w:bCs w:val="0"/>
          <w:color w:val="000000" w:themeColor="text1"/>
          <w:spacing w:val="6"/>
          <w:sz w:val="32"/>
          <w:szCs w:val="32"/>
          <w:highlight w:val="none"/>
          <w14:textFill>
            <w14:solidFill>
              <w14:schemeClr w14:val="tx1"/>
            </w14:solidFill>
          </w14:textFill>
        </w:rPr>
        <w:t>不少于</w:t>
      </w:r>
      <w:r>
        <w:rPr>
          <w:rFonts w:hint="default" w:ascii="Times New Roman" w:hAnsi="Times New Roman" w:eastAsia="方正仿宋_GBK" w:cs="Times New Roman"/>
          <w:b w:val="0"/>
          <w:bCs w:val="0"/>
          <w:color w:val="000000" w:themeColor="text1"/>
          <w:spacing w:val="6"/>
          <w:sz w:val="32"/>
          <w:szCs w:val="32"/>
          <w:highlight w:val="none"/>
          <w:lang w:val="en-US" w:eastAsia="zh-CN"/>
          <w14:textFill>
            <w14:solidFill>
              <w14:schemeClr w14:val="tx1"/>
            </w14:solidFill>
          </w14:textFill>
        </w:rPr>
        <w:t>15</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00</w:t>
      </w:r>
      <w:r>
        <w:rPr>
          <w:rFonts w:hint="default" w:ascii="Times New Roman" w:hAnsi="Times New Roman" w:eastAsia="方正仿宋_GBK" w:cs="Times New Roman"/>
          <w:b w:val="0"/>
          <w:bCs w:val="0"/>
          <w:color w:val="000000" w:themeColor="text1"/>
          <w:spacing w:val="6"/>
          <w:sz w:val="32"/>
          <w:szCs w:val="32"/>
          <w:highlight w:val="none"/>
          <w14:textFill>
            <w14:solidFill>
              <w14:schemeClr w14:val="tx1"/>
            </w14:solidFill>
          </w14:textFill>
        </w:rPr>
        <w:t>户</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。提升老旧小区适老化程度</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到2025年，完成30个老旧小区适老化改造。</w:t>
      </w:r>
      <w:r>
        <w:rPr>
          <w:rFonts w:hint="default" w:ascii="Times New Roman" w:hAnsi="Times New Roman" w:eastAsia="方正仿宋_GBK" w:cs="Times New Roman"/>
          <w:b w:val="0"/>
          <w:bCs w:val="0"/>
          <w:spacing w:val="6"/>
          <w:sz w:val="32"/>
          <w:szCs w:val="32"/>
        </w:rPr>
        <w:t>强化日常管护，推进生活垃圾定点、分类投放，全面清理卫生死角；帮助老年人学习垃圾分类知识，鼓励和协助老年人实施垃圾分类回收。</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（责任单位：区民政局、区住建局</w:t>
      </w:r>
      <w:r>
        <w:rPr>
          <w:rFonts w:hint="eastAsia"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、区城管局，</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各镇街）</w:t>
      </w:r>
    </w:p>
    <w:p>
      <w:pPr>
        <w:keepNext w:val="0"/>
        <w:keepLines w:val="0"/>
        <w:pageBreakBefore w:val="0"/>
        <w:widowControl w:val="0"/>
        <w:kinsoku/>
        <w:wordWrap/>
        <w:overflowPunct/>
        <w:topLinePunct w:val="0"/>
        <w:autoSpaceDE w:val="0"/>
        <w:autoSpaceDN/>
        <w:bidi w:val="0"/>
        <w:adjustRightInd/>
        <w:snapToGrid/>
        <w:spacing w:line="560" w:lineRule="exact"/>
        <w:ind w:firstLine="664" w:firstLineChars="200"/>
        <w:textAlignment w:val="auto"/>
        <w:outlineLvl w:val="2"/>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社区养老服务能力</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提升</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推进嵌入式养老服务载体建设。依托日间照料中心、社区居家养老服务中心及村居其他设施，嵌入康复小屋、适老产品（服务）体验区、老年助餐点、老年助浴点、老年大学分校等小型服务功能模块。到2025年，全区打造嵌入式养老服务示范载体30个</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全区老年助餐服务</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月</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均供客能力达</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5000</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人次。</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提高社区层面健康养老服务水平，推进基层医疗卫生机构与居家社区养老服务的有效结合。到2025年，</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65岁及以上老年人城乡社区规范健康管理服务率</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不低于</w:t>
      </w:r>
      <w:r>
        <w:rPr>
          <w:rFonts w:hint="eastAsia"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66</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（责任单位：区民政局、</w:t>
      </w:r>
      <w:r>
        <w:rPr>
          <w:rFonts w:hint="default" w:ascii="方正楷体_GBK" w:hAnsi="方正楷体_GBK" w:eastAsia="方正楷体_GBK" w:cs="方正楷体_GBK"/>
          <w:b w:val="0"/>
          <w:bCs w:val="0"/>
          <w:color w:val="000000" w:themeColor="text1"/>
          <w:spacing w:val="6"/>
          <w:sz w:val="32"/>
          <w:szCs w:val="32"/>
          <w:highlight w:val="none"/>
          <w:lang w:val="en-US" w:eastAsia="zh-CN"/>
          <w14:textFill>
            <w14:solidFill>
              <w14:schemeClr w14:val="tx1"/>
            </w14:solidFill>
          </w14:textFill>
        </w:rPr>
        <w:t>区教育局、</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区卫健委、区市场监管局</w:t>
      </w:r>
      <w:r>
        <w:rPr>
          <w:rFonts w:hint="eastAsia"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各镇街）</w:t>
      </w:r>
    </w:p>
    <w:p>
      <w:pPr>
        <w:keepNext w:val="0"/>
        <w:keepLines w:val="0"/>
        <w:pageBreakBefore w:val="0"/>
        <w:widowControl w:val="0"/>
        <w:kinsoku/>
        <w:wordWrap/>
        <w:overflowPunct/>
        <w:topLinePunct w:val="0"/>
        <w:autoSpaceDE w:val="0"/>
        <w:autoSpaceDN/>
        <w:bidi w:val="0"/>
        <w:adjustRightInd/>
        <w:snapToGrid/>
        <w:spacing w:line="560" w:lineRule="exact"/>
        <w:ind w:firstLine="664" w:firstLineChars="200"/>
        <w:textAlignment w:val="auto"/>
        <w:outlineLvl w:val="2"/>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6</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机构养老</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服务转型升级</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优化</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养老机构</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服务</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布局</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为能力等级不同的老年人分类精准服务，</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形成“基本有保障、普惠有供给、高端有选择”的养老机构服务格局</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鼓励社会资本参与，探索敬老院公建民营，</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提升服务质效，确保机构等级评定应评尽评。加快养老</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机构区域集中</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化建设，</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推动</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养老机构</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升级</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为枢纽型养老服务中心</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到2025年，建成5家枢纽型养老服务中心</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加大养老机构医疗服务能力建设，提升养老机构医养服务能力</w:t>
      </w:r>
      <w:r>
        <w:rPr>
          <w:rFonts w:hint="eastAsia"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到2025年，</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护理型床位数占养老机构床位总数比例</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100%，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建成区级护理院</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1家</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（责任单位：区民政局、区卫健委、区财政局</w:t>
      </w:r>
      <w:r>
        <w:rPr>
          <w:rFonts w:hint="eastAsia"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各镇街）</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64" w:firstLineChars="200"/>
        <w:textAlignment w:val="auto"/>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3.创新“</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养老</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服务模式</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64" w:firstLineChars="200"/>
        <w:textAlignment w:val="auto"/>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（7）</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党建+养老”。启动“党建为老工作站”建设，以社区党群服务中心和社区党建阵地为载体，在社区养老服务设施中设立“党建为老工作站”，将党建工作与养老服务工作紧密结合，逐步形成具有“党建+”特色的社区嵌入式养老管理模式和服务内容。到2025年，实现“党建为老工作站”镇街全覆盖。</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（责任单位：区委组织部、区民政局</w:t>
      </w:r>
      <w:r>
        <w:rPr>
          <w:rFonts w:hint="eastAsia"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各镇街）</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64" w:firstLineChars="200"/>
        <w:textAlignment w:val="auto"/>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（8）</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物业+养老”。选择老年人口密集小区作为试点区域，鼓励物业服务企业承接居家社区养老服务设施的托管运营。支持有条件的物业服务企业利用小区内物业闲置资源，改（扩）建居家社区养老服务设施。到2025年，</w:t>
      </w:r>
      <w:bookmarkStart w:id="0" w:name="OLE_LINK1"/>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打造3个城市社区“物业+养老”试点项目</w:t>
      </w:r>
      <w:bookmarkEnd w:id="0"/>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（责任单位：区住建局</w:t>
      </w:r>
      <w:r>
        <w:rPr>
          <w:rFonts w:hint="eastAsia"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区民政局</w:t>
      </w:r>
      <w:r>
        <w:rPr>
          <w:rFonts w:hint="eastAsia"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各镇街）</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64" w:firstLineChars="200"/>
        <w:textAlignment w:val="auto"/>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（9）</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公益+养老”。通过开展公益活动，带动社会资金筹措和社会资源聚集。开展慈善募捐、养老物资捐赠以及养老人才、宣传推广能力提升、老年教育培训等公益活动，逐步形成海陵区养老公益服务品牌。探索与大型企业、知名社会公益组织，联合发起设立“海陵区‘福海乐养’助老专项基金”，构建区域性的慈善生态，定向助力海陵区养老事业和产业发展。</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（责任单位：区民政局</w:t>
      </w:r>
      <w:r>
        <w:rPr>
          <w:rFonts w:hint="eastAsia"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、区文明办</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64" w:firstLineChars="200"/>
        <w:textAlignment w:val="auto"/>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（10）</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科技</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+养老”。建设区智慧养老服务监管平台</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bookmarkStart w:id="1" w:name="OLE_LINK3"/>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到2025年底，实现养老服务全流程监管、设施运营智能化管理、养老服务供需精准化对接</w:t>
      </w:r>
      <w:bookmarkEnd w:id="1"/>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。上线“福海乐养”掌上小程序</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推动养老信息、政策、服务由碎片化发布向集成式展现转变，成为公众的掌上养老服务管家。打造智慧健康养老体验馆</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推广</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“线上获取+线下体验”的服务模式，调动社会养老产品消费的积极性，培育、发展、壮大本地养老市场。到2025年，全区至少</w:t>
      </w:r>
      <w:bookmarkStart w:id="2" w:name="OLE_LINK4"/>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建成3家智慧健康养老体验馆</w:t>
      </w:r>
      <w:bookmarkEnd w:id="2"/>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（责任单位：区民政局</w:t>
      </w:r>
      <w:r>
        <w:rPr>
          <w:rFonts w:hint="eastAsia"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各镇街）</w:t>
      </w:r>
    </w:p>
    <w:p>
      <w:pPr>
        <w:pStyle w:val="16"/>
        <w:keepNext w:val="0"/>
        <w:keepLines w:val="0"/>
        <w:pageBreakBefore w:val="0"/>
        <w:widowControl w:val="0"/>
        <w:kinsoku/>
        <w:wordWrap/>
        <w:overflowPunct/>
        <w:topLinePunct w:val="0"/>
        <w:autoSpaceDE w:val="0"/>
        <w:autoSpaceDN/>
        <w:bidi w:val="0"/>
        <w:spacing w:line="560" w:lineRule="exact"/>
        <w:ind w:left="0" w:leftChars="0" w:firstLine="664" w:firstLineChars="200"/>
        <w:textAlignment w:val="auto"/>
        <w:outlineLvl w:val="1"/>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pPr>
      <w:bookmarkStart w:id="3" w:name="_Hlk119613230"/>
      <w:bookmarkStart w:id="4" w:name="_Hlk119613195"/>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完善养老服务支撑体系</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64" w:firstLineChars="200"/>
        <w:textAlignment w:val="auto"/>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11</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保障养老</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服务</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设施</w:t>
      </w:r>
      <w:bookmarkEnd w:id="3"/>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配套</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。配齐</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居住（小）</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区养老服务用房。新建</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居住（小）</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区按照每百户20平方米以上的标准配套建设社区养老服务用房。已建</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居住（小）</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区未配建或者配建标准低于每百户15平方米的，按照每百户15平方米的标准通过购置、置换或者租赁等方式调剂解决。</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（责任单位：区住建局、自然资源和规划分局</w:t>
      </w:r>
      <w:r>
        <w:rPr>
          <w:rFonts w:hint="eastAsia"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各镇街）</w:t>
      </w:r>
    </w:p>
    <w:p>
      <w:pPr>
        <w:keepNext w:val="0"/>
        <w:keepLines w:val="0"/>
        <w:pageBreakBefore w:val="0"/>
        <w:widowControl w:val="0"/>
        <w:kinsoku/>
        <w:wordWrap/>
        <w:overflowPunct/>
        <w:topLinePunct w:val="0"/>
        <w:autoSpaceDE w:val="0"/>
        <w:autoSpaceDN/>
        <w:bidi w:val="0"/>
        <w:spacing w:line="560" w:lineRule="exact"/>
        <w:ind w:firstLine="664" w:firstLineChars="200"/>
        <w:textAlignment w:val="auto"/>
        <w:outlineLvl w:val="2"/>
        <w:rPr>
          <w:rFonts w:hint="default" w:ascii="Times New Roman" w:hAnsi="Times New Roman" w:eastAsia="方正仿宋_GBK" w:cs="Times New Roman"/>
          <w:b w:val="0"/>
          <w:bCs w:val="0"/>
          <w:color w:val="FF0000"/>
          <w:spacing w:val="6"/>
          <w:sz w:val="32"/>
          <w:szCs w:val="32"/>
        </w:rPr>
      </w:pP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（12）保障</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养老服务设施用地。以出让方式供应的社会福利用地，出让底价可按不低于所在级别公共服务用地基准地价的70%确定。以租赁方式供应的社会福利用地，由区政府制定最低租金标准，并在土地租赁合同中明确租金调整的时间间隔和调整方式。鼓励以长期租赁、先租后让、租让结合等方式供地。</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（责任单位：自然资源和规划分局</w:t>
      </w:r>
      <w:r>
        <w:rPr>
          <w:rFonts w:hint="eastAsia"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区住建局、</w:t>
      </w:r>
      <w:r>
        <w:rPr>
          <w:rFonts w:hint="eastAsia"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区发改委、</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区财政局</w:t>
      </w:r>
      <w:r>
        <w:rPr>
          <w:rFonts w:hint="eastAsia"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、区民政局，</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各镇街）</w:t>
      </w:r>
    </w:p>
    <w:p>
      <w:pPr>
        <w:keepNext w:val="0"/>
        <w:keepLines w:val="0"/>
        <w:pageBreakBefore w:val="0"/>
        <w:widowControl w:val="0"/>
        <w:kinsoku/>
        <w:wordWrap/>
        <w:overflowPunct/>
        <w:topLinePunct w:val="0"/>
        <w:autoSpaceDE w:val="0"/>
        <w:autoSpaceDN/>
        <w:bidi w:val="0"/>
        <w:spacing w:line="560" w:lineRule="exact"/>
        <w:ind w:firstLine="664" w:firstLineChars="200"/>
        <w:textAlignment w:val="auto"/>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pPr>
      <w:bookmarkStart w:id="5" w:name="_Hlk119613237"/>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13</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）拓宽</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养老服务资金</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渠道</w:t>
      </w:r>
      <w:bookmarkEnd w:id="5"/>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加大财政资金</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投入</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力度。根据全区经济社会发展水平和老年人口增长情况，建立稳定的养老服务经费保障机制。</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鼓励</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发展养老</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商业</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保险。支持商业保险机构面向中老年人群开发重大疾病保险、医疗保险、长期护理保险等商业健康保险；引导养老机构、居家养老服务组织投保养老服务机构责任险、雇主责任险等险种；鼓励养老服务人员投保职业责任险、意外伤害险等险种，通过保险机制有效分散养老服务风险。</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引导社会资本参与</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鼓励金融机构按照市场化、法治化原则，提供差异化信贷支持，满足养老服务机构合理融资需求</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鼓励基金会、社会捐赠等公益慈善资金参与养老服务体系建设，发展养老服务事业。</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（责任单位：区财政局</w:t>
      </w:r>
      <w:r>
        <w:rPr>
          <w:rFonts w:hint="eastAsia"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区民政局、区地方金融监管局）</w:t>
      </w:r>
      <w:bookmarkStart w:id="6" w:name="_Hlk119613243"/>
    </w:p>
    <w:p>
      <w:pPr>
        <w:keepNext w:val="0"/>
        <w:keepLines w:val="0"/>
        <w:pageBreakBefore w:val="0"/>
        <w:widowControl w:val="0"/>
        <w:kinsoku/>
        <w:wordWrap/>
        <w:overflowPunct/>
        <w:topLinePunct w:val="0"/>
        <w:autoSpaceDE w:val="0"/>
        <w:autoSpaceDN/>
        <w:bidi w:val="0"/>
        <w:spacing w:line="560" w:lineRule="exact"/>
        <w:ind w:firstLine="664" w:firstLineChars="200"/>
        <w:textAlignment w:val="auto"/>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（14）加强养老服务</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人才</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队伍建设</w:t>
      </w:r>
      <w:bookmarkEnd w:id="6"/>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实施职业技能提升行动，</w:t>
      </w:r>
      <w:r>
        <w:rPr>
          <w:rFonts w:hint="default" w:ascii="Times New Roman" w:hAnsi="Times New Roman" w:eastAsia="方正仿宋_GBK" w:cs="Times New Roman"/>
          <w:b w:val="0"/>
          <w:bCs w:val="0"/>
          <w:color w:val="000000" w:themeColor="text1"/>
          <w:kern w:val="0"/>
          <w:sz w:val="32"/>
          <w:szCs w:val="32"/>
          <w:lang w:bidi="ar"/>
          <w14:textFill>
            <w14:solidFill>
              <w14:schemeClr w14:val="tx1"/>
            </w14:solidFill>
          </w14:textFill>
        </w:rPr>
        <w:t>以机构、社区养老服务人员为重点，</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依托养老护理员实训基地</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等</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lang w:bidi="ar"/>
          <w14:textFill>
            <w14:solidFill>
              <w14:schemeClr w14:val="tx1"/>
            </w14:solidFill>
          </w14:textFill>
        </w:rPr>
        <w:t>每年开展</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专业化、系统化养老护理员线上线下培训，</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到2025年，</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养老护理员培训数不低于300人次，每百张养老机构床位配备社会工作者数不低于1人</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开展</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养老护理职业技能竞赛，对理论和实操双</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优秀</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的选手，</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推荐参加省市护理员技能大赛、巾帼家庭服务业职业技能大赛等活动</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，实现以赛促学、以赛促训、以赛促建</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新增通过职业等级认定的养老护理员数不低于200人</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（责任单位：区人社局、区民政局</w:t>
      </w:r>
      <w:r>
        <w:rPr>
          <w:rFonts w:hint="eastAsia"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各镇街）</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64" w:firstLineChars="200"/>
        <w:textAlignment w:val="auto"/>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营造幸福颐养社会环境</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64" w:firstLineChars="200"/>
        <w:textAlignment w:val="auto"/>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15</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开展“康养幸福街区”试点建设。打</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造以“老人儿”“老物件”“老故事”“老传统”为主要内容的“康养幸福街区”，营造具有海陵特色的老年友好环境。到2025年底，建成2个“康养幸福街区”。</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（责任单位：区住建局、区文体旅局、区民政局、自然资源和规划分局</w:t>
      </w:r>
      <w:r>
        <w:rPr>
          <w:rFonts w:hint="eastAsia"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各镇街）</w:t>
      </w:r>
    </w:p>
    <w:p>
      <w:pPr>
        <w:keepNext w:val="0"/>
        <w:keepLines w:val="0"/>
        <w:pageBreakBefore w:val="0"/>
        <w:widowControl w:val="0"/>
        <w:kinsoku/>
        <w:wordWrap/>
        <w:overflowPunct/>
        <w:topLinePunct w:val="0"/>
        <w:autoSpaceDE w:val="0"/>
        <w:autoSpaceDN/>
        <w:bidi w:val="0"/>
        <w:spacing w:line="560" w:lineRule="exact"/>
        <w:ind w:firstLine="664" w:firstLineChars="200"/>
        <w:textAlignment w:val="auto"/>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16</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开展“幸福乐老”志愿服务</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致力打造养老志愿服务管理系统，通过积分制，引导各方志愿者在平台注册，培育壮大养老志愿服务团队。鼓励具备相应专业知识及技能的爱心组织和人士，为老人提供安全援助、医疗保健、康复护理、法律咨询等专业类服务。丰富老年人的精神文化生活，每年开展志愿助老活动不低于24场。</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（责任单位：区民政局、区文明办、区卫健委、区司法局</w:t>
      </w:r>
      <w:r>
        <w:rPr>
          <w:rFonts w:hint="eastAsia"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各镇街）</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64" w:firstLineChars="200"/>
        <w:textAlignment w:val="auto"/>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17</w:t>
      </w:r>
      <w:r>
        <w:rPr>
          <w:rFonts w:hint="default"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举办系列典型选树活动。开展“乐龄讲师”“乐学老人”选树活动，引导和指导老年人参与建设基层老年协会等社会组织，搭建自我服务、自我管理、自我教育平台，发挥余热，实现老有所为。广泛开展“敬老月”活动，定期开展“孝</w:t>
      </w:r>
      <w:r>
        <w:rPr>
          <w:rFonts w:hint="eastAsia"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老爱亲</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”评比，加大表彰奖励力度。</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（责任单位：区委老干部局、区文明办、区教育局、区民政局、区卫健委</w:t>
      </w:r>
      <w:r>
        <w:rPr>
          <w:rFonts w:hint="eastAsia"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w:t>
      </w:r>
      <w:r>
        <w:rPr>
          <w:rFonts w:hint="default" w:ascii="方正楷体_GBK" w:hAnsi="方正楷体_GBK" w:eastAsia="方正楷体_GBK" w:cs="方正楷体_GBK"/>
          <w:b w:val="0"/>
          <w:bCs w:val="0"/>
          <w:color w:val="000000" w:themeColor="text1"/>
          <w:spacing w:val="6"/>
          <w:sz w:val="32"/>
          <w:szCs w:val="32"/>
          <w:lang w:val="en-US" w:eastAsia="zh-CN"/>
          <w14:textFill>
            <w14:solidFill>
              <w14:schemeClr w14:val="tx1"/>
            </w14:solidFill>
          </w14:textFill>
        </w:rPr>
        <w:t>各镇街）</w:t>
      </w:r>
    </w:p>
    <w:bookmarkEnd w:id="4"/>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560" w:lineRule="exact"/>
        <w:ind w:firstLine="648" w:firstLineChars="200"/>
        <w:textAlignment w:val="baseline"/>
        <w:rPr>
          <w:rFonts w:hint="eastAsia" w:ascii="方正楷体_GBK" w:hAnsi="方正楷体_GBK" w:eastAsia="方正楷体_GBK" w:cs="方正楷体_GBK"/>
          <w:b w:val="0"/>
          <w:bCs w:val="0"/>
          <w:color w:val="000000" w:themeColor="text1"/>
          <w:spacing w:val="2"/>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pacing w:val="2"/>
          <w:sz w:val="32"/>
          <w:szCs w:val="32"/>
          <w:lang w:eastAsia="zh-CN"/>
          <w14:textFill>
            <w14:solidFill>
              <w14:schemeClr w14:val="tx1"/>
            </w14:solidFill>
          </w14:textFill>
        </w:rPr>
        <w:t>（</w:t>
      </w:r>
      <w:r>
        <w:rPr>
          <w:rFonts w:hint="eastAsia" w:ascii="方正楷体_GBK" w:hAnsi="方正楷体_GBK" w:eastAsia="方正楷体_GBK" w:cs="方正楷体_GBK"/>
          <w:b w:val="0"/>
          <w:bCs w:val="0"/>
          <w:color w:val="000000" w:themeColor="text1"/>
          <w:spacing w:val="2"/>
          <w:sz w:val="32"/>
          <w:szCs w:val="32"/>
          <w:lang w:val="en-US" w:eastAsia="zh-CN"/>
          <w14:textFill>
            <w14:solidFill>
              <w14:schemeClr w14:val="tx1"/>
            </w14:solidFill>
          </w14:textFill>
        </w:rPr>
        <w:t>二</w:t>
      </w:r>
      <w:r>
        <w:rPr>
          <w:rFonts w:hint="eastAsia" w:ascii="方正楷体_GBK" w:hAnsi="方正楷体_GBK" w:eastAsia="方正楷体_GBK" w:cs="方正楷体_GBK"/>
          <w:b w:val="0"/>
          <w:bCs w:val="0"/>
          <w:color w:val="000000" w:themeColor="text1"/>
          <w:spacing w:val="2"/>
          <w:sz w:val="32"/>
          <w:szCs w:val="32"/>
          <w:lang w:eastAsia="zh-CN"/>
          <w14:textFill>
            <w14:solidFill>
              <w14:schemeClr w14:val="tx1"/>
            </w14:solidFill>
          </w14:textFill>
        </w:rPr>
        <w:t>）</w:t>
      </w:r>
      <w:r>
        <w:rPr>
          <w:rFonts w:hint="eastAsia" w:ascii="方正楷体_GBK" w:hAnsi="方正楷体_GBK" w:eastAsia="方正楷体_GBK" w:cs="方正楷体_GBK"/>
          <w:b w:val="0"/>
          <w:bCs w:val="0"/>
          <w:color w:val="000000" w:themeColor="text1"/>
          <w:spacing w:val="2"/>
          <w:sz w:val="32"/>
          <w:szCs w:val="32"/>
          <w14:textFill>
            <w14:solidFill>
              <w14:schemeClr w14:val="tx1"/>
            </w14:solidFill>
          </w14:textFill>
        </w:rPr>
        <w:t>打造</w:t>
      </w:r>
      <w:r>
        <w:rPr>
          <w:rFonts w:hint="eastAsia" w:ascii="方正楷体_GBK" w:hAnsi="方正楷体_GBK" w:eastAsia="方正楷体_GBK" w:cs="方正楷体_GBK"/>
          <w:b w:val="0"/>
          <w:bCs w:val="0"/>
          <w:color w:val="000000" w:themeColor="text1"/>
          <w:spacing w:val="2"/>
          <w:sz w:val="32"/>
          <w:szCs w:val="32"/>
          <w:lang w:eastAsia="zh-CN"/>
          <w14:textFill>
            <w14:solidFill>
              <w14:schemeClr w14:val="tx1"/>
            </w14:solidFill>
          </w14:textFill>
        </w:rPr>
        <w:t>“</w:t>
      </w:r>
      <w:r>
        <w:rPr>
          <w:rFonts w:hint="eastAsia" w:ascii="方正楷体_GBK" w:hAnsi="方正楷体_GBK" w:eastAsia="方正楷体_GBK" w:cs="方正楷体_GBK"/>
          <w:b w:val="0"/>
          <w:bCs w:val="0"/>
          <w:color w:val="000000" w:themeColor="text1"/>
          <w:spacing w:val="2"/>
          <w:sz w:val="32"/>
          <w:szCs w:val="32"/>
          <w:lang w:val="en-US" w:eastAsia="zh-CN"/>
          <w14:textFill>
            <w14:solidFill>
              <w14:schemeClr w14:val="tx1"/>
            </w14:solidFill>
          </w14:textFill>
        </w:rPr>
        <w:t>幼有善育”幸福</w:t>
      </w:r>
      <w:r>
        <w:rPr>
          <w:rFonts w:hint="eastAsia" w:ascii="方正楷体_GBK" w:hAnsi="方正楷体_GBK" w:eastAsia="方正楷体_GBK" w:cs="方正楷体_GBK"/>
          <w:b w:val="0"/>
          <w:bCs w:val="0"/>
          <w:color w:val="000000" w:themeColor="text1"/>
          <w:spacing w:val="2"/>
          <w:sz w:val="32"/>
          <w:szCs w:val="32"/>
          <w14:textFill>
            <w14:solidFill>
              <w14:schemeClr w14:val="tx1"/>
            </w14:solidFill>
          </w14:textFill>
        </w:rPr>
        <w:t>城市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方正仿宋_GBK" w:cs="Times New Roman"/>
          <w:b w:val="0"/>
          <w:bCs w:val="0"/>
          <w:color w:val="000000" w:themeColor="text1"/>
          <w:sz w:val="32"/>
          <w:szCs w:val="32"/>
          <w14:textFill>
            <w14:solidFill>
              <w14:schemeClr w14:val="tx1"/>
            </w14:solidFill>
          </w14:textFill>
        </w:rPr>
      </w:pPr>
      <w:bookmarkStart w:id="7" w:name="_Toc97297866"/>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完善托育服务规划</w:t>
      </w:r>
      <w:bookmarkEnd w:id="7"/>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方正楷体_GBK" w:hAnsi="方正楷体_GBK" w:eastAsia="方正楷体_GBK" w:cs="方正楷体_GBK"/>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加强用地保障。托育服务设施建设用地纳入国土空间规划，将所需用地落实到控制性详细规划。在年度建设用地供应计划中保障托育用地需求，并结合实际安排在合理区位。</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责任单位：</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自然资源</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和</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规划分局、区卫健委，各镇街）</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推进规划建设。新建居住区按照每千人口不少于10个托位（或者每百住户不少于15㎡）的标准，参照托儿所、幼儿园建筑设计规范，规划建设与常住人口规模相适应的托育服务设施，并与住宅项目同步规划、同步建设、同步验收、同步交付使用。老城区和已建成居住区，采取购置、置换、租赁等方式建设完善托育设施。</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责任单位：</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区住建局、自然资源</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和</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规划分局、区卫健委）</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盘活存量资源。鼓励利用商业、办公、工业、文化体育、医疗卫生、仓储、校舍存量房屋及社区用房等改建托育设施。闲置公有房产优先用于发展普惠托育服务。非独立场所按照相关安全标准改造建设托育点并通过验收的，不需要变更土地和房屋性质。建立完善“一事一议”协调机制，推动解决存量房屋和设施改造中规划、消防等问题。</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责任单位：</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区发改委、区卫健委</w:t>
      </w:r>
      <w:r>
        <w:rPr>
          <w:rFonts w:hint="default" w:ascii="方正楷体_GBK" w:hAnsi="方正楷体_GBK" w:eastAsia="方正楷体_GBK" w:cs="方正楷体_GBK"/>
          <w:b w:val="0"/>
          <w:bCs w:val="0"/>
          <w:color w:val="000000" w:themeColor="text1"/>
          <w:sz w:val="32"/>
          <w:szCs w:val="32"/>
          <w:lang w:eastAsia="zh-CN"/>
          <w14:textFill>
            <w14:solidFill>
              <w14:schemeClr w14:val="tx1"/>
            </w14:solidFill>
          </w14:textFill>
        </w:rPr>
        <w:t>、</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自然资源</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和</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规划分局、区住建局、</w:t>
      </w:r>
      <w:r>
        <w:rPr>
          <w:rFonts w:hint="default"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消防大队</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，各镇街</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方正仿宋_GBK" w:cs="Times New Roman"/>
          <w:b w:val="0"/>
          <w:bCs w:val="0"/>
          <w:color w:val="000000" w:themeColor="text1"/>
          <w:sz w:val="32"/>
          <w:szCs w:val="32"/>
          <w14:textFill>
            <w14:solidFill>
              <w14:schemeClr w14:val="tx1"/>
            </w14:solidFill>
          </w14:textFill>
        </w:rPr>
      </w:pPr>
      <w:bookmarkStart w:id="8" w:name="_Toc97297869"/>
      <w:bookmarkStart w:id="9" w:name="_Toc97297867"/>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扩大普惠托育服务供给</w:t>
      </w:r>
      <w:bookmarkEnd w:id="8"/>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构建普惠托育主干网。将普惠托育纳入公共服务体系和政府民生实事，深入推进“一街道（乡镇）一普惠”，实施普惠托育服务专项行动，鼓励国有企业和社会力量参与普惠托育服务体系建设，扩大普惠托育服务覆盖面。到2025年，每个街道（乡镇）建成1个普惠托育机构。</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责任单位：</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区卫健委、区总工会</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，各镇街</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提升公办托育服务能力。推进公办托育机构建设，鼓励采取公建民营、购买服务等方式运营。按照国家建设指南，加快建设区级托育综合服务中心，设置一定规模的托位，并提供指导评估、人员培训、管理咨询、家庭养育指导、婴幼儿早期发展等服务，为托育服务发展提供综合保障。到2025年，建成1个区级托育综合服务中心。</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责任单位：</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区卫健委）</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提供多元化托育服务。发展多层次、多样化托育服务，强化社区托育服务，支持机关、企事业单位、幼儿园提供托育服务，规范发展家庭托育服务，为婴幼儿家庭提供方便可及、价格可接受、质量有保障的托育服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社区托育服务。将托育服务纳入社区公共服务体系，完善婴幼儿照护设施等基本公共服务设施。</w:t>
      </w:r>
      <w:r>
        <w:rPr>
          <w:rFonts w:hint="default" w:ascii="Times New Roman" w:hAnsi="Times New Roman" w:eastAsia="方正仿宋_GBK" w:cs="Times New Roman"/>
          <w:b w:val="0"/>
          <w:bCs w:val="0"/>
          <w:color w:val="000000" w:themeColor="text1"/>
          <w:spacing w:val="4"/>
          <w:sz w:val="32"/>
          <w:szCs w:val="32"/>
          <w14:textFill>
            <w14:solidFill>
              <w14:schemeClr w14:val="tx1"/>
            </w14:solidFill>
          </w14:textFill>
        </w:rPr>
        <w:t>推动托育服务资源向社区下沉，加强托育服务设施与社区党群服务中心、文体卫等设施功能衔接。大力发展“1+N”托育模式，支持示范性托育服务机构带动多家社区嵌入式托育点共同发展</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，使居民在“家门口”就能够得到方便可及、优质普惠的托育服务。到2025年，新建居住小区配套建设托育设施达标率100%，</w:t>
      </w:r>
      <w:r>
        <w:rPr>
          <w:rFonts w:hint="default" w:ascii="Times New Roman" w:hAnsi="Times New Roman" w:eastAsia="方正仿宋_GBK" w:cs="Times New Roman"/>
          <w:b w:val="0"/>
          <w:bCs w:val="0"/>
          <w:color w:val="000000" w:themeColor="text1"/>
          <w:spacing w:val="4"/>
          <w:sz w:val="32"/>
          <w:szCs w:val="32"/>
          <w14:textFill>
            <w14:solidFill>
              <w14:schemeClr w14:val="tx1"/>
            </w14:solidFill>
          </w14:textFill>
        </w:rPr>
        <w:t>托育机构社区覆盖率达60%。</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责任单位：</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区卫健委、区民政局</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，各镇街</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0"/>
        <w:rPr>
          <w:rFonts w:hint="default" w:ascii="方正楷体_GBK" w:hAnsi="方正楷体_GBK" w:eastAsia="方正楷体_GBK" w:cs="方正楷体_GBK"/>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用人单位托育服务。支持机关、企事业单位以单独或联合专业机构举办的方式，为职工提供托育服务。开展爱心托育用人单位建设活动，工会开展的托育服务所需资金可以从工会经费中列支，营造用人单位兴办托育机构的良好氛围。</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责任单位：</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区卫健委、区总工会）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0"/>
        <w:rPr>
          <w:rFonts w:hint="default" w:ascii="方正楷体_GBK" w:hAnsi="方正楷体_GBK" w:eastAsia="方正楷体_GBK" w:cs="方正楷体_GBK"/>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幼儿园开设托班。鼓励支持有条件的幼儿园按照托育服务规范开办托班或扩大托班规模，发挥专业资源集聚优势，统筹托幼服务资源，提高资源使用效益，增加托育服务供给。</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责任单位：</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区卫健委、区教育局）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家庭照护服务。发挥妇幼保健机构、托育机构、相关行业协会等专业力量，通过入户指导、亲子活动、家长课堂、专家咨询等方式，开展家庭养育指导和婴幼儿早期发展服务，增强家庭科学育儿能力。</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责任单位：</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区卫健委、区妇联）</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提升托育服务水平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方正仿宋_GBK" w:cs="Times New Roman"/>
          <w:b w:val="0"/>
          <w:bCs w:val="0"/>
          <w:color w:val="000000" w:themeColor="text1"/>
          <w:sz w:val="32"/>
          <w:szCs w:val="20"/>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落实登记备案制度。</w:t>
      </w:r>
      <w:r>
        <w:rPr>
          <w:rFonts w:hint="default" w:ascii="Times New Roman" w:hAnsi="Times New Roman" w:eastAsia="方正仿宋_GBK" w:cs="Times New Roman"/>
          <w:b w:val="0"/>
          <w:bCs w:val="0"/>
          <w:color w:val="000000" w:themeColor="text1"/>
          <w:sz w:val="32"/>
          <w:szCs w:val="20"/>
          <w14:textFill>
            <w14:solidFill>
              <w14:schemeClr w14:val="tx1"/>
            </w14:solidFill>
          </w14:textFill>
        </w:rPr>
        <w:t>规范市场准入，做好托育机构备案管理，加强备案材料审核，完善备案流程，推动托育机构依法依规发展。建立健全信息公示制度，及时将托育服务有关政策规定、托育机构登记备案要求、托育机构有关信息等内容在官方网站公开，接受社会查询和监督。推进部门间数据共享，及时掌握各类托育机构信息，为加强托育服务监管提供基础。</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责任单位：</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区卫健委</w:t>
      </w:r>
      <w:r>
        <w:rPr>
          <w:rFonts w:hint="default" w:ascii="方正楷体_GBK" w:hAnsi="方正楷体_GBK" w:eastAsia="方正楷体_GBK" w:cs="方正楷体_GBK"/>
          <w:b w:val="0"/>
          <w:bCs w:val="0"/>
          <w:color w:val="000000" w:themeColor="text1"/>
          <w:sz w:val="32"/>
          <w:szCs w:val="32"/>
          <w:lang w:eastAsia="zh-CN"/>
          <w14:textFill>
            <w14:solidFill>
              <w14:schemeClr w14:val="tx1"/>
            </w14:solidFill>
          </w14:textFill>
        </w:rPr>
        <w:t>、</w:t>
      </w:r>
      <w:r>
        <w:rPr>
          <w:rFonts w:hint="default"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区行政审批局、区民政局、区市场监管局、消防大队</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推进托育机构创优。</w:t>
      </w:r>
      <w:r>
        <w:rPr>
          <w:rFonts w:hint="default" w:ascii="Times New Roman" w:hAnsi="Times New Roman" w:eastAsia="方正仿宋_GBK" w:cs="Times New Roman"/>
          <w:b w:val="0"/>
          <w:bCs w:val="0"/>
          <w:color w:val="000000" w:themeColor="text1"/>
          <w:sz w:val="32"/>
          <w:szCs w:val="20"/>
          <w14:textFill>
            <w14:solidFill>
              <w14:schemeClr w14:val="tx1"/>
            </w14:solidFill>
          </w14:textFill>
        </w:rPr>
        <w:t>开展省级示范性托育机构和省、市级普惠性托育机构创建，督促各类托育机构执行国家和地方相关标准和规范，将创建结果作为经费补贴、政府采购服务、日常监管等事项的重要依据，打造海陵特色托育服务品牌。到2025年，</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至少建成1个省级示范性托育机构；</w:t>
      </w:r>
      <w:r>
        <w:rPr>
          <w:rFonts w:hint="default" w:ascii="Times New Roman" w:hAnsi="Times New Roman" w:eastAsia="方正仿宋_GBK" w:cs="Times New Roman"/>
          <w:b w:val="0"/>
          <w:bCs w:val="0"/>
          <w:color w:val="000000" w:themeColor="text1"/>
          <w:sz w:val="32"/>
          <w:szCs w:val="20"/>
          <w14:textFill>
            <w14:solidFill>
              <w14:schemeClr w14:val="tx1"/>
            </w14:solidFill>
          </w14:textFill>
        </w:rPr>
        <w:t>每年新增省级普惠托育机构1家、市级普惠托育机构2家。</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责任单位：</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区卫健委）</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default" w:ascii="方正楷体_GBK" w:hAnsi="方正楷体_GBK" w:eastAsia="方正楷体_GBK" w:cs="方正楷体_GBK"/>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提升家庭科学育儿服务水平。</w:t>
      </w:r>
      <w:r>
        <w:rPr>
          <w:rFonts w:hint="default" w:ascii="Times New Roman" w:hAnsi="Times New Roman" w:eastAsia="方正仿宋_GBK" w:cs="Times New Roman"/>
          <w:b w:val="0"/>
          <w:bCs w:val="0"/>
          <w:color w:val="000000" w:themeColor="text1"/>
          <w:spacing w:val="4"/>
          <w:sz w:val="32"/>
          <w:szCs w:val="32"/>
          <w14:textFill>
            <w14:solidFill>
              <w14:schemeClr w14:val="tx1"/>
            </w14:solidFill>
          </w14:textFill>
        </w:rPr>
        <w:t>支持婴幼儿照护服务机构和其他专业社会组织，围绕健康、营养和安全保障等重点内容，通过入户指导、亲子活动、家长课堂、健康讲座等方式，为家庭提供公益性婴幼儿早期发展指导服务。鼓励妇幼保健机构开发婴幼儿养育课堂、父母课堂，提供线上互动式家庭育儿服务。每年至少举办1场区级科学育儿指导活动。</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责任单位：</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区卫健委、区妇联）</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方正仿宋_GBK" w:cs="Times New Roman"/>
          <w:b w:val="0"/>
          <w:bCs w:val="0"/>
          <w:color w:val="000000" w:themeColor="text1"/>
          <w:sz w:val="32"/>
          <w:szCs w:val="32"/>
          <w14:textFill>
            <w14:solidFill>
              <w14:schemeClr w14:val="tx1"/>
            </w14:solidFill>
          </w14:textFill>
        </w:rPr>
      </w:pPr>
      <w:bookmarkStart w:id="10" w:name="_Toc97297871"/>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培育托育服务人才</w:t>
      </w:r>
    </w:p>
    <w:bookmarkEnd w:id="10"/>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加强队伍规范管理。按照《托育机构管理规范（试行）》相关要求，加强从业人员职业资格准入、背景审查。按照托育行业（6</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12月龄、13</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24月龄、25</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36月龄）不同照护服务对象所需的服务要求，落实持证上岗制度。到2025年，托育机构从业人员持证上岗率达100%。</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责任单位：</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区卫健委、区人社局）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大力培养专业人才。深化产教融合，将区级托育综合服务中心作为托育实训基地，开展托育从业人员岗位培训，根据托育机构负责人和保育人员培训大纲，开发完善培训课程资源，提供系统化、专业化、规范化的岗位技能培训，持续提高从业人员综合素质。</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责任单位：</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区卫健委、区人社局）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健全综合监管机制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强化质量安全监管。按照属地管理和分工负责原则，各</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镇街</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各相关部门按照各自职责，督促托育机构落实依法登记、备案承诺、履约服务、质量安全、应急管理、消防安全等方面的主体责任，防范消除在建筑、消防、食品、卫生、人身、财产等方面的安全风险和隐患，按规定配备相应的安防设施、器材及安保人员。将托育服务纳入公共安全重点保障范围，定期开展安全检查，加强社会监督，强化行业自律，严防安全事故发生。</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责任单位：</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区卫健委、区市场监管局、公安分局、消防大队</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，各镇街</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13</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加强运营秩序监管。建立完善属地管理、部门协同的综合监管机制，运用“泰州市智慧托育”平台对托育机构的服务全过程加强监管。采取日常巡查、部门抽查、联合检查相结合的方式，加强事中事后监管，纳入“双随机一公开”执法检查，</w:t>
      </w:r>
      <w:r>
        <w:rPr>
          <w:rFonts w:hint="default" w:ascii="Times New Roman" w:hAnsi="Times New Roman" w:eastAsia="方正仿宋_GBK" w:cs="Times New Roman"/>
          <w:b w:val="0"/>
          <w:bCs w:val="0"/>
          <w:color w:val="000000" w:themeColor="text1"/>
          <w:spacing w:val="4"/>
          <w:sz w:val="32"/>
          <w:szCs w:val="32"/>
          <w14:textFill>
            <w14:solidFill>
              <w14:schemeClr w14:val="tx1"/>
            </w14:solidFill>
          </w14:textFill>
        </w:rPr>
        <w:t>加大对违规托育服务行为的查处惩戒力度</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。督促托育机构主动公开基本信息、规章制度、服务项目、收费标准等事项。完善退出机制，建立托育机构关停等特殊情况应急处置机制，提升突发事件应急保障能力。</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责任单位：</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区卫健委、区市场监管局、公安分局、消防大队</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，各镇街</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p>
    <w:bookmarkEnd w:id="9"/>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加强托育服务政策支撑</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14</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提高基本公共服务水平。</w:t>
      </w:r>
      <w:r>
        <w:rPr>
          <w:rFonts w:hint="default" w:ascii="Times New Roman" w:hAnsi="Times New Roman" w:eastAsia="方正仿宋_GBK" w:cs="Times New Roman"/>
          <w:b w:val="0"/>
          <w:bCs w:val="0"/>
          <w:color w:val="000000" w:themeColor="text1"/>
          <w:sz w:val="32"/>
          <w:szCs w:val="20"/>
          <w14:textFill>
            <w14:solidFill>
              <w14:schemeClr w14:val="tx1"/>
            </w14:solidFill>
          </w14:textFill>
        </w:rPr>
        <w:t>切实做好婴幼儿基本公共卫生服务，将婴幼儿纳入家庭医生签约服务重点人群，开展新生儿访视、疾病筛查、膳食营养、生长发育、预防接种、安全防范等服务。到2025年，新生儿访视率达100%。</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责任单位：</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区卫健委）</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全面落实税费优惠政策。对为社区提供托育服务的机构，按规定免征增值税、契税、房产税、城镇土地使用税等相关税费，在计算应纳税所得额时，减按90%计入收入总额。托育机构用电、用水、用气、用热执行居民价格，不得以土地、房屋性质等为理由拒绝执行相关价格政策。因计量等操作性原因无法执行的，采取定比定量、“转供”改“直供”、探索运用大数据等方式予以妥善解决。</w:t>
      </w:r>
      <w:r>
        <w:rPr>
          <w:rFonts w:hint="default" w:ascii="Times New Roman" w:hAnsi="Times New Roman" w:eastAsia="方正仿宋_GBK" w:cs="Times New Roman"/>
          <w:b w:val="0"/>
          <w:bCs w:val="0"/>
          <w:color w:val="000000" w:themeColor="text1"/>
          <w:sz w:val="32"/>
          <w:szCs w:val="20"/>
          <w14:textFill>
            <w14:solidFill>
              <w14:schemeClr w14:val="tx1"/>
            </w14:solidFill>
          </w14:textFill>
        </w:rPr>
        <w:t>企事业单位设立的职工婴幼儿照护服务所产生的费用，可</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以按照规定在税前扣除。托儿所提供保育和教育服务取得的收入，符合规定条件的，免征增值税。</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责任单位：</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区</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税务局</w:t>
      </w: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区发改委、区</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总工会</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16</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优化托育营商环境。推进营商环境建设，试行“一照多址”改革，已完成登记和备案的托育机构，在同一行政区域内建设运营的社区服务站点，可以不注册分公司。深化托育服务“放管服”改革，完善机构设立办理指南，优化办事流程，实施并联服务，明确办理时限。推进同一事项无差别受理、同标准办理，力争实现“最多跑一次”。推进托育政务服务“好差评”工作，完善评价规则，加强评价结果运用，改进提升政务服务质量。</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责任单位：</w:t>
      </w: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区行政审批局、区卫健委）</w:t>
      </w:r>
    </w:p>
    <w:p>
      <w:pPr>
        <w:pStyle w:val="6"/>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17</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加大财政支持力度。</w:t>
      </w:r>
      <w:r>
        <w:rPr>
          <w:rFonts w:hint="default" w:ascii="Times New Roman" w:hAnsi="Times New Roman" w:eastAsia="方正仿宋_GBK" w:cs="Times New Roman"/>
          <w:b w:val="0"/>
          <w:bCs w:val="0"/>
          <w:snapToGrid w:val="0"/>
          <w:color w:val="000000" w:themeColor="text1"/>
          <w:spacing w:val="6"/>
          <w:kern w:val="0"/>
          <w:sz w:val="32"/>
          <w:szCs w:val="32"/>
          <w:lang w:val="en-US" w:eastAsia="zh-CN"/>
          <w14:textFill>
            <w14:solidFill>
              <w14:schemeClr w14:val="tx1"/>
            </w14:solidFill>
          </w14:textFill>
        </w:rPr>
        <w:t>建立托育服务专项工作经费，并纳入每年部门预算，主要用于托育机构建设和运行补贴。建设补贴：新建或改扩建托育项目，自有住房或租期5年以上的，运营一年以上且通过备案，40个托位及以下一次性补贴5万元，40个托位以上一次性补贴10万元；对在全区范围内，连锁经营3家及以上，或1家收托150人以上，正常运营一年以上的，给予10万元一次性奖励；评为市级普惠托育机构，正常运营一年以上，给予6万元/家一次性奖励。运营补贴按照市相关文件执行。所需资金按比例由区财政承担。</w:t>
      </w:r>
      <w:r>
        <w:rPr>
          <w:rFonts w:hint="default" w:ascii="方正楷体_GBK" w:hAnsi="方正楷体_GBK" w:eastAsia="方正楷体_GBK" w:cs="方正楷体_GBK"/>
          <w:b w:val="0"/>
          <w:bCs w:val="0"/>
          <w:snapToGrid w:val="0"/>
          <w:color w:val="000000" w:themeColor="text1"/>
          <w:kern w:val="0"/>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pacing w:val="6"/>
          <w:sz w:val="32"/>
          <w:szCs w:val="32"/>
          <w:lang w:eastAsia="zh-CN"/>
          <w14:textFill>
            <w14:solidFill>
              <w14:schemeClr w14:val="tx1"/>
            </w14:solidFill>
          </w14:textFill>
        </w:rPr>
        <w:t>责任单位：</w:t>
      </w:r>
      <w:r>
        <w:rPr>
          <w:rFonts w:hint="default" w:ascii="方正楷体_GBK" w:hAnsi="方正楷体_GBK" w:eastAsia="方正楷体_GBK" w:cs="方正楷体_GBK"/>
          <w:b w:val="0"/>
          <w:bCs w:val="0"/>
          <w:snapToGrid w:val="0"/>
          <w:color w:val="000000" w:themeColor="text1"/>
          <w:kern w:val="0"/>
          <w:sz w:val="32"/>
          <w:szCs w:val="32"/>
          <w14:textFill>
            <w14:solidFill>
              <w14:schemeClr w14:val="tx1"/>
            </w14:solidFill>
          </w14:textFill>
        </w:rPr>
        <w:t>区财政局</w:t>
      </w:r>
      <w:r>
        <w:rPr>
          <w:rFonts w:hint="eastAsia" w:ascii="方正楷体_GBK" w:hAnsi="方正楷体_GBK" w:eastAsia="方正楷体_GBK" w:cs="方正楷体_GBK"/>
          <w:b w:val="0"/>
          <w:bCs w:val="0"/>
          <w:snapToGrid w:val="0"/>
          <w:color w:val="000000" w:themeColor="text1"/>
          <w:kern w:val="0"/>
          <w:sz w:val="32"/>
          <w:szCs w:val="32"/>
          <w:lang w:eastAsia="zh-CN"/>
          <w14:textFill>
            <w14:solidFill>
              <w14:schemeClr w14:val="tx1"/>
            </w14:solidFill>
          </w14:textFill>
        </w:rPr>
        <w:t>、</w:t>
      </w:r>
      <w:r>
        <w:rPr>
          <w:rFonts w:hint="eastAsia" w:ascii="方正楷体_GBK" w:hAnsi="方正楷体_GBK" w:eastAsia="方正楷体_GBK" w:cs="方正楷体_GBK"/>
          <w:b w:val="0"/>
          <w:bCs w:val="0"/>
          <w:snapToGrid w:val="0"/>
          <w:color w:val="000000" w:themeColor="text1"/>
          <w:kern w:val="0"/>
          <w:sz w:val="32"/>
          <w:szCs w:val="32"/>
          <w:lang w:val="en-US" w:eastAsia="zh-CN"/>
          <w14:textFill>
            <w14:solidFill>
              <w14:schemeClr w14:val="tx1"/>
            </w14:solidFill>
          </w14:textFill>
        </w:rPr>
        <w:t>区卫健委</w:t>
      </w:r>
      <w:r>
        <w:rPr>
          <w:rFonts w:hint="default" w:ascii="方正楷体_GBK" w:hAnsi="方正楷体_GBK" w:eastAsia="方正楷体_GBK" w:cs="方正楷体_GBK"/>
          <w:b w:val="0"/>
          <w:bCs w:val="0"/>
          <w:snapToGrid w:val="0"/>
          <w:color w:val="000000" w:themeColor="text1"/>
          <w:kern w:val="0"/>
          <w:sz w:val="32"/>
          <w:szCs w:val="32"/>
          <w14:textFill>
            <w14:solidFill>
              <w14:schemeClr w14:val="tx1"/>
            </w14:solidFill>
          </w14:textFill>
        </w:rPr>
        <w:t>）</w:t>
      </w:r>
    </w:p>
    <w:p>
      <w:pPr>
        <w:pStyle w:val="6"/>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64" w:firstLineChars="200"/>
        <w:textAlignment w:val="baseline"/>
        <w:rPr>
          <w:rFonts w:hint="eastAsia" w:ascii="方正黑体_GBK" w:hAnsi="方正黑体_GBK" w:eastAsia="方正黑体_GBK" w:cs="方正黑体_GBK"/>
          <w:b w:val="0"/>
          <w:bCs w:val="0"/>
          <w:snapToGrid w:val="0"/>
          <w:color w:val="000000" w:themeColor="text1"/>
          <w:spacing w:val="6"/>
          <w:kern w:val="0"/>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spacing w:val="6"/>
          <w:kern w:val="0"/>
          <w:sz w:val="32"/>
          <w:szCs w:val="32"/>
          <w:lang w:val="en-US" w:eastAsia="zh-CN"/>
          <w14:textFill>
            <w14:solidFill>
              <w14:schemeClr w14:val="tx1"/>
            </w14:solidFill>
          </w14:textFill>
        </w:rPr>
        <w:t>五、保障措施</w:t>
      </w:r>
    </w:p>
    <w:p>
      <w:pPr>
        <w:pStyle w:val="6"/>
        <w:keepNext w:val="0"/>
        <w:keepLines w:val="0"/>
        <w:pageBreakBefore w:val="0"/>
        <w:widowControl w:val="0"/>
        <w:kinsoku/>
        <w:wordWrap/>
        <w:overflowPunct w:val="0"/>
        <w:topLinePunct w:val="0"/>
        <w:autoSpaceDE w:val="0"/>
        <w:autoSpaceDN w:val="0"/>
        <w:bidi w:val="0"/>
        <w:adjustRightInd w:val="0"/>
        <w:snapToGrid w:val="0"/>
        <w:spacing w:line="560" w:lineRule="exact"/>
        <w:ind w:firstLine="664" w:firstLineChars="200"/>
        <w:textAlignment w:val="baseline"/>
        <w:rPr>
          <w:rFonts w:hint="default" w:ascii="Times New Roman" w:hAnsi="Times New Roman" w:eastAsia="方正仿宋_GBK" w:cs="Times New Roman"/>
          <w:b w:val="0"/>
          <w:bCs w:val="0"/>
          <w:snapToGrid w:val="0"/>
          <w:color w:val="000000" w:themeColor="text1"/>
          <w:spacing w:val="6"/>
          <w:kern w:val="0"/>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snapToGrid w:val="0"/>
          <w:color w:val="000000" w:themeColor="text1"/>
          <w:spacing w:val="6"/>
          <w:kern w:val="0"/>
          <w:sz w:val="32"/>
          <w:szCs w:val="32"/>
          <w:lang w:val="en-US" w:eastAsia="zh-CN"/>
          <w14:textFill>
            <w14:solidFill>
              <w14:schemeClr w14:val="tx1"/>
            </w14:solidFill>
          </w14:textFill>
        </w:rPr>
        <w:t>（一）强化组织保障。</w:t>
      </w:r>
      <w:r>
        <w:rPr>
          <w:rFonts w:hint="default" w:ascii="Times New Roman" w:hAnsi="Times New Roman" w:eastAsia="方正仿宋_GBK" w:cs="Times New Roman"/>
          <w:b w:val="0"/>
          <w:bCs w:val="0"/>
          <w:snapToGrid w:val="0"/>
          <w:color w:val="000000" w:themeColor="text1"/>
          <w:spacing w:val="6"/>
          <w:kern w:val="0"/>
          <w:sz w:val="32"/>
          <w:szCs w:val="32"/>
          <w:lang w:val="en-US" w:eastAsia="zh-CN"/>
          <w14:textFill>
            <w14:solidFill>
              <w14:schemeClr w14:val="tx1"/>
            </w14:solidFill>
          </w14:textFill>
        </w:rPr>
        <w:t>按照党委领导、政府主导、部门负责、党政主要负责同志挂帅、社会参与的“一老一小”工作推进机制，成立海陵区积极应对人口老龄化工作领导小组，明确年度工作任务和目标，细化各部门、</w:t>
      </w:r>
      <w:r>
        <w:rPr>
          <w:rFonts w:hint="eastAsia" w:ascii="Times New Roman" w:hAnsi="Times New Roman" w:eastAsia="方正仿宋_GBK" w:cs="Times New Roman"/>
          <w:b w:val="0"/>
          <w:bCs w:val="0"/>
          <w:snapToGrid w:val="0"/>
          <w:color w:val="000000" w:themeColor="text1"/>
          <w:spacing w:val="6"/>
          <w:kern w:val="0"/>
          <w:sz w:val="32"/>
          <w:szCs w:val="32"/>
          <w:lang w:val="en-US" w:eastAsia="zh-CN"/>
          <w14:textFill>
            <w14:solidFill>
              <w14:schemeClr w14:val="tx1"/>
            </w14:solidFill>
          </w14:textFill>
        </w:rPr>
        <w:t>各</w:t>
      </w:r>
      <w:r>
        <w:rPr>
          <w:rFonts w:hint="default" w:ascii="Times New Roman" w:hAnsi="Times New Roman" w:eastAsia="方正仿宋_GBK" w:cs="Times New Roman"/>
          <w:b w:val="0"/>
          <w:bCs w:val="0"/>
          <w:snapToGrid w:val="0"/>
          <w:color w:val="000000" w:themeColor="text1"/>
          <w:spacing w:val="6"/>
          <w:kern w:val="0"/>
          <w:sz w:val="32"/>
          <w:szCs w:val="32"/>
          <w:lang w:val="en-US" w:eastAsia="zh-CN"/>
          <w14:textFill>
            <w14:solidFill>
              <w14:schemeClr w14:val="tx1"/>
            </w14:solidFill>
          </w14:textFill>
        </w:rPr>
        <w:t>镇街责任分工，确保各项任务稳步推进。</w:t>
      </w:r>
    </w:p>
    <w:p>
      <w:pPr>
        <w:pStyle w:val="6"/>
        <w:keepNext w:val="0"/>
        <w:keepLines w:val="0"/>
        <w:pageBreakBefore w:val="0"/>
        <w:widowControl w:val="0"/>
        <w:kinsoku/>
        <w:wordWrap/>
        <w:overflowPunct w:val="0"/>
        <w:topLinePunct w:val="0"/>
        <w:autoSpaceDE w:val="0"/>
        <w:autoSpaceDN w:val="0"/>
        <w:bidi w:val="0"/>
        <w:adjustRightInd w:val="0"/>
        <w:snapToGrid w:val="0"/>
        <w:spacing w:line="560" w:lineRule="exact"/>
        <w:ind w:firstLine="664" w:firstLineChars="200"/>
        <w:textAlignment w:val="baseline"/>
        <w:rPr>
          <w:rFonts w:hint="default" w:ascii="Times New Roman" w:hAnsi="Times New Roman" w:eastAsia="方正仿宋_GBK" w:cs="Times New Roman"/>
          <w:b w:val="0"/>
          <w:bCs w:val="0"/>
          <w:snapToGrid w:val="0"/>
          <w:color w:val="000000" w:themeColor="text1"/>
          <w:spacing w:val="6"/>
          <w:kern w:val="0"/>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snapToGrid w:val="0"/>
          <w:color w:val="000000" w:themeColor="text1"/>
          <w:spacing w:val="6"/>
          <w:kern w:val="0"/>
          <w:sz w:val="32"/>
          <w:szCs w:val="32"/>
          <w:lang w:val="en-US" w:eastAsia="zh-CN"/>
          <w14:textFill>
            <w14:solidFill>
              <w14:schemeClr w14:val="tx1"/>
            </w14:solidFill>
          </w14:textFill>
        </w:rPr>
        <w:t>（二）强化考核评价。</w:t>
      </w:r>
      <w:r>
        <w:rPr>
          <w:rFonts w:hint="default" w:ascii="Times New Roman" w:hAnsi="Times New Roman" w:eastAsia="方正仿宋_GBK" w:cs="Times New Roman"/>
          <w:b w:val="0"/>
          <w:bCs w:val="0"/>
          <w:snapToGrid w:val="0"/>
          <w:color w:val="000000" w:themeColor="text1"/>
          <w:spacing w:val="6"/>
          <w:kern w:val="0"/>
          <w:sz w:val="32"/>
          <w:szCs w:val="32"/>
          <w:lang w:val="en-US" w:eastAsia="zh-CN"/>
          <w14:textFill>
            <w14:solidFill>
              <w14:schemeClr w14:val="tx1"/>
            </w14:solidFill>
          </w14:textFill>
        </w:rPr>
        <w:t>重点工作目标任务将纳入区委区政府综合考评体系以及民生实事清单，保障工作的有效推进。建立针对各部门、镇街工作推进情况的监督考评制度，考核结果作为干部选拔任用、评优评先、组织资源配置和组织手段使用的重要参考。</w:t>
      </w:r>
    </w:p>
    <w:p>
      <w:pPr>
        <w:pStyle w:val="6"/>
        <w:keepNext w:val="0"/>
        <w:keepLines w:val="0"/>
        <w:pageBreakBefore w:val="0"/>
        <w:widowControl w:val="0"/>
        <w:kinsoku/>
        <w:wordWrap/>
        <w:overflowPunct w:val="0"/>
        <w:topLinePunct w:val="0"/>
        <w:autoSpaceDE w:val="0"/>
        <w:autoSpaceDN w:val="0"/>
        <w:bidi w:val="0"/>
        <w:adjustRightInd w:val="0"/>
        <w:snapToGrid w:val="0"/>
        <w:spacing w:line="560" w:lineRule="exact"/>
        <w:ind w:firstLine="664" w:firstLineChars="200"/>
        <w:textAlignment w:val="baseline"/>
        <w:rPr>
          <w:rFonts w:hint="default" w:ascii="Times New Roman" w:hAnsi="Times New Roman" w:eastAsia="方正仿宋_GBK" w:cs="Times New Roman"/>
          <w:b w:val="0"/>
          <w:bCs w:val="0"/>
          <w:snapToGrid w:val="0"/>
          <w:color w:val="000000" w:themeColor="text1"/>
          <w:spacing w:val="6"/>
          <w:kern w:val="0"/>
          <w:sz w:val="32"/>
          <w:szCs w:val="32"/>
          <w:lang w:val="en-US" w:eastAsia="zh-CN"/>
          <w14:textFill>
            <w14:solidFill>
              <w14:schemeClr w14:val="tx1"/>
            </w14:solidFill>
          </w14:textFill>
        </w:rPr>
      </w:pPr>
      <w:r>
        <w:rPr>
          <w:rFonts w:hint="default" w:ascii="方正楷体_GBK" w:hAnsi="方正楷体_GBK" w:eastAsia="方正楷体_GBK" w:cs="方正楷体_GBK"/>
          <w:b w:val="0"/>
          <w:bCs w:val="0"/>
          <w:snapToGrid w:val="0"/>
          <w:color w:val="000000" w:themeColor="text1"/>
          <w:spacing w:val="6"/>
          <w:kern w:val="0"/>
          <w:sz w:val="32"/>
          <w:szCs w:val="32"/>
          <w:lang w:val="en-US" w:eastAsia="zh-CN"/>
          <w14:textFill>
            <w14:solidFill>
              <w14:schemeClr w14:val="tx1"/>
            </w14:solidFill>
          </w14:textFill>
        </w:rPr>
        <w:t>（三）</w:t>
      </w:r>
      <w:r>
        <w:rPr>
          <w:rFonts w:hint="eastAsia" w:ascii="方正楷体_GBK" w:hAnsi="方正楷体_GBK" w:eastAsia="方正楷体_GBK" w:cs="方正楷体_GBK"/>
          <w:b w:val="0"/>
          <w:bCs w:val="0"/>
          <w:snapToGrid w:val="0"/>
          <w:color w:val="000000" w:themeColor="text1"/>
          <w:spacing w:val="6"/>
          <w:kern w:val="0"/>
          <w:sz w:val="32"/>
          <w:szCs w:val="32"/>
          <w:lang w:val="en-US" w:eastAsia="zh-CN"/>
          <w14:textFill>
            <w14:solidFill>
              <w14:schemeClr w14:val="tx1"/>
            </w14:solidFill>
          </w14:textFill>
        </w:rPr>
        <w:t>强化</w:t>
      </w:r>
      <w:r>
        <w:rPr>
          <w:rFonts w:hint="default" w:ascii="方正楷体_GBK" w:hAnsi="方正楷体_GBK" w:eastAsia="方正楷体_GBK" w:cs="方正楷体_GBK"/>
          <w:b w:val="0"/>
          <w:bCs w:val="0"/>
          <w:snapToGrid w:val="0"/>
          <w:color w:val="000000" w:themeColor="text1"/>
          <w:spacing w:val="6"/>
          <w:kern w:val="0"/>
          <w:sz w:val="32"/>
          <w:szCs w:val="32"/>
          <w:lang w:val="en-US" w:eastAsia="zh-CN"/>
          <w14:textFill>
            <w14:solidFill>
              <w14:schemeClr w14:val="tx1"/>
            </w14:solidFill>
          </w14:textFill>
        </w:rPr>
        <w:t>宣传引导。</w:t>
      </w:r>
      <w:r>
        <w:rPr>
          <w:rFonts w:hint="default" w:ascii="Times New Roman" w:hAnsi="Times New Roman" w:eastAsia="方正仿宋_GBK" w:cs="Times New Roman"/>
          <w:b w:val="0"/>
          <w:bCs w:val="0"/>
          <w:snapToGrid w:val="0"/>
          <w:color w:val="000000" w:themeColor="text1"/>
          <w:spacing w:val="6"/>
          <w:kern w:val="0"/>
          <w:sz w:val="32"/>
          <w:szCs w:val="32"/>
          <w:lang w:val="en-US" w:eastAsia="zh-CN"/>
          <w14:textFill>
            <w14:solidFill>
              <w14:schemeClr w14:val="tx1"/>
            </w14:solidFill>
          </w14:textFill>
        </w:rPr>
        <w:t>加强老年和儿童友好社会环境建设，在全社会弘扬尊老爱幼社会风尚。主动对接各级各类媒体，深入宣传“一老一小”工作重要举措和成效。适时总结成功经验做法，做好典型做法的宣传推广，引导形成全社会共推“一老一小”工作的良好氛围。</w:t>
      </w:r>
    </w:p>
    <w:p>
      <w:pPr>
        <w:pStyle w:val="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textAlignment w:val="baseline"/>
        <w:rPr>
          <w:rFonts w:hint="eastAsia" w:ascii="Times New Roman" w:hAnsi="Times New Roman" w:eastAsia="方正仿宋_GBK" w:cs="Arial"/>
          <w:b w:val="0"/>
          <w:bCs w:val="0"/>
          <w:snapToGrid w:val="0"/>
          <w:color w:val="000000" w:themeColor="text1"/>
          <w:spacing w:val="6"/>
          <w:kern w:val="0"/>
          <w:sz w:val="32"/>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664" w:firstLineChars="200"/>
        <w:textAlignment w:val="baseline"/>
        <w:rPr>
          <w:rFonts w:hint="eastAsia" w:ascii="Times New Roman" w:hAnsi="Times New Roman" w:eastAsia="方正仿宋_GBK" w:cs="Arial"/>
          <w:b w:val="0"/>
          <w:bCs w:val="0"/>
          <w:snapToGrid w:val="0"/>
          <w:color w:val="000000" w:themeColor="text1"/>
          <w:spacing w:val="6"/>
          <w:kern w:val="0"/>
          <w:sz w:val="32"/>
          <w:szCs w:val="32"/>
          <w:lang w:val="en-US" w:eastAsia="zh-CN"/>
          <w14:textFill>
            <w14:solidFill>
              <w14:schemeClr w14:val="tx1"/>
            </w14:solidFill>
          </w14:textFill>
        </w:rPr>
      </w:pPr>
      <w:r>
        <w:rPr>
          <w:rFonts w:hint="eastAsia" w:ascii="Times New Roman" w:hAnsi="Times New Roman" w:eastAsia="方正仿宋_GBK" w:cs="Arial"/>
          <w:b w:val="0"/>
          <w:bCs w:val="0"/>
          <w:snapToGrid w:val="0"/>
          <w:color w:val="000000" w:themeColor="text1"/>
          <w:spacing w:val="6"/>
          <w:kern w:val="0"/>
          <w:sz w:val="32"/>
          <w:szCs w:val="32"/>
          <w:lang w:val="en-US" w:eastAsia="zh-CN"/>
          <w14:textFill>
            <w14:solidFill>
              <w14:schemeClr w14:val="tx1"/>
            </w14:solidFill>
          </w14:textFill>
        </w:rPr>
        <w:t>附件：1.海陵区养老领域整体解决方案任务分解表</w:t>
      </w:r>
    </w:p>
    <w:p>
      <w:pPr>
        <w:pStyle w:val="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1660" w:firstLineChars="500"/>
        <w:textAlignment w:val="baseline"/>
        <w:rPr>
          <w:rFonts w:hint="eastAsia" w:ascii="Times New Roman" w:hAnsi="Times New Roman" w:eastAsia="方正仿宋_GBK" w:cs="Arial"/>
          <w:b w:val="0"/>
          <w:bCs w:val="0"/>
          <w:snapToGrid w:val="0"/>
          <w:color w:val="000000" w:themeColor="text1"/>
          <w:spacing w:val="6"/>
          <w:kern w:val="0"/>
          <w:sz w:val="32"/>
          <w:szCs w:val="32"/>
          <w:lang w:val="en-US" w:eastAsia="zh-CN"/>
          <w14:textFill>
            <w14:solidFill>
              <w14:schemeClr w14:val="tx1"/>
            </w14:solidFill>
          </w14:textFill>
        </w:rPr>
        <w:sectPr>
          <w:footerReference r:id="rId5" w:type="default"/>
          <w:pgSz w:w="11906" w:h="16838"/>
          <w:pgMar w:top="1440" w:right="1531"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方正仿宋_GBK" w:cs="Arial"/>
          <w:b w:val="0"/>
          <w:bCs w:val="0"/>
          <w:snapToGrid w:val="0"/>
          <w:color w:val="000000" w:themeColor="text1"/>
          <w:spacing w:val="6"/>
          <w:kern w:val="0"/>
          <w:sz w:val="32"/>
          <w:szCs w:val="32"/>
          <w:lang w:val="en-US" w:eastAsia="zh-CN"/>
          <w14:textFill>
            <w14:solidFill>
              <w14:schemeClr w14:val="tx1"/>
            </w14:solidFill>
          </w14:textFill>
        </w:rPr>
        <w:t>2.海陵区托育领域整体解决方案任务分解表</w:t>
      </w:r>
    </w:p>
    <w:p>
      <w:pPr>
        <w:widowControl/>
        <w:ind w:left="-808" w:leftChars="-385" w:right="-860" w:rightChars="-410"/>
        <w:jc w:val="both"/>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附件1：</w:t>
      </w:r>
    </w:p>
    <w:p>
      <w:pPr>
        <w:widowControl/>
        <w:ind w:left="-808" w:leftChars="-385" w:right="-860" w:rightChars="-410"/>
        <w:jc w:val="center"/>
        <w:rPr>
          <w:rFonts w:eastAsia="等线"/>
          <w:color w:val="000000" w:themeColor="text1"/>
          <w:kern w:val="0"/>
          <w:sz w:val="44"/>
          <w:szCs w:val="44"/>
          <w14:textFill>
            <w14:solidFill>
              <w14:schemeClr w14:val="tx1"/>
            </w14:solidFill>
          </w14:textFill>
        </w:rPr>
      </w:pPr>
      <w:r>
        <w:rPr>
          <w:rFonts w:eastAsia="方正小标宋_GBK"/>
          <w:color w:val="000000" w:themeColor="text1"/>
          <w:kern w:val="0"/>
          <w:sz w:val="44"/>
          <w:szCs w:val="44"/>
          <w14:textFill>
            <w14:solidFill>
              <w14:schemeClr w14:val="tx1"/>
            </w14:solidFill>
          </w14:textFill>
        </w:rPr>
        <w:t>海陵区养老领域整体解决方案任务分解表</w:t>
      </w:r>
    </w:p>
    <w:tbl>
      <w:tblPr>
        <w:tblStyle w:val="12"/>
        <w:tblW w:w="15321" w:type="dxa"/>
        <w:jc w:val="center"/>
        <w:tblLayout w:type="autofit"/>
        <w:tblCellMar>
          <w:top w:w="0" w:type="dxa"/>
          <w:left w:w="108" w:type="dxa"/>
          <w:bottom w:w="0" w:type="dxa"/>
          <w:right w:w="108" w:type="dxa"/>
        </w:tblCellMar>
      </w:tblPr>
      <w:tblGrid>
        <w:gridCol w:w="761"/>
        <w:gridCol w:w="2740"/>
        <w:gridCol w:w="1559"/>
        <w:gridCol w:w="2410"/>
        <w:gridCol w:w="1133"/>
        <w:gridCol w:w="2272"/>
        <w:gridCol w:w="2282"/>
        <w:gridCol w:w="2164"/>
      </w:tblGrid>
      <w:tr>
        <w:tblPrEx>
          <w:tblCellMar>
            <w:top w:w="0" w:type="dxa"/>
            <w:left w:w="108" w:type="dxa"/>
            <w:bottom w:w="0" w:type="dxa"/>
            <w:right w:w="108" w:type="dxa"/>
          </w:tblCellMar>
        </w:tblPrEx>
        <w:trPr>
          <w:trHeight w:val="567" w:hRule="exact"/>
          <w:jc w:val="center"/>
        </w:trPr>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黑体_GBK" w:cs="Times New Roman"/>
                <w:color w:val="000000" w:themeColor="text1"/>
                <w:kern w:val="0"/>
                <w:sz w:val="24"/>
                <w:szCs w:val="24"/>
                <w14:textFill>
                  <w14:solidFill>
                    <w14:schemeClr w14:val="tx1"/>
                  </w14:solidFill>
                </w14:textFill>
              </w:rPr>
              <w:t>序号</w:t>
            </w:r>
          </w:p>
        </w:tc>
        <w:tc>
          <w:tcPr>
            <w:tcW w:w="27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黑体_GBK" w:cs="Times New Roman"/>
                <w:color w:val="000000" w:themeColor="text1"/>
                <w:kern w:val="0"/>
                <w:sz w:val="24"/>
                <w:szCs w:val="24"/>
                <w14:textFill>
                  <w14:solidFill>
                    <w14:schemeClr w14:val="tx1"/>
                  </w14:solidFill>
                </w14:textFill>
              </w:rPr>
              <w:t>重点任务</w:t>
            </w:r>
          </w:p>
        </w:tc>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黑体_GBK" w:cs="Times New Roman"/>
                <w:color w:val="000000" w:themeColor="text1"/>
                <w:kern w:val="0"/>
                <w:sz w:val="24"/>
                <w:szCs w:val="24"/>
                <w14:textFill>
                  <w14:solidFill>
                    <w14:schemeClr w14:val="tx1"/>
                  </w14:solidFill>
                </w14:textFill>
              </w:rPr>
              <w:t>责任单位</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黑体_GBK" w:cs="Times New Roman"/>
                <w:color w:val="000000" w:themeColor="text1"/>
                <w:kern w:val="0"/>
                <w:sz w:val="24"/>
                <w:szCs w:val="24"/>
                <w14:textFill>
                  <w14:solidFill>
                    <w14:schemeClr w14:val="tx1"/>
                  </w14:solidFill>
                </w14:textFill>
              </w:rPr>
              <w:t>计划完</w:t>
            </w:r>
            <w:r>
              <w:rPr>
                <w:rFonts w:hint="default" w:ascii="Times New Roman" w:hAnsi="Times New Roman" w:eastAsia="等线" w:cs="Times New Roman"/>
                <w:color w:val="000000" w:themeColor="text1"/>
                <w:kern w:val="0"/>
                <w:sz w:val="24"/>
                <w:szCs w:val="24"/>
                <w14:textFill>
                  <w14:solidFill>
                    <w14:schemeClr w14:val="tx1"/>
                  </w14:solidFill>
                </w14:textFill>
              </w:rPr>
              <w:br w:type="textWrapping"/>
            </w:r>
            <w:r>
              <w:rPr>
                <w:rFonts w:hint="default" w:ascii="Times New Roman" w:hAnsi="Times New Roman" w:eastAsia="方正黑体_GBK" w:cs="Times New Roman"/>
                <w:color w:val="000000" w:themeColor="text1"/>
                <w:kern w:val="0"/>
                <w:sz w:val="24"/>
                <w:szCs w:val="24"/>
                <w14:textFill>
                  <w14:solidFill>
                    <w14:schemeClr w14:val="tx1"/>
                  </w14:solidFill>
                </w14:textFill>
              </w:rPr>
              <w:t>成时间</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2023</w:t>
            </w:r>
            <w:r>
              <w:rPr>
                <w:rFonts w:hint="default" w:ascii="Times New Roman" w:hAnsi="Times New Roman" w:eastAsia="方正黑体_GBK" w:cs="Times New Roman"/>
                <w:color w:val="000000" w:themeColor="text1"/>
                <w:kern w:val="0"/>
                <w:sz w:val="24"/>
                <w:szCs w:val="24"/>
                <w14:textFill>
                  <w14:solidFill>
                    <w14:schemeClr w14:val="tx1"/>
                  </w14:solidFill>
                </w14:textFill>
              </w:rPr>
              <w:t>年目标任务</w:t>
            </w:r>
          </w:p>
        </w:tc>
        <w:tc>
          <w:tcPr>
            <w:tcW w:w="22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2024</w:t>
            </w:r>
            <w:r>
              <w:rPr>
                <w:rFonts w:hint="default" w:ascii="Times New Roman" w:hAnsi="Times New Roman" w:eastAsia="方正黑体_GBK" w:cs="Times New Roman"/>
                <w:color w:val="000000" w:themeColor="text1"/>
                <w:kern w:val="0"/>
                <w:sz w:val="24"/>
                <w:szCs w:val="24"/>
                <w14:textFill>
                  <w14:solidFill>
                    <w14:schemeClr w14:val="tx1"/>
                  </w14:solidFill>
                </w14:textFill>
              </w:rPr>
              <w:t>年目标任务</w:t>
            </w:r>
          </w:p>
        </w:tc>
        <w:tc>
          <w:tcPr>
            <w:tcW w:w="21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2025</w:t>
            </w:r>
            <w:r>
              <w:rPr>
                <w:rFonts w:hint="default" w:ascii="Times New Roman" w:hAnsi="Times New Roman" w:eastAsia="方正黑体_GBK" w:cs="Times New Roman"/>
                <w:color w:val="000000" w:themeColor="text1"/>
                <w:kern w:val="0"/>
                <w:sz w:val="24"/>
                <w:szCs w:val="24"/>
                <w14:textFill>
                  <w14:solidFill>
                    <w14:schemeClr w14:val="tx1"/>
                  </w14:solidFill>
                </w14:textFill>
              </w:rPr>
              <w:t>年目标任务</w:t>
            </w:r>
          </w:p>
        </w:tc>
      </w:tr>
      <w:tr>
        <w:tblPrEx>
          <w:tblCellMar>
            <w:top w:w="0" w:type="dxa"/>
            <w:left w:w="108" w:type="dxa"/>
            <w:bottom w:w="0" w:type="dxa"/>
            <w:right w:w="108" w:type="dxa"/>
          </w:tblCellMar>
        </w:tblPrEx>
        <w:trPr>
          <w:trHeight w:val="567" w:hRule="exact"/>
          <w:jc w:val="center"/>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p>
        </w:tc>
        <w:tc>
          <w:tcPr>
            <w:tcW w:w="27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黑体_GBK" w:cs="Times New Roman"/>
                <w:color w:val="000000" w:themeColor="text1"/>
                <w:kern w:val="0"/>
                <w:sz w:val="24"/>
                <w:szCs w:val="24"/>
                <w14:textFill>
                  <w14:solidFill>
                    <w14:schemeClr w14:val="tx1"/>
                  </w14:solidFill>
                </w14:textFill>
              </w:rPr>
              <w:t>主办单位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黑体_GBK" w:cs="Times New Roman"/>
                <w:color w:val="000000" w:themeColor="text1"/>
                <w:kern w:val="0"/>
                <w:sz w:val="24"/>
                <w:szCs w:val="24"/>
                <w14:textFill>
                  <w14:solidFill>
                    <w14:schemeClr w14:val="tx1"/>
                  </w14:solidFill>
                </w14:textFill>
              </w:rPr>
              <w:t>协办单位</w:t>
            </w:r>
          </w:p>
        </w:tc>
        <w:tc>
          <w:tcPr>
            <w:tcW w:w="11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p>
        </w:tc>
        <w:tc>
          <w:tcPr>
            <w:tcW w:w="22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p>
        </w:tc>
        <w:tc>
          <w:tcPr>
            <w:tcW w:w="22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p>
        </w:tc>
        <w:tc>
          <w:tcPr>
            <w:tcW w:w="21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67" w:hRule="exact"/>
          <w:jc w:val="center"/>
        </w:trPr>
        <w:tc>
          <w:tcPr>
            <w:tcW w:w="1532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黑体_GBK" w:cs="Times New Roman"/>
                <w:color w:val="000000" w:themeColor="text1"/>
                <w:kern w:val="0"/>
                <w:sz w:val="24"/>
                <w:szCs w:val="24"/>
                <w14:textFill>
                  <w14:solidFill>
                    <w14:schemeClr w14:val="tx1"/>
                  </w14:solidFill>
                </w14:textFill>
              </w:rPr>
              <w:t>一、完善基本养老服务体系</w:t>
            </w:r>
          </w:p>
        </w:tc>
      </w:tr>
      <w:tr>
        <w:tblPrEx>
          <w:tblCellMar>
            <w:top w:w="0" w:type="dxa"/>
            <w:left w:w="108" w:type="dxa"/>
            <w:bottom w:w="0" w:type="dxa"/>
            <w:right w:w="108" w:type="dxa"/>
          </w:tblCellMar>
        </w:tblPrEx>
        <w:trPr>
          <w:trHeight w:val="284"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动态发布基本养老服务清单</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区民政局</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区发改委</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区卫健委等</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长期</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动态发布</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动态发布</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动态发布</w:t>
            </w:r>
          </w:p>
        </w:tc>
      </w:tr>
      <w:tr>
        <w:tblPrEx>
          <w:tblCellMar>
            <w:top w:w="0" w:type="dxa"/>
            <w:left w:w="108" w:type="dxa"/>
            <w:bottom w:w="0" w:type="dxa"/>
            <w:right w:w="108" w:type="dxa"/>
          </w:tblCellMar>
        </w:tblPrEx>
        <w:trPr>
          <w:trHeight w:val="284"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强化养老服务兜底保障</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区民政局</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区财政局</w:t>
            </w:r>
            <w:r>
              <w:rPr>
                <w:rFonts w:hint="default" w:ascii="Times New Roman" w:hAnsi="Times New Roman" w:eastAsia="等线" w:cs="Times New Roman"/>
                <w:color w:val="000000" w:themeColor="text1"/>
                <w:kern w:val="0"/>
                <w:sz w:val="24"/>
                <w:szCs w:val="24"/>
                <w14:textFill>
                  <w14:solidFill>
                    <w14:schemeClr w14:val="tx1"/>
                  </w14:solidFill>
                </w14:textFill>
              </w:rPr>
              <w:br w:type="textWrapping"/>
            </w:r>
            <w:r>
              <w:rPr>
                <w:rFonts w:hint="default" w:ascii="Times New Roman" w:hAnsi="Times New Roman" w:eastAsia="方正仿宋_GBK" w:cs="Times New Roman"/>
                <w:color w:val="000000" w:themeColor="text1"/>
                <w:kern w:val="0"/>
                <w:sz w:val="24"/>
                <w:szCs w:val="24"/>
                <w14:textFill>
                  <w14:solidFill>
                    <w14:schemeClr w14:val="tx1"/>
                  </w14:solidFill>
                </w14:textFill>
              </w:rPr>
              <w:t>各镇街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长期</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开展特困人员集中供养需求摸底排查，实现</w:t>
            </w:r>
            <w:r>
              <w:rPr>
                <w:rFonts w:hint="default" w:ascii="Times New Roman" w:hAnsi="Times New Roman" w:eastAsia="等线"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应养尽养</w:t>
            </w:r>
            <w:r>
              <w:rPr>
                <w:rFonts w:hint="default" w:ascii="Times New Roman" w:hAnsi="Times New Roman" w:eastAsia="等线"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建成具备失能（失智）特困人员集中供养服务功能的机构</w:t>
            </w:r>
            <w:r>
              <w:rPr>
                <w:rFonts w:hint="default" w:ascii="Times New Roman" w:hAnsi="Times New Roman" w:eastAsia="等线" w:cs="Times New Roman"/>
                <w:color w:val="000000" w:themeColor="text1"/>
                <w:kern w:val="0"/>
                <w:sz w:val="24"/>
                <w:szCs w:val="24"/>
                <w14:textFill>
                  <w14:solidFill>
                    <w14:schemeClr w14:val="tx1"/>
                  </w14:solidFill>
                </w14:textFill>
              </w:rPr>
              <w:t>1</w:t>
            </w:r>
            <w:r>
              <w:rPr>
                <w:rFonts w:hint="default" w:ascii="Times New Roman" w:hAnsi="Times New Roman" w:eastAsia="方正仿宋_GBK" w:cs="Times New Roman"/>
                <w:color w:val="000000" w:themeColor="text1"/>
                <w:kern w:val="0"/>
                <w:sz w:val="24"/>
                <w:szCs w:val="24"/>
                <w14:textFill>
                  <w14:solidFill>
                    <w14:schemeClr w14:val="tx1"/>
                  </w14:solidFill>
                </w14:textFill>
              </w:rPr>
              <w:t>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建成具备失能（失智）特困人员集中供养服务功能的机构</w:t>
            </w:r>
            <w:r>
              <w:rPr>
                <w:rFonts w:hint="default" w:ascii="Times New Roman" w:hAnsi="Times New Roman" w:eastAsia="等线" w:cs="Times New Roman"/>
                <w:color w:val="000000" w:themeColor="text1"/>
                <w:kern w:val="0"/>
                <w:sz w:val="24"/>
                <w:szCs w:val="24"/>
                <w14:textFill>
                  <w14:solidFill>
                    <w14:schemeClr w14:val="tx1"/>
                  </w14:solidFill>
                </w14:textFill>
              </w:rPr>
              <w:t>1</w:t>
            </w:r>
            <w:r>
              <w:rPr>
                <w:rFonts w:hint="default" w:ascii="Times New Roman" w:hAnsi="Times New Roman" w:eastAsia="方正仿宋_GBK" w:cs="Times New Roman"/>
                <w:color w:val="000000" w:themeColor="text1"/>
                <w:kern w:val="0"/>
                <w:sz w:val="24"/>
                <w:szCs w:val="24"/>
                <w14:textFill>
                  <w14:solidFill>
                    <w14:schemeClr w14:val="tx1"/>
                  </w14:solidFill>
                </w14:textFill>
              </w:rPr>
              <w:t>家</w:t>
            </w:r>
          </w:p>
        </w:tc>
      </w:tr>
      <w:tr>
        <w:tblPrEx>
          <w:tblCellMar>
            <w:top w:w="0" w:type="dxa"/>
            <w:left w:w="108" w:type="dxa"/>
            <w:bottom w:w="0" w:type="dxa"/>
            <w:right w:w="108" w:type="dxa"/>
          </w:tblCellMar>
        </w:tblPrEx>
        <w:trPr>
          <w:trHeight w:val="284"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扩大普惠养老服务覆盖面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区民政局</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区委组织部</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区发改委</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区财政局等</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各镇街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2024</w:t>
            </w:r>
            <w:r>
              <w:rPr>
                <w:rFonts w:hint="default" w:ascii="Times New Roman" w:hAnsi="Times New Roman" w:eastAsia="方正仿宋_GBK" w:cs="Times New Roman"/>
                <w:color w:val="000000" w:themeColor="text1"/>
                <w:kern w:val="0"/>
                <w:sz w:val="24"/>
                <w:szCs w:val="24"/>
                <w14:textFill>
                  <w14:solidFill>
                    <w14:schemeClr w14:val="tx1"/>
                  </w14:solidFill>
                </w14:textFill>
              </w:rPr>
              <w:t>年</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试点公办养老机构向社会开放；培育助老社会组织</w:t>
            </w:r>
            <w:r>
              <w:rPr>
                <w:rFonts w:hint="default" w:ascii="Times New Roman" w:hAnsi="Times New Roman" w:eastAsia="等线" w:cs="Times New Roman"/>
                <w:color w:val="000000" w:themeColor="text1"/>
                <w:kern w:val="0"/>
                <w:sz w:val="24"/>
                <w:szCs w:val="24"/>
                <w14:textFill>
                  <w14:solidFill>
                    <w14:schemeClr w14:val="tx1"/>
                  </w14:solidFill>
                </w14:textFill>
              </w:rPr>
              <w:t>8</w:t>
            </w:r>
            <w:r>
              <w:rPr>
                <w:rFonts w:hint="default" w:ascii="Times New Roman" w:hAnsi="Times New Roman" w:eastAsia="方正仿宋_GBK" w:cs="Times New Roman"/>
                <w:color w:val="000000" w:themeColor="text1"/>
                <w:kern w:val="0"/>
                <w:sz w:val="24"/>
                <w:szCs w:val="24"/>
                <w14:textFill>
                  <w14:solidFill>
                    <w14:schemeClr w14:val="tx1"/>
                  </w14:solidFill>
                </w14:textFill>
              </w:rPr>
              <w:t>家。</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拓展助老社会组织公益服务项目。</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w:t>
            </w:r>
          </w:p>
        </w:tc>
      </w:tr>
      <w:tr>
        <w:tblPrEx>
          <w:tblCellMar>
            <w:top w:w="0" w:type="dxa"/>
            <w:left w:w="108" w:type="dxa"/>
            <w:bottom w:w="0" w:type="dxa"/>
            <w:right w:w="108" w:type="dxa"/>
          </w:tblCellMar>
        </w:tblPrEx>
        <w:trPr>
          <w:trHeight w:val="567" w:hRule="exact"/>
          <w:jc w:val="center"/>
        </w:trPr>
        <w:tc>
          <w:tcPr>
            <w:tcW w:w="1532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黑体_GBK" w:cs="Times New Roman"/>
                <w:color w:val="000000" w:themeColor="text1"/>
                <w:kern w:val="0"/>
                <w:sz w:val="24"/>
                <w:szCs w:val="24"/>
                <w14:textFill>
                  <w14:solidFill>
                    <w14:schemeClr w14:val="tx1"/>
                  </w14:solidFill>
                </w14:textFill>
              </w:rPr>
              <w:t>二、构建多元养老服务供给</w:t>
            </w:r>
          </w:p>
        </w:tc>
      </w:tr>
      <w:tr>
        <w:tblPrEx>
          <w:tblCellMar>
            <w:top w:w="0" w:type="dxa"/>
            <w:left w:w="108" w:type="dxa"/>
            <w:bottom w:w="0" w:type="dxa"/>
            <w:right w:w="108" w:type="dxa"/>
          </w:tblCellMar>
        </w:tblPrEx>
        <w:trPr>
          <w:trHeight w:val="284" w:hRule="atLeast"/>
          <w:jc w:val="center"/>
        </w:trPr>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4</w:t>
            </w:r>
          </w:p>
        </w:tc>
        <w:tc>
          <w:tcPr>
            <w:tcW w:w="27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居家养老服务精准有效</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区民政局</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各镇街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2025</w:t>
            </w:r>
            <w:r>
              <w:rPr>
                <w:rFonts w:hint="default" w:ascii="Times New Roman" w:hAnsi="Times New Roman" w:eastAsia="方正仿宋_GBK" w:cs="Times New Roman"/>
                <w:color w:val="000000" w:themeColor="text1"/>
                <w:kern w:val="0"/>
                <w:sz w:val="24"/>
                <w:szCs w:val="24"/>
                <w14:textFill>
                  <w14:solidFill>
                    <w14:schemeClr w14:val="tx1"/>
                  </w14:solidFill>
                </w14:textFill>
              </w:rPr>
              <w:t>年</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老年人接受居家上门服务覆盖率达</w:t>
            </w:r>
            <w:r>
              <w:rPr>
                <w:rFonts w:hint="default" w:ascii="Times New Roman" w:hAnsi="Times New Roman" w:eastAsia="等线" w:cs="Times New Roman"/>
                <w:color w:val="000000" w:themeColor="text1"/>
                <w:kern w:val="0"/>
                <w:sz w:val="24"/>
                <w:szCs w:val="24"/>
                <w14:textFill>
                  <w14:solidFill>
                    <w14:schemeClr w14:val="tx1"/>
                  </w14:solidFill>
                </w14:textFill>
              </w:rPr>
              <w:t>16%</w:t>
            </w:r>
            <w:r>
              <w:rPr>
                <w:rFonts w:hint="default" w:ascii="Times New Roman" w:hAnsi="Times New Roman" w:eastAsia="方正仿宋_GBK" w:cs="Times New Roman"/>
                <w:color w:val="000000" w:themeColor="text1"/>
                <w:kern w:val="0"/>
                <w:sz w:val="24"/>
                <w:szCs w:val="24"/>
                <w14:textFill>
                  <w14:solidFill>
                    <w14:schemeClr w14:val="tx1"/>
                  </w14:solidFill>
                </w14:textFill>
              </w:rPr>
              <w:t>；新增家庭适老化改造</w:t>
            </w:r>
            <w:r>
              <w:rPr>
                <w:rFonts w:hint="default" w:ascii="Times New Roman" w:hAnsi="Times New Roman" w:eastAsia="等线" w:cs="Times New Roman"/>
                <w:color w:val="000000" w:themeColor="text1"/>
                <w:kern w:val="0"/>
                <w:sz w:val="24"/>
                <w:szCs w:val="24"/>
                <w14:textFill>
                  <w14:solidFill>
                    <w14:schemeClr w14:val="tx1"/>
                  </w14:solidFill>
                </w14:textFill>
              </w:rPr>
              <w:t>200</w:t>
            </w:r>
            <w:r>
              <w:rPr>
                <w:rFonts w:hint="default" w:ascii="Times New Roman" w:hAnsi="Times New Roman" w:eastAsia="方正仿宋_GBK" w:cs="Times New Roman"/>
                <w:color w:val="000000" w:themeColor="text1"/>
                <w:kern w:val="0"/>
                <w:sz w:val="24"/>
                <w:szCs w:val="24"/>
                <w14:textFill>
                  <w14:solidFill>
                    <w14:schemeClr w14:val="tx1"/>
                  </w14:solidFill>
                </w14:textFill>
              </w:rPr>
              <w:t>户；</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老年人接受居家上门服务覆盖率达</w:t>
            </w:r>
            <w:r>
              <w:rPr>
                <w:rFonts w:hint="default" w:ascii="Times New Roman" w:hAnsi="Times New Roman" w:eastAsia="等线" w:cs="Times New Roman"/>
                <w:color w:val="000000" w:themeColor="text1"/>
                <w:kern w:val="0"/>
                <w:sz w:val="24"/>
                <w:szCs w:val="24"/>
                <w14:textFill>
                  <w14:solidFill>
                    <w14:schemeClr w14:val="tx1"/>
                  </w14:solidFill>
                </w14:textFill>
              </w:rPr>
              <w:t>17%</w:t>
            </w:r>
            <w:r>
              <w:rPr>
                <w:rFonts w:hint="default" w:ascii="Times New Roman" w:hAnsi="Times New Roman" w:eastAsia="方正仿宋_GBK" w:cs="Times New Roman"/>
                <w:color w:val="000000" w:themeColor="text1"/>
                <w:kern w:val="0"/>
                <w:sz w:val="24"/>
                <w:szCs w:val="24"/>
                <w14:textFill>
                  <w14:solidFill>
                    <w14:schemeClr w14:val="tx1"/>
                  </w14:solidFill>
                </w14:textFill>
              </w:rPr>
              <w:t>；新增家庭适老化改造</w:t>
            </w:r>
            <w:r>
              <w:rPr>
                <w:rFonts w:hint="default" w:ascii="Times New Roman" w:hAnsi="Times New Roman" w:eastAsia="等线" w:cs="Times New Roman"/>
                <w:color w:val="000000" w:themeColor="text1"/>
                <w:kern w:val="0"/>
                <w:sz w:val="24"/>
                <w:szCs w:val="24"/>
                <w14:textFill>
                  <w14:solidFill>
                    <w14:schemeClr w14:val="tx1"/>
                  </w14:solidFill>
                </w14:textFill>
              </w:rPr>
              <w:t>200</w:t>
            </w:r>
            <w:r>
              <w:rPr>
                <w:rFonts w:hint="default" w:ascii="Times New Roman" w:hAnsi="Times New Roman" w:eastAsia="方正仿宋_GBK" w:cs="Times New Roman"/>
                <w:color w:val="000000" w:themeColor="text1"/>
                <w:kern w:val="0"/>
                <w:sz w:val="24"/>
                <w:szCs w:val="24"/>
                <w14:textFill>
                  <w14:solidFill>
                    <w14:schemeClr w14:val="tx1"/>
                  </w14:solidFill>
                </w14:textFill>
              </w:rPr>
              <w:t>户；</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老年人接受居家上门服务覆盖率达</w:t>
            </w:r>
            <w:r>
              <w:rPr>
                <w:rFonts w:hint="default" w:ascii="Times New Roman" w:hAnsi="Times New Roman" w:eastAsia="等线" w:cs="Times New Roman"/>
                <w:color w:val="000000" w:themeColor="text1"/>
                <w:kern w:val="0"/>
                <w:sz w:val="24"/>
                <w:szCs w:val="24"/>
                <w14:textFill>
                  <w14:solidFill>
                    <w14:schemeClr w14:val="tx1"/>
                  </w14:solidFill>
                </w14:textFill>
              </w:rPr>
              <w:t>18%</w:t>
            </w:r>
            <w:r>
              <w:rPr>
                <w:rFonts w:hint="default" w:ascii="Times New Roman" w:hAnsi="Times New Roman" w:eastAsia="方正仿宋_GBK" w:cs="Times New Roman"/>
                <w:color w:val="000000" w:themeColor="text1"/>
                <w:kern w:val="0"/>
                <w:sz w:val="24"/>
                <w:szCs w:val="24"/>
                <w14:textFill>
                  <w14:solidFill>
                    <w14:schemeClr w14:val="tx1"/>
                  </w14:solidFill>
                </w14:textFill>
              </w:rPr>
              <w:t>；新增家庭适老化改造</w:t>
            </w:r>
            <w:r>
              <w:rPr>
                <w:rFonts w:hint="default" w:ascii="Times New Roman" w:hAnsi="Times New Roman" w:eastAsia="等线" w:cs="Times New Roman"/>
                <w:color w:val="000000" w:themeColor="text1"/>
                <w:kern w:val="0"/>
                <w:sz w:val="24"/>
                <w:szCs w:val="24"/>
                <w14:textFill>
                  <w14:solidFill>
                    <w14:schemeClr w14:val="tx1"/>
                  </w14:solidFill>
                </w14:textFill>
              </w:rPr>
              <w:t>200</w:t>
            </w:r>
            <w:r>
              <w:rPr>
                <w:rFonts w:hint="default" w:ascii="Times New Roman" w:hAnsi="Times New Roman" w:eastAsia="方正仿宋_GBK" w:cs="Times New Roman"/>
                <w:color w:val="000000" w:themeColor="text1"/>
                <w:kern w:val="0"/>
                <w:sz w:val="24"/>
                <w:szCs w:val="24"/>
                <w14:textFill>
                  <w14:solidFill>
                    <w14:schemeClr w14:val="tx1"/>
                  </w14:solidFill>
                </w14:textFill>
              </w:rPr>
              <w:t>户；</w:t>
            </w:r>
          </w:p>
        </w:tc>
      </w:tr>
      <w:tr>
        <w:tblPrEx>
          <w:tblCellMar>
            <w:top w:w="0" w:type="dxa"/>
            <w:left w:w="108" w:type="dxa"/>
            <w:bottom w:w="0" w:type="dxa"/>
            <w:right w:w="108" w:type="dxa"/>
          </w:tblCellMar>
        </w:tblPrEx>
        <w:trPr>
          <w:trHeight w:val="284" w:hRule="atLeast"/>
          <w:jc w:val="center"/>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p>
        </w:tc>
        <w:tc>
          <w:tcPr>
            <w:tcW w:w="27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区住建局</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区城管局</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各镇街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2025</w:t>
            </w:r>
            <w:r>
              <w:rPr>
                <w:rFonts w:hint="default" w:ascii="Times New Roman" w:hAnsi="Times New Roman" w:eastAsia="方正仿宋_GBK" w:cs="Times New Roman"/>
                <w:color w:val="000000" w:themeColor="text1"/>
                <w:kern w:val="0"/>
                <w:sz w:val="24"/>
                <w:szCs w:val="24"/>
                <w14:textFill>
                  <w14:solidFill>
                    <w14:schemeClr w14:val="tx1"/>
                  </w14:solidFill>
                </w14:textFill>
              </w:rPr>
              <w:t>年</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完成</w:t>
            </w:r>
            <w:r>
              <w:rPr>
                <w:rFonts w:hint="default" w:ascii="Times New Roman" w:hAnsi="Times New Roman" w:eastAsia="等线" w:cs="Times New Roman"/>
                <w:color w:val="000000" w:themeColor="text1"/>
                <w:kern w:val="0"/>
                <w:sz w:val="24"/>
                <w:szCs w:val="24"/>
                <w14:textFill>
                  <w14:solidFill>
                    <w14:schemeClr w14:val="tx1"/>
                  </w14:solidFill>
                </w14:textFill>
              </w:rPr>
              <w:t>10</w:t>
            </w:r>
            <w:r>
              <w:rPr>
                <w:rFonts w:hint="default" w:ascii="Times New Roman" w:hAnsi="Times New Roman" w:eastAsia="方正仿宋_GBK" w:cs="Times New Roman"/>
                <w:color w:val="000000" w:themeColor="text1"/>
                <w:kern w:val="0"/>
                <w:sz w:val="24"/>
                <w:szCs w:val="24"/>
                <w14:textFill>
                  <w14:solidFill>
                    <w14:schemeClr w14:val="tx1"/>
                  </w14:solidFill>
                </w14:textFill>
              </w:rPr>
              <w:t>个老旧小区适老化改造</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完成</w:t>
            </w:r>
            <w:r>
              <w:rPr>
                <w:rFonts w:hint="default" w:ascii="Times New Roman" w:hAnsi="Times New Roman" w:eastAsia="等线" w:cs="Times New Roman"/>
                <w:color w:val="000000" w:themeColor="text1"/>
                <w:kern w:val="0"/>
                <w:sz w:val="24"/>
                <w:szCs w:val="24"/>
                <w14:textFill>
                  <w14:solidFill>
                    <w14:schemeClr w14:val="tx1"/>
                  </w14:solidFill>
                </w14:textFill>
              </w:rPr>
              <w:t>10</w:t>
            </w:r>
            <w:r>
              <w:rPr>
                <w:rFonts w:hint="default" w:ascii="Times New Roman" w:hAnsi="Times New Roman" w:eastAsia="方正仿宋_GBK" w:cs="Times New Roman"/>
                <w:color w:val="000000" w:themeColor="text1"/>
                <w:kern w:val="0"/>
                <w:sz w:val="24"/>
                <w:szCs w:val="24"/>
                <w14:textFill>
                  <w14:solidFill>
                    <w14:schemeClr w14:val="tx1"/>
                  </w14:solidFill>
                </w14:textFill>
              </w:rPr>
              <w:t>个老旧小区适老化改造</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完成</w:t>
            </w:r>
            <w:r>
              <w:rPr>
                <w:rFonts w:hint="default" w:ascii="Times New Roman" w:hAnsi="Times New Roman" w:eastAsia="等线" w:cs="Times New Roman"/>
                <w:color w:val="000000" w:themeColor="text1"/>
                <w:kern w:val="0"/>
                <w:sz w:val="24"/>
                <w:szCs w:val="24"/>
                <w14:textFill>
                  <w14:solidFill>
                    <w14:schemeClr w14:val="tx1"/>
                  </w14:solidFill>
                </w14:textFill>
              </w:rPr>
              <w:t>10</w:t>
            </w:r>
            <w:r>
              <w:rPr>
                <w:rFonts w:hint="default" w:ascii="Times New Roman" w:hAnsi="Times New Roman" w:eastAsia="方正仿宋_GBK" w:cs="Times New Roman"/>
                <w:color w:val="000000" w:themeColor="text1"/>
                <w:kern w:val="0"/>
                <w:sz w:val="24"/>
                <w:szCs w:val="24"/>
                <w14:textFill>
                  <w14:solidFill>
                    <w14:schemeClr w14:val="tx1"/>
                  </w14:solidFill>
                </w14:textFill>
              </w:rPr>
              <w:t>个老旧小区适老化改造</w:t>
            </w:r>
          </w:p>
        </w:tc>
      </w:tr>
      <w:tr>
        <w:tblPrEx>
          <w:tblCellMar>
            <w:top w:w="0" w:type="dxa"/>
            <w:left w:w="108" w:type="dxa"/>
            <w:bottom w:w="0" w:type="dxa"/>
            <w:right w:w="108" w:type="dxa"/>
          </w:tblCellMar>
        </w:tblPrEx>
        <w:trPr>
          <w:trHeight w:val="284" w:hRule="atLeast"/>
          <w:jc w:val="center"/>
        </w:trPr>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5</w:t>
            </w:r>
          </w:p>
        </w:tc>
        <w:tc>
          <w:tcPr>
            <w:tcW w:w="27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社区养老服务能力提升</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区民政局</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区教育局</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区卫健委</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区市场监管局</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各镇街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2025</w:t>
            </w:r>
            <w:r>
              <w:rPr>
                <w:rFonts w:hint="default" w:ascii="Times New Roman" w:hAnsi="Times New Roman" w:eastAsia="方正仿宋_GBK" w:cs="Times New Roman"/>
                <w:color w:val="000000" w:themeColor="text1"/>
                <w:kern w:val="0"/>
                <w:sz w:val="24"/>
                <w:szCs w:val="24"/>
                <w14:textFill>
                  <w14:solidFill>
                    <w14:schemeClr w14:val="tx1"/>
                  </w14:solidFill>
                </w14:textFill>
              </w:rPr>
              <w:t>年</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建成嵌入式养老服务载体</w:t>
            </w:r>
            <w:r>
              <w:rPr>
                <w:rFonts w:hint="default" w:ascii="Times New Roman" w:hAnsi="Times New Roman" w:eastAsia="等线" w:cs="Times New Roman"/>
                <w:color w:val="000000" w:themeColor="text1"/>
                <w:kern w:val="0"/>
                <w:sz w:val="24"/>
                <w:szCs w:val="24"/>
                <w14:textFill>
                  <w14:solidFill>
                    <w14:schemeClr w14:val="tx1"/>
                  </w14:solidFill>
                </w14:textFill>
              </w:rPr>
              <w:t>10</w:t>
            </w:r>
            <w:r>
              <w:rPr>
                <w:rFonts w:hint="default" w:ascii="Times New Roman" w:hAnsi="Times New Roman" w:eastAsia="方正仿宋_GBK" w:cs="Times New Roman"/>
                <w:color w:val="000000" w:themeColor="text1"/>
                <w:kern w:val="0"/>
                <w:sz w:val="24"/>
                <w:szCs w:val="24"/>
                <w14:textFill>
                  <w14:solidFill>
                    <w14:schemeClr w14:val="tx1"/>
                  </w14:solidFill>
                </w14:textFill>
              </w:rPr>
              <w:t>个</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建成嵌入式养老服务载体</w:t>
            </w:r>
            <w:r>
              <w:rPr>
                <w:rFonts w:hint="default" w:ascii="Times New Roman" w:hAnsi="Times New Roman" w:eastAsia="等线" w:cs="Times New Roman"/>
                <w:color w:val="000000" w:themeColor="text1"/>
                <w:kern w:val="0"/>
                <w:sz w:val="24"/>
                <w:szCs w:val="24"/>
                <w14:textFill>
                  <w14:solidFill>
                    <w14:schemeClr w14:val="tx1"/>
                  </w14:solidFill>
                </w14:textFill>
              </w:rPr>
              <w:t>20</w:t>
            </w:r>
            <w:r>
              <w:rPr>
                <w:rFonts w:hint="default" w:ascii="Times New Roman" w:hAnsi="Times New Roman" w:eastAsia="方正仿宋_GBK" w:cs="Times New Roman"/>
                <w:color w:val="000000" w:themeColor="text1"/>
                <w:kern w:val="0"/>
                <w:sz w:val="24"/>
                <w:szCs w:val="24"/>
                <w14:textFill>
                  <w14:solidFill>
                    <w14:schemeClr w14:val="tx1"/>
                  </w14:solidFill>
                </w14:textFill>
              </w:rPr>
              <w:t>个</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建成嵌入式养老服务载体</w:t>
            </w:r>
            <w:r>
              <w:rPr>
                <w:rFonts w:hint="default" w:ascii="Times New Roman" w:hAnsi="Times New Roman" w:eastAsia="等线" w:cs="Times New Roman"/>
                <w:color w:val="000000" w:themeColor="text1"/>
                <w:kern w:val="0"/>
                <w:sz w:val="24"/>
                <w:szCs w:val="24"/>
                <w14:textFill>
                  <w14:solidFill>
                    <w14:schemeClr w14:val="tx1"/>
                  </w14:solidFill>
                </w14:textFill>
              </w:rPr>
              <w:t>30</w:t>
            </w:r>
            <w:r>
              <w:rPr>
                <w:rFonts w:hint="default" w:ascii="Times New Roman" w:hAnsi="Times New Roman" w:eastAsia="方正仿宋_GBK" w:cs="Times New Roman"/>
                <w:color w:val="000000" w:themeColor="text1"/>
                <w:kern w:val="0"/>
                <w:sz w:val="24"/>
                <w:szCs w:val="24"/>
                <w14:textFill>
                  <w14:solidFill>
                    <w14:schemeClr w14:val="tx1"/>
                  </w14:solidFill>
                </w14:textFill>
              </w:rPr>
              <w:t>个</w:t>
            </w:r>
          </w:p>
        </w:tc>
      </w:tr>
      <w:tr>
        <w:tblPrEx>
          <w:tblCellMar>
            <w:top w:w="0" w:type="dxa"/>
            <w:left w:w="108" w:type="dxa"/>
            <w:bottom w:w="0" w:type="dxa"/>
            <w:right w:w="108" w:type="dxa"/>
          </w:tblCellMar>
        </w:tblPrEx>
        <w:trPr>
          <w:trHeight w:val="284" w:hRule="atLeast"/>
          <w:jc w:val="center"/>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p>
        </w:tc>
        <w:tc>
          <w:tcPr>
            <w:tcW w:w="27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区卫健委</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各镇街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2025</w:t>
            </w:r>
            <w:r>
              <w:rPr>
                <w:rFonts w:hint="default" w:ascii="Times New Roman" w:hAnsi="Times New Roman" w:eastAsia="方正仿宋_GBK" w:cs="Times New Roman"/>
                <w:color w:val="000000" w:themeColor="text1"/>
                <w:kern w:val="0"/>
                <w:sz w:val="24"/>
                <w:szCs w:val="24"/>
                <w14:textFill>
                  <w14:solidFill>
                    <w14:schemeClr w14:val="tx1"/>
                  </w14:solidFill>
                </w14:textFill>
              </w:rPr>
              <w:t>年</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65</w:t>
            </w:r>
            <w:r>
              <w:rPr>
                <w:rFonts w:hint="default" w:ascii="Times New Roman" w:hAnsi="Times New Roman" w:eastAsia="方正仿宋_GBK" w:cs="Times New Roman"/>
                <w:color w:val="000000" w:themeColor="text1"/>
                <w:kern w:val="0"/>
                <w:sz w:val="24"/>
                <w:szCs w:val="24"/>
                <w14:textFill>
                  <w14:solidFill>
                    <w14:schemeClr w14:val="tx1"/>
                  </w14:solidFill>
                </w14:textFill>
              </w:rPr>
              <w:t>岁及以上老年人城乡社区规范健康管理服务率不低于</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66</w:t>
            </w:r>
            <w:r>
              <w:rPr>
                <w:rFonts w:hint="default" w:ascii="Times New Roman" w:hAnsi="Times New Roman" w:eastAsia="等线" w:cs="Times New Roman"/>
                <w:color w:val="000000" w:themeColor="text1"/>
                <w:kern w:val="0"/>
                <w:sz w:val="24"/>
                <w:szCs w:val="24"/>
                <w14:textFill>
                  <w14:solidFill>
                    <w14:schemeClr w14:val="tx1"/>
                  </w14:solidFill>
                </w14:textFill>
              </w:rPr>
              <w:t>%</w:t>
            </w:r>
          </w:p>
        </w:tc>
      </w:tr>
      <w:tr>
        <w:tblPrEx>
          <w:tblCellMar>
            <w:top w:w="0" w:type="dxa"/>
            <w:left w:w="108" w:type="dxa"/>
            <w:bottom w:w="0" w:type="dxa"/>
            <w:right w:w="108" w:type="dxa"/>
          </w:tblCellMar>
        </w:tblPrEx>
        <w:trPr>
          <w:trHeight w:val="284"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机构养老服务转型升级</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区民政局</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区卫健委</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区财政局</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各镇街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2025</w:t>
            </w:r>
            <w:r>
              <w:rPr>
                <w:rFonts w:hint="default" w:ascii="Times New Roman" w:hAnsi="Times New Roman" w:eastAsia="方正仿宋_GBK" w:cs="Times New Roman"/>
                <w:color w:val="000000" w:themeColor="text1"/>
                <w:kern w:val="0"/>
                <w:sz w:val="24"/>
                <w:szCs w:val="24"/>
                <w14:textFill>
                  <w14:solidFill>
                    <w14:schemeClr w14:val="tx1"/>
                  </w14:solidFill>
                </w14:textFill>
              </w:rPr>
              <w:t>年</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建成</w:t>
            </w:r>
            <w:r>
              <w:rPr>
                <w:rFonts w:hint="default" w:ascii="Times New Roman" w:hAnsi="Times New Roman" w:eastAsia="等线" w:cs="Times New Roman"/>
                <w:color w:val="000000" w:themeColor="text1"/>
                <w:kern w:val="0"/>
                <w:sz w:val="24"/>
                <w:szCs w:val="24"/>
                <w14:textFill>
                  <w14:solidFill>
                    <w14:schemeClr w14:val="tx1"/>
                  </w14:solidFill>
                </w14:textFill>
              </w:rPr>
              <w:t>1</w:t>
            </w:r>
            <w:r>
              <w:rPr>
                <w:rFonts w:hint="default" w:ascii="Times New Roman" w:hAnsi="Times New Roman" w:eastAsia="方正仿宋_GBK" w:cs="Times New Roman"/>
                <w:color w:val="000000" w:themeColor="text1"/>
                <w:kern w:val="0"/>
                <w:sz w:val="24"/>
                <w:szCs w:val="24"/>
                <w14:textFill>
                  <w14:solidFill>
                    <w14:schemeClr w14:val="tx1"/>
                  </w14:solidFill>
                </w14:textFill>
              </w:rPr>
              <w:t>家枢纽型养老服务中心</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建成</w:t>
            </w:r>
            <w:r>
              <w:rPr>
                <w:rFonts w:hint="default" w:ascii="Times New Roman" w:hAnsi="Times New Roman" w:eastAsia="等线" w:cs="Times New Roman"/>
                <w:color w:val="000000" w:themeColor="text1"/>
                <w:kern w:val="0"/>
                <w:sz w:val="24"/>
                <w:szCs w:val="24"/>
                <w14:textFill>
                  <w14:solidFill>
                    <w14:schemeClr w14:val="tx1"/>
                  </w14:solidFill>
                </w14:textFill>
              </w:rPr>
              <w:t>2</w:t>
            </w:r>
            <w:r>
              <w:rPr>
                <w:rFonts w:hint="default" w:ascii="Times New Roman" w:hAnsi="Times New Roman" w:eastAsia="方正仿宋_GBK" w:cs="Times New Roman"/>
                <w:color w:val="000000" w:themeColor="text1"/>
                <w:kern w:val="0"/>
                <w:sz w:val="24"/>
                <w:szCs w:val="24"/>
                <w14:textFill>
                  <w14:solidFill>
                    <w14:schemeClr w14:val="tx1"/>
                  </w14:solidFill>
                </w14:textFill>
              </w:rPr>
              <w:t>家枢纽型养老服务中心</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建成</w:t>
            </w:r>
            <w:r>
              <w:rPr>
                <w:rFonts w:hint="default" w:ascii="Times New Roman" w:hAnsi="Times New Roman" w:eastAsia="等线" w:cs="Times New Roman"/>
                <w:color w:val="000000" w:themeColor="text1"/>
                <w:kern w:val="0"/>
                <w:sz w:val="24"/>
                <w:szCs w:val="24"/>
                <w14:textFill>
                  <w14:solidFill>
                    <w14:schemeClr w14:val="tx1"/>
                  </w14:solidFill>
                </w14:textFill>
              </w:rPr>
              <w:t>5</w:t>
            </w:r>
            <w:r>
              <w:rPr>
                <w:rFonts w:hint="default" w:ascii="Times New Roman" w:hAnsi="Times New Roman" w:eastAsia="方正仿宋_GBK" w:cs="Times New Roman"/>
                <w:color w:val="000000" w:themeColor="text1"/>
                <w:kern w:val="0"/>
                <w:sz w:val="24"/>
                <w:szCs w:val="24"/>
                <w14:textFill>
                  <w14:solidFill>
                    <w14:schemeClr w14:val="tx1"/>
                  </w14:solidFill>
                </w14:textFill>
              </w:rPr>
              <w:t>家枢纽型养老服务中心；建成区级护理院</w:t>
            </w:r>
            <w:r>
              <w:rPr>
                <w:rFonts w:hint="default" w:ascii="Times New Roman" w:hAnsi="Times New Roman" w:eastAsia="等线" w:cs="Times New Roman"/>
                <w:color w:val="000000" w:themeColor="text1"/>
                <w:kern w:val="0"/>
                <w:sz w:val="24"/>
                <w:szCs w:val="24"/>
                <w14:textFill>
                  <w14:solidFill>
                    <w14:schemeClr w14:val="tx1"/>
                  </w14:solidFill>
                </w14:textFill>
              </w:rPr>
              <w:t>1</w:t>
            </w:r>
            <w:r>
              <w:rPr>
                <w:rFonts w:hint="default" w:ascii="Times New Roman" w:hAnsi="Times New Roman" w:eastAsia="方正仿宋_GBK" w:cs="Times New Roman"/>
                <w:color w:val="000000" w:themeColor="text1"/>
                <w:kern w:val="0"/>
                <w:sz w:val="24"/>
                <w:szCs w:val="24"/>
                <w14:textFill>
                  <w14:solidFill>
                    <w14:schemeClr w14:val="tx1"/>
                  </w14:solidFill>
                </w14:textFill>
              </w:rPr>
              <w:t>家</w:t>
            </w:r>
          </w:p>
        </w:tc>
      </w:tr>
      <w:tr>
        <w:tblPrEx>
          <w:tblCellMar>
            <w:top w:w="0" w:type="dxa"/>
            <w:left w:w="108" w:type="dxa"/>
            <w:bottom w:w="0" w:type="dxa"/>
            <w:right w:w="108" w:type="dxa"/>
          </w:tblCellMar>
        </w:tblPrEx>
        <w:trPr>
          <w:trHeight w:val="567" w:hRule="exact"/>
          <w:jc w:val="center"/>
        </w:trPr>
        <w:tc>
          <w:tcPr>
            <w:tcW w:w="15321"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黑体_GBK" w:cs="Times New Roman"/>
                <w:color w:val="000000" w:themeColor="text1"/>
                <w:kern w:val="0"/>
                <w:sz w:val="24"/>
                <w:szCs w:val="24"/>
                <w14:textFill>
                  <w14:solidFill>
                    <w14:schemeClr w14:val="tx1"/>
                  </w14:solidFill>
                </w14:textFill>
              </w:rPr>
              <w:t>三、创新</w:t>
            </w:r>
            <w:r>
              <w:rPr>
                <w:rFonts w:hint="default" w:ascii="Times New Roman" w:hAnsi="Times New Roman" w:eastAsia="等线" w:cs="Times New Roman"/>
                <w:color w:val="000000" w:themeColor="text1"/>
                <w:kern w:val="0"/>
                <w:sz w:val="24"/>
                <w:szCs w:val="24"/>
                <w14:textFill>
                  <w14:solidFill>
                    <w14:schemeClr w14:val="tx1"/>
                  </w14:solidFill>
                </w14:textFill>
              </w:rPr>
              <w:t>“</w:t>
            </w:r>
            <w:r>
              <w:rPr>
                <w:rFonts w:hint="default" w:ascii="Times New Roman" w:hAnsi="Times New Roman" w:eastAsia="方正黑体_GBK" w:cs="Times New Roman"/>
                <w:color w:val="000000" w:themeColor="text1"/>
                <w:kern w:val="0"/>
                <w:sz w:val="24"/>
                <w:szCs w:val="24"/>
                <w14:textFill>
                  <w14:solidFill>
                    <w14:schemeClr w14:val="tx1"/>
                  </w14:solidFill>
                </w14:textFill>
              </w:rPr>
              <w:t>养老</w:t>
            </w:r>
            <w:r>
              <w:rPr>
                <w:rFonts w:hint="default" w:ascii="Times New Roman" w:hAnsi="Times New Roman" w:eastAsia="等线" w:cs="Times New Roman"/>
                <w:color w:val="000000" w:themeColor="text1"/>
                <w:kern w:val="0"/>
                <w:sz w:val="24"/>
                <w:szCs w:val="24"/>
                <w14:textFill>
                  <w14:solidFill>
                    <w14:schemeClr w14:val="tx1"/>
                  </w14:solidFill>
                </w14:textFill>
              </w:rPr>
              <w:t>+”</w:t>
            </w:r>
            <w:r>
              <w:rPr>
                <w:rFonts w:hint="default" w:ascii="Times New Roman" w:hAnsi="Times New Roman" w:eastAsia="方正黑体_GBK" w:cs="Times New Roman"/>
                <w:color w:val="000000" w:themeColor="text1"/>
                <w:kern w:val="0"/>
                <w:sz w:val="24"/>
                <w:szCs w:val="24"/>
                <w14:textFill>
                  <w14:solidFill>
                    <w14:schemeClr w14:val="tx1"/>
                  </w14:solidFill>
                </w14:textFill>
              </w:rPr>
              <w:t>服务模式</w:t>
            </w:r>
          </w:p>
        </w:tc>
      </w:tr>
      <w:tr>
        <w:tblPrEx>
          <w:tblCellMar>
            <w:top w:w="0" w:type="dxa"/>
            <w:left w:w="108" w:type="dxa"/>
            <w:bottom w:w="0" w:type="dxa"/>
            <w:right w:w="108" w:type="dxa"/>
          </w:tblCellMar>
        </w:tblPrEx>
        <w:trPr>
          <w:trHeight w:val="284"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党建</w:t>
            </w:r>
            <w:r>
              <w:rPr>
                <w:rFonts w:hint="default" w:ascii="Times New Roman" w:hAnsi="Times New Roman" w:eastAsia="等线"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养老</w:t>
            </w:r>
            <w:r>
              <w:rPr>
                <w:rFonts w:hint="default" w:ascii="Times New Roman" w:hAnsi="Times New Roman" w:eastAsia="等线" w:cs="Times New Roman"/>
                <w:color w:val="000000" w:themeColor="text1"/>
                <w:kern w:val="0"/>
                <w:sz w:val="24"/>
                <w:szCs w:val="24"/>
                <w14:textFill>
                  <w14:solidFill>
                    <w14:schemeClr w14:val="tx1"/>
                  </w14:solidFill>
                </w14:textFill>
              </w:rPr>
              <w:t>”</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区委组织部</w:t>
            </w:r>
            <w:r>
              <w:rPr>
                <w:rFonts w:hint="default" w:ascii="Times New Roman" w:hAnsi="Times New Roman" w:eastAsia="等线" w:cs="Times New Roman"/>
                <w:color w:val="000000" w:themeColor="text1"/>
                <w:kern w:val="0"/>
                <w:sz w:val="24"/>
                <w:szCs w:val="24"/>
                <w14:textFill>
                  <w14:solidFill>
                    <w14:schemeClr w14:val="tx1"/>
                  </w14:solidFill>
                </w14:textFill>
              </w:rPr>
              <w:t xml:space="preserve">          </w:t>
            </w:r>
            <w:r>
              <w:rPr>
                <w:rFonts w:hint="default" w:ascii="Times New Roman" w:hAnsi="Times New Roman" w:eastAsia="方正仿宋_GBK" w:cs="Times New Roman"/>
                <w:color w:val="000000" w:themeColor="text1"/>
                <w:kern w:val="0"/>
                <w:sz w:val="24"/>
                <w:szCs w:val="24"/>
                <w14:textFill>
                  <w14:solidFill>
                    <w14:schemeClr w14:val="tx1"/>
                  </w14:solidFill>
                </w14:textFill>
              </w:rPr>
              <w:t>区民政局</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各镇街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长期</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建成</w:t>
            </w:r>
            <w:r>
              <w:rPr>
                <w:rFonts w:hint="default" w:ascii="Times New Roman" w:hAnsi="Times New Roman" w:eastAsia="等线" w:cs="Times New Roman"/>
                <w:color w:val="000000" w:themeColor="text1"/>
                <w:kern w:val="0"/>
                <w:sz w:val="24"/>
                <w:szCs w:val="24"/>
                <w14:textFill>
                  <w14:solidFill>
                    <w14:schemeClr w14:val="tx1"/>
                  </w14:solidFill>
                </w14:textFill>
              </w:rPr>
              <w:t>4</w:t>
            </w:r>
            <w:r>
              <w:rPr>
                <w:rFonts w:hint="default" w:ascii="Times New Roman" w:hAnsi="Times New Roman" w:eastAsia="方正仿宋_GBK" w:cs="Times New Roman"/>
                <w:color w:val="000000" w:themeColor="text1"/>
                <w:kern w:val="0"/>
                <w:sz w:val="24"/>
                <w:szCs w:val="24"/>
                <w14:textFill>
                  <w14:solidFill>
                    <w14:schemeClr w14:val="tx1"/>
                  </w14:solidFill>
                </w14:textFill>
              </w:rPr>
              <w:t>个</w:t>
            </w:r>
            <w:r>
              <w:rPr>
                <w:rFonts w:hint="default" w:ascii="Times New Roman" w:hAnsi="Times New Roman" w:eastAsia="等线"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党建为老工作站</w:t>
            </w:r>
            <w:r>
              <w:rPr>
                <w:rFonts w:hint="default" w:ascii="Times New Roman" w:hAnsi="Times New Roman" w:eastAsia="等线" w:cs="Times New Roman"/>
                <w:color w:val="000000" w:themeColor="text1"/>
                <w:kern w:val="0"/>
                <w:sz w:val="24"/>
                <w:szCs w:val="24"/>
                <w14:textFill>
                  <w14:solidFill>
                    <w14:schemeClr w14:val="tx1"/>
                  </w14:solidFill>
                </w14:textFill>
              </w:rPr>
              <w:t>”</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建成</w:t>
            </w:r>
            <w:r>
              <w:rPr>
                <w:rFonts w:hint="default" w:ascii="Times New Roman" w:hAnsi="Times New Roman" w:eastAsia="等线" w:cs="Times New Roman"/>
                <w:color w:val="000000" w:themeColor="text1"/>
                <w:kern w:val="0"/>
                <w:sz w:val="24"/>
                <w:szCs w:val="24"/>
                <w14:textFill>
                  <w14:solidFill>
                    <w14:schemeClr w14:val="tx1"/>
                  </w14:solidFill>
                </w14:textFill>
              </w:rPr>
              <w:t>8</w:t>
            </w:r>
            <w:r>
              <w:rPr>
                <w:rFonts w:hint="default" w:ascii="Times New Roman" w:hAnsi="Times New Roman" w:eastAsia="方正仿宋_GBK" w:cs="Times New Roman"/>
                <w:color w:val="000000" w:themeColor="text1"/>
                <w:kern w:val="0"/>
                <w:sz w:val="24"/>
                <w:szCs w:val="24"/>
                <w14:textFill>
                  <w14:solidFill>
                    <w14:schemeClr w14:val="tx1"/>
                  </w14:solidFill>
                </w14:textFill>
              </w:rPr>
              <w:t>个</w:t>
            </w:r>
            <w:r>
              <w:rPr>
                <w:rFonts w:hint="default" w:ascii="Times New Roman" w:hAnsi="Times New Roman" w:eastAsia="等线"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党建为老工作站</w:t>
            </w:r>
            <w:r>
              <w:rPr>
                <w:rFonts w:hint="default" w:ascii="Times New Roman" w:hAnsi="Times New Roman" w:eastAsia="等线" w:cs="Times New Roman"/>
                <w:color w:val="000000" w:themeColor="text1"/>
                <w:kern w:val="0"/>
                <w:sz w:val="24"/>
                <w:szCs w:val="24"/>
                <w14:textFill>
                  <w14:solidFill>
                    <w14:schemeClr w14:val="tx1"/>
                  </w14:solidFill>
                </w14:textFill>
              </w:rPr>
              <w:t>”</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建成</w:t>
            </w:r>
            <w:r>
              <w:rPr>
                <w:rFonts w:hint="default" w:ascii="Times New Roman" w:hAnsi="Times New Roman" w:eastAsia="等线" w:cs="Times New Roman"/>
                <w:color w:val="000000" w:themeColor="text1"/>
                <w:kern w:val="0"/>
                <w:sz w:val="24"/>
                <w:szCs w:val="24"/>
                <w14:textFill>
                  <w14:solidFill>
                    <w14:schemeClr w14:val="tx1"/>
                  </w14:solidFill>
                </w14:textFill>
              </w:rPr>
              <w:t>11</w:t>
            </w:r>
            <w:r>
              <w:rPr>
                <w:rFonts w:hint="default" w:ascii="Times New Roman" w:hAnsi="Times New Roman" w:eastAsia="方正仿宋_GBK" w:cs="Times New Roman"/>
                <w:color w:val="000000" w:themeColor="text1"/>
                <w:kern w:val="0"/>
                <w:sz w:val="24"/>
                <w:szCs w:val="24"/>
                <w14:textFill>
                  <w14:solidFill>
                    <w14:schemeClr w14:val="tx1"/>
                  </w14:solidFill>
                </w14:textFill>
              </w:rPr>
              <w:t>个</w:t>
            </w:r>
            <w:r>
              <w:rPr>
                <w:rFonts w:hint="default" w:ascii="Times New Roman" w:hAnsi="Times New Roman" w:eastAsia="等线"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党建为老工作站</w:t>
            </w:r>
            <w:r>
              <w:rPr>
                <w:rFonts w:hint="default" w:ascii="Times New Roman" w:hAnsi="Times New Roman" w:eastAsia="等线" w:cs="Times New Roman"/>
                <w:color w:val="000000" w:themeColor="text1"/>
                <w:kern w:val="0"/>
                <w:sz w:val="24"/>
                <w:szCs w:val="24"/>
                <w14:textFill>
                  <w14:solidFill>
                    <w14:schemeClr w14:val="tx1"/>
                  </w14:solidFill>
                </w14:textFill>
              </w:rPr>
              <w:t>”</w:t>
            </w:r>
          </w:p>
        </w:tc>
      </w:tr>
      <w:tr>
        <w:tblPrEx>
          <w:tblCellMar>
            <w:top w:w="0" w:type="dxa"/>
            <w:left w:w="108" w:type="dxa"/>
            <w:bottom w:w="0" w:type="dxa"/>
            <w:right w:w="108" w:type="dxa"/>
          </w:tblCellMar>
        </w:tblPrEx>
        <w:trPr>
          <w:trHeight w:val="284"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物业</w:t>
            </w:r>
            <w:r>
              <w:rPr>
                <w:rFonts w:hint="default" w:ascii="Times New Roman" w:hAnsi="Times New Roman" w:eastAsia="等线"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养老</w:t>
            </w:r>
            <w:r>
              <w:rPr>
                <w:rFonts w:hint="default" w:ascii="Times New Roman" w:hAnsi="Times New Roman" w:eastAsia="等线" w:cs="Times New Roman"/>
                <w:color w:val="000000" w:themeColor="text1"/>
                <w:kern w:val="0"/>
                <w:sz w:val="24"/>
                <w:szCs w:val="24"/>
                <w14:textFill>
                  <w14:solidFill>
                    <w14:schemeClr w14:val="tx1"/>
                  </w14:solidFill>
                </w14:textFill>
              </w:rPr>
              <w:t>”</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区住建局</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区民政局</w:t>
            </w:r>
            <w:r>
              <w:rPr>
                <w:rFonts w:hint="default" w:ascii="Times New Roman" w:hAnsi="Times New Roman" w:eastAsia="等线" w:cs="Times New Roman"/>
                <w:color w:val="000000" w:themeColor="text1"/>
                <w:kern w:val="0"/>
                <w:sz w:val="24"/>
                <w:szCs w:val="24"/>
                <w14:textFill>
                  <w14:solidFill>
                    <w14:schemeClr w14:val="tx1"/>
                  </w14:solidFill>
                </w14:textFill>
              </w:rPr>
              <w:br w:type="textWrapping"/>
            </w:r>
            <w:r>
              <w:rPr>
                <w:rFonts w:hint="default" w:ascii="Times New Roman" w:hAnsi="Times New Roman" w:eastAsia="方正仿宋_GBK" w:cs="Times New Roman"/>
                <w:color w:val="000000" w:themeColor="text1"/>
                <w:kern w:val="0"/>
                <w:sz w:val="24"/>
                <w:szCs w:val="24"/>
                <w14:textFill>
                  <w14:solidFill>
                    <w14:schemeClr w14:val="tx1"/>
                  </w14:solidFill>
                </w14:textFill>
              </w:rPr>
              <w:t>各镇街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长期</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打造</w:t>
            </w:r>
            <w:r>
              <w:rPr>
                <w:rFonts w:hint="default" w:ascii="Times New Roman" w:hAnsi="Times New Roman" w:eastAsia="等线" w:cs="Times New Roman"/>
                <w:color w:val="000000" w:themeColor="text1"/>
                <w:kern w:val="0"/>
                <w:sz w:val="24"/>
                <w:szCs w:val="24"/>
                <w14:textFill>
                  <w14:solidFill>
                    <w14:schemeClr w14:val="tx1"/>
                  </w14:solidFill>
                </w14:textFill>
              </w:rPr>
              <w:t>1</w:t>
            </w:r>
            <w:r>
              <w:rPr>
                <w:rFonts w:hint="default" w:ascii="Times New Roman" w:hAnsi="Times New Roman" w:eastAsia="方正仿宋_GBK" w:cs="Times New Roman"/>
                <w:color w:val="000000" w:themeColor="text1"/>
                <w:kern w:val="0"/>
                <w:sz w:val="24"/>
                <w:szCs w:val="24"/>
                <w14:textFill>
                  <w14:solidFill>
                    <w14:schemeClr w14:val="tx1"/>
                  </w14:solidFill>
                </w14:textFill>
              </w:rPr>
              <w:t>个城市社区试点项目</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打造</w:t>
            </w:r>
            <w:r>
              <w:rPr>
                <w:rFonts w:hint="default" w:ascii="Times New Roman" w:hAnsi="Times New Roman" w:eastAsia="等线" w:cs="Times New Roman"/>
                <w:color w:val="000000" w:themeColor="text1"/>
                <w:kern w:val="0"/>
                <w:sz w:val="24"/>
                <w:szCs w:val="24"/>
                <w14:textFill>
                  <w14:solidFill>
                    <w14:schemeClr w14:val="tx1"/>
                  </w14:solidFill>
                </w14:textFill>
              </w:rPr>
              <w:t>2</w:t>
            </w:r>
            <w:r>
              <w:rPr>
                <w:rFonts w:hint="default" w:ascii="Times New Roman" w:hAnsi="Times New Roman" w:eastAsia="方正仿宋_GBK" w:cs="Times New Roman"/>
                <w:color w:val="000000" w:themeColor="text1"/>
                <w:kern w:val="0"/>
                <w:sz w:val="24"/>
                <w:szCs w:val="24"/>
                <w14:textFill>
                  <w14:solidFill>
                    <w14:schemeClr w14:val="tx1"/>
                  </w14:solidFill>
                </w14:textFill>
              </w:rPr>
              <w:t>个城市社区试点项目</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打造</w:t>
            </w:r>
            <w:r>
              <w:rPr>
                <w:rFonts w:hint="default" w:ascii="Times New Roman" w:hAnsi="Times New Roman" w:eastAsia="等线" w:cs="Times New Roman"/>
                <w:color w:val="000000" w:themeColor="text1"/>
                <w:kern w:val="0"/>
                <w:sz w:val="24"/>
                <w:szCs w:val="24"/>
                <w14:textFill>
                  <w14:solidFill>
                    <w14:schemeClr w14:val="tx1"/>
                  </w14:solidFill>
                </w14:textFill>
              </w:rPr>
              <w:t>3</w:t>
            </w:r>
            <w:r>
              <w:rPr>
                <w:rFonts w:hint="default" w:ascii="Times New Roman" w:hAnsi="Times New Roman" w:eastAsia="方正仿宋_GBK" w:cs="Times New Roman"/>
                <w:color w:val="000000" w:themeColor="text1"/>
                <w:kern w:val="0"/>
                <w:sz w:val="24"/>
                <w:szCs w:val="24"/>
                <w14:textFill>
                  <w14:solidFill>
                    <w14:schemeClr w14:val="tx1"/>
                  </w14:solidFill>
                </w14:textFill>
              </w:rPr>
              <w:t>个城市社区试点项目</w:t>
            </w:r>
          </w:p>
        </w:tc>
      </w:tr>
      <w:tr>
        <w:tblPrEx>
          <w:tblCellMar>
            <w:top w:w="0" w:type="dxa"/>
            <w:left w:w="108" w:type="dxa"/>
            <w:bottom w:w="0" w:type="dxa"/>
            <w:right w:w="108" w:type="dxa"/>
          </w:tblCellMar>
        </w:tblPrEx>
        <w:trPr>
          <w:trHeight w:val="284"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Times New Roman" w:hAnsi="Times New Roman" w:eastAsia="等线"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14:textFill>
                  <w14:solidFill>
                    <w14:schemeClr w14:val="tx1"/>
                  </w14:solidFill>
                </w14:textFill>
              </w:rPr>
              <w:t>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highlight w:val="yellow"/>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“公益+养老”</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区民政局</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区文明办</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snapToGrid w:val="0"/>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长期</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snapToGrid w:val="0"/>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snapToGrid w:val="0"/>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snapToGrid w:val="0"/>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w:t>
            </w:r>
          </w:p>
        </w:tc>
      </w:tr>
      <w:tr>
        <w:tblPrEx>
          <w:tblCellMar>
            <w:top w:w="0" w:type="dxa"/>
            <w:left w:w="108" w:type="dxa"/>
            <w:bottom w:w="0" w:type="dxa"/>
            <w:right w:w="108" w:type="dxa"/>
          </w:tblCellMar>
        </w:tblPrEx>
        <w:trPr>
          <w:trHeight w:val="284"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14:textFill>
                  <w14:solidFill>
                    <w14:schemeClr w14:val="tx1"/>
                  </w14:solidFill>
                </w14:textFill>
              </w:rPr>
              <w:t>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科技</w:t>
            </w:r>
            <w:r>
              <w:rPr>
                <w:rFonts w:hint="default" w:ascii="Times New Roman" w:hAnsi="Times New Roman" w:eastAsia="等线"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养老</w:t>
            </w:r>
            <w:r>
              <w:rPr>
                <w:rFonts w:hint="default" w:ascii="Times New Roman" w:hAnsi="Times New Roman" w:eastAsia="等线" w:cs="Times New Roman"/>
                <w:color w:val="000000" w:themeColor="text1"/>
                <w:kern w:val="0"/>
                <w:sz w:val="24"/>
                <w:szCs w:val="24"/>
                <w14:textFill>
                  <w14:solidFill>
                    <w14:schemeClr w14:val="tx1"/>
                  </w14:solidFill>
                </w14:textFill>
              </w:rPr>
              <w:t>”</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区民政局</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各镇街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2025</w:t>
            </w:r>
            <w:r>
              <w:rPr>
                <w:rFonts w:hint="default" w:ascii="Times New Roman" w:hAnsi="Times New Roman" w:eastAsia="方正仿宋_GBK" w:cs="Times New Roman"/>
                <w:color w:val="000000" w:themeColor="text1"/>
                <w:kern w:val="0"/>
                <w:sz w:val="24"/>
                <w:szCs w:val="24"/>
                <w14:textFill>
                  <w14:solidFill>
                    <w14:schemeClr w14:val="tx1"/>
                  </w14:solidFill>
                </w14:textFill>
              </w:rPr>
              <w:t>年</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建成运营区智慧养老服务监督管理平台，建成</w:t>
            </w:r>
            <w:r>
              <w:rPr>
                <w:rFonts w:hint="default" w:ascii="Times New Roman" w:hAnsi="Times New Roman" w:eastAsia="等线" w:cs="Times New Roman"/>
                <w:color w:val="000000" w:themeColor="text1"/>
                <w:kern w:val="0"/>
                <w:sz w:val="24"/>
                <w:szCs w:val="24"/>
                <w14:textFill>
                  <w14:solidFill>
                    <w14:schemeClr w14:val="tx1"/>
                  </w14:solidFill>
                </w14:textFill>
              </w:rPr>
              <w:t>1</w:t>
            </w:r>
            <w:r>
              <w:rPr>
                <w:rFonts w:hint="default" w:ascii="Times New Roman" w:hAnsi="Times New Roman" w:eastAsia="方正仿宋_GBK" w:cs="Times New Roman"/>
                <w:color w:val="000000" w:themeColor="text1"/>
                <w:kern w:val="0"/>
                <w:sz w:val="24"/>
                <w:szCs w:val="24"/>
                <w14:textFill>
                  <w14:solidFill>
                    <w14:schemeClr w14:val="tx1"/>
                  </w14:solidFill>
                </w14:textFill>
              </w:rPr>
              <w:t>家智慧健康养老体验馆</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建成</w:t>
            </w:r>
            <w:r>
              <w:rPr>
                <w:rFonts w:hint="default" w:ascii="Times New Roman" w:hAnsi="Times New Roman" w:eastAsia="等线" w:cs="Times New Roman"/>
                <w:color w:val="000000" w:themeColor="text1"/>
                <w:kern w:val="0"/>
                <w:sz w:val="24"/>
                <w:szCs w:val="24"/>
                <w14:textFill>
                  <w14:solidFill>
                    <w14:schemeClr w14:val="tx1"/>
                  </w14:solidFill>
                </w14:textFill>
              </w:rPr>
              <w:t>2</w:t>
            </w:r>
            <w:r>
              <w:rPr>
                <w:rFonts w:hint="default" w:ascii="Times New Roman" w:hAnsi="Times New Roman" w:eastAsia="方正仿宋_GBK" w:cs="Times New Roman"/>
                <w:color w:val="000000" w:themeColor="text1"/>
                <w:kern w:val="0"/>
                <w:sz w:val="24"/>
                <w:szCs w:val="24"/>
                <w14:textFill>
                  <w14:solidFill>
                    <w14:schemeClr w14:val="tx1"/>
                  </w14:solidFill>
                </w14:textFill>
              </w:rPr>
              <w:t>家智慧健康养老体验馆</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建成</w:t>
            </w:r>
            <w:r>
              <w:rPr>
                <w:rFonts w:hint="default" w:ascii="Times New Roman" w:hAnsi="Times New Roman" w:eastAsia="等线" w:cs="Times New Roman"/>
                <w:color w:val="000000" w:themeColor="text1"/>
                <w:kern w:val="0"/>
                <w:sz w:val="24"/>
                <w:szCs w:val="24"/>
                <w14:textFill>
                  <w14:solidFill>
                    <w14:schemeClr w14:val="tx1"/>
                  </w14:solidFill>
                </w14:textFill>
              </w:rPr>
              <w:t>3</w:t>
            </w:r>
            <w:r>
              <w:rPr>
                <w:rFonts w:hint="default" w:ascii="Times New Roman" w:hAnsi="Times New Roman" w:eastAsia="方正仿宋_GBK" w:cs="Times New Roman"/>
                <w:color w:val="000000" w:themeColor="text1"/>
                <w:kern w:val="0"/>
                <w:sz w:val="24"/>
                <w:szCs w:val="24"/>
                <w14:textFill>
                  <w14:solidFill>
                    <w14:schemeClr w14:val="tx1"/>
                  </w14:solidFill>
                </w14:textFill>
              </w:rPr>
              <w:t>家以上智慧健康养老体验馆</w:t>
            </w:r>
          </w:p>
        </w:tc>
      </w:tr>
      <w:tr>
        <w:tblPrEx>
          <w:tblCellMar>
            <w:top w:w="0" w:type="dxa"/>
            <w:left w:w="108" w:type="dxa"/>
            <w:bottom w:w="0" w:type="dxa"/>
            <w:right w:w="108" w:type="dxa"/>
          </w:tblCellMar>
        </w:tblPrEx>
        <w:trPr>
          <w:trHeight w:val="567" w:hRule="exact"/>
          <w:jc w:val="center"/>
        </w:trPr>
        <w:tc>
          <w:tcPr>
            <w:tcW w:w="1532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黑体_GBK" w:cs="Times New Roman"/>
                <w:color w:val="000000" w:themeColor="text1"/>
                <w:kern w:val="0"/>
                <w:sz w:val="24"/>
                <w:szCs w:val="24"/>
                <w14:textFill>
                  <w14:solidFill>
                    <w14:schemeClr w14:val="tx1"/>
                  </w14:solidFill>
                </w14:textFill>
              </w:rPr>
              <w:t>四、完善养老服务支撑体系</w:t>
            </w:r>
          </w:p>
        </w:tc>
      </w:tr>
      <w:tr>
        <w:tblPrEx>
          <w:tblCellMar>
            <w:top w:w="0" w:type="dxa"/>
            <w:left w:w="108" w:type="dxa"/>
            <w:bottom w:w="0" w:type="dxa"/>
            <w:right w:w="108" w:type="dxa"/>
          </w:tblCellMar>
        </w:tblPrEx>
        <w:trPr>
          <w:trHeight w:val="284"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14:textFill>
                  <w14:solidFill>
                    <w14:schemeClr w14:val="tx1"/>
                  </w14:solidFill>
                </w14:textFill>
              </w:rPr>
              <w:t>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保障养老服务设施配套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区住建局</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自然资源和规划分局</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各镇街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2025</w:t>
            </w:r>
            <w:r>
              <w:rPr>
                <w:rFonts w:hint="default" w:ascii="Times New Roman" w:hAnsi="Times New Roman" w:eastAsia="方正仿宋_GBK" w:cs="Times New Roman"/>
                <w:color w:val="000000" w:themeColor="text1"/>
                <w:kern w:val="0"/>
                <w:sz w:val="24"/>
                <w:szCs w:val="24"/>
                <w14:textFill>
                  <w14:solidFill>
                    <w14:schemeClr w14:val="tx1"/>
                  </w14:solidFill>
                </w14:textFill>
              </w:rPr>
              <w:t>年</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开展居住（小）区养老服务用房排查</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推动新建居住（小）区按标准配备养老服务用房</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新建居住（小）区按标准配备养老服务用房</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达</w:t>
            </w:r>
            <w:r>
              <w:rPr>
                <w:rFonts w:hint="default" w:ascii="Times New Roman" w:hAnsi="Times New Roman" w:eastAsia="等线" w:cs="Times New Roman"/>
                <w:color w:val="000000" w:themeColor="text1"/>
                <w:kern w:val="0"/>
                <w:sz w:val="24"/>
                <w:szCs w:val="24"/>
                <w14:textFill>
                  <w14:solidFill>
                    <w14:schemeClr w14:val="tx1"/>
                  </w14:solidFill>
                </w14:textFill>
              </w:rPr>
              <w:t>100%</w:t>
            </w:r>
          </w:p>
        </w:tc>
      </w:tr>
      <w:tr>
        <w:tblPrEx>
          <w:tblCellMar>
            <w:top w:w="0" w:type="dxa"/>
            <w:left w:w="108" w:type="dxa"/>
            <w:bottom w:w="0" w:type="dxa"/>
            <w:right w:w="108" w:type="dxa"/>
          </w:tblCellMar>
        </w:tblPrEx>
        <w:trPr>
          <w:trHeight w:val="284"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14:textFill>
                  <w14:solidFill>
                    <w14:schemeClr w14:val="tx1"/>
                  </w14:solidFill>
                </w14:textFill>
              </w:rPr>
              <w:t>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保障养老服务设施用地</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自然资源和规划分局</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区住建局</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区发改委</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区财政局</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区民政局</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各镇街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Times New Roman" w:hAnsi="Times New Roman" w:eastAsia="等线"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长期</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snapToGrid w:val="0"/>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snapToGrid w:val="0"/>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w:t>
            </w:r>
          </w:p>
        </w:tc>
      </w:tr>
      <w:tr>
        <w:tblPrEx>
          <w:tblCellMar>
            <w:top w:w="0" w:type="dxa"/>
            <w:left w:w="108" w:type="dxa"/>
            <w:bottom w:w="0" w:type="dxa"/>
            <w:right w:w="108" w:type="dxa"/>
          </w:tblCellMar>
        </w:tblPrEx>
        <w:trPr>
          <w:trHeight w:val="284"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14:textFill>
                  <w14:solidFill>
                    <w14:schemeClr w14:val="tx1"/>
                  </w14:solidFill>
                </w14:textFill>
              </w:rPr>
              <w:t>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拓宽养老服务资金渠道</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区财政局</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区民政局</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区地方金融监管局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snapToGrid w:val="0"/>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长期</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snapToGrid w:val="0"/>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snapToGrid w:val="0"/>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snapToGrid w:val="0"/>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w:t>
            </w:r>
          </w:p>
        </w:tc>
      </w:tr>
      <w:tr>
        <w:tblPrEx>
          <w:tblCellMar>
            <w:top w:w="0" w:type="dxa"/>
            <w:left w:w="108" w:type="dxa"/>
            <w:bottom w:w="0" w:type="dxa"/>
            <w:right w:w="108" w:type="dxa"/>
          </w:tblCellMar>
        </w:tblPrEx>
        <w:trPr>
          <w:trHeight w:val="284"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14:textFill>
                  <w14:solidFill>
                    <w14:schemeClr w14:val="tx1"/>
                  </w14:solidFill>
                </w14:textFill>
              </w:rPr>
              <w:t>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加强养老服务人才队伍建设</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区人社局</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区</w:t>
            </w:r>
            <w:r>
              <w:rPr>
                <w:rFonts w:hint="default" w:ascii="Times New Roman" w:hAnsi="Times New Roman" w:eastAsia="方正仿宋_GBK" w:cs="Times New Roman"/>
                <w:color w:val="000000" w:themeColor="text1"/>
                <w:kern w:val="0"/>
                <w:sz w:val="24"/>
                <w:szCs w:val="24"/>
                <w14:textFill>
                  <w14:solidFill>
                    <w14:schemeClr w14:val="tx1"/>
                  </w14:solidFill>
                </w14:textFill>
              </w:rPr>
              <w:t>民政局</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各镇街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长期</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开展养老护理员培训</w:t>
            </w:r>
            <w:r>
              <w:rPr>
                <w:rFonts w:hint="default" w:ascii="Times New Roman" w:hAnsi="Times New Roman" w:eastAsia="等线" w:cs="Times New Roman"/>
                <w:color w:val="000000" w:themeColor="text1"/>
                <w:kern w:val="0"/>
                <w:sz w:val="24"/>
                <w:szCs w:val="24"/>
                <w14:textFill>
                  <w14:solidFill>
                    <w14:schemeClr w14:val="tx1"/>
                  </w14:solidFill>
                </w14:textFill>
              </w:rPr>
              <w:t>100</w:t>
            </w:r>
            <w:r>
              <w:rPr>
                <w:rFonts w:hint="default" w:ascii="Times New Roman" w:hAnsi="Times New Roman" w:eastAsia="方正仿宋_GBK" w:cs="Times New Roman"/>
                <w:color w:val="000000" w:themeColor="text1"/>
                <w:kern w:val="0"/>
                <w:sz w:val="24"/>
                <w:szCs w:val="24"/>
                <w14:textFill>
                  <w14:solidFill>
                    <w14:schemeClr w14:val="tx1"/>
                  </w14:solidFill>
                </w14:textFill>
              </w:rPr>
              <w:t>人次</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开展养老护理员培训</w:t>
            </w:r>
            <w:r>
              <w:rPr>
                <w:rFonts w:hint="default" w:ascii="Times New Roman" w:hAnsi="Times New Roman" w:eastAsia="等线" w:cs="Times New Roman"/>
                <w:color w:val="000000" w:themeColor="text1"/>
                <w:kern w:val="0"/>
                <w:sz w:val="24"/>
                <w:szCs w:val="24"/>
                <w14:textFill>
                  <w14:solidFill>
                    <w14:schemeClr w14:val="tx1"/>
                  </w14:solidFill>
                </w14:textFill>
              </w:rPr>
              <w:t>200</w:t>
            </w:r>
            <w:r>
              <w:rPr>
                <w:rFonts w:hint="default" w:ascii="Times New Roman" w:hAnsi="Times New Roman" w:eastAsia="方正仿宋_GBK" w:cs="Times New Roman"/>
                <w:color w:val="000000" w:themeColor="text1"/>
                <w:kern w:val="0"/>
                <w:sz w:val="24"/>
                <w:szCs w:val="24"/>
                <w14:textFill>
                  <w14:solidFill>
                    <w14:schemeClr w14:val="tx1"/>
                  </w14:solidFill>
                </w14:textFill>
              </w:rPr>
              <w:t>人次</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开展养老护理员培训</w:t>
            </w:r>
            <w:r>
              <w:rPr>
                <w:rFonts w:hint="default" w:ascii="Times New Roman" w:hAnsi="Times New Roman" w:eastAsia="等线" w:cs="Times New Roman"/>
                <w:color w:val="000000" w:themeColor="text1"/>
                <w:kern w:val="0"/>
                <w:sz w:val="24"/>
                <w:szCs w:val="24"/>
                <w14:textFill>
                  <w14:solidFill>
                    <w14:schemeClr w14:val="tx1"/>
                  </w14:solidFill>
                </w14:textFill>
              </w:rPr>
              <w:t>300</w:t>
            </w:r>
            <w:r>
              <w:rPr>
                <w:rFonts w:hint="default" w:ascii="Times New Roman" w:hAnsi="Times New Roman" w:eastAsia="方正仿宋_GBK" w:cs="Times New Roman"/>
                <w:color w:val="000000" w:themeColor="text1"/>
                <w:kern w:val="0"/>
                <w:sz w:val="24"/>
                <w:szCs w:val="24"/>
                <w14:textFill>
                  <w14:solidFill>
                    <w14:schemeClr w14:val="tx1"/>
                  </w14:solidFill>
                </w14:textFill>
              </w:rPr>
              <w:t>人次，通过职业等级认定的养老护理员数不低于</w:t>
            </w:r>
            <w:r>
              <w:rPr>
                <w:rFonts w:hint="default" w:ascii="Times New Roman" w:hAnsi="Times New Roman" w:eastAsia="等线" w:cs="Times New Roman"/>
                <w:color w:val="000000" w:themeColor="text1"/>
                <w:kern w:val="0"/>
                <w:sz w:val="24"/>
                <w:szCs w:val="24"/>
                <w14:textFill>
                  <w14:solidFill>
                    <w14:schemeClr w14:val="tx1"/>
                  </w14:solidFill>
                </w14:textFill>
              </w:rPr>
              <w:t>200</w:t>
            </w:r>
            <w:r>
              <w:rPr>
                <w:rFonts w:hint="default" w:ascii="Times New Roman" w:hAnsi="Times New Roman" w:eastAsia="方正仿宋_GBK" w:cs="Times New Roman"/>
                <w:color w:val="000000" w:themeColor="text1"/>
                <w:kern w:val="0"/>
                <w:sz w:val="24"/>
                <w:szCs w:val="24"/>
                <w14:textFill>
                  <w14:solidFill>
                    <w14:schemeClr w14:val="tx1"/>
                  </w14:solidFill>
                </w14:textFill>
              </w:rPr>
              <w:t>人</w:t>
            </w:r>
          </w:p>
        </w:tc>
      </w:tr>
      <w:tr>
        <w:tblPrEx>
          <w:tblCellMar>
            <w:top w:w="0" w:type="dxa"/>
            <w:left w:w="108" w:type="dxa"/>
            <w:bottom w:w="0" w:type="dxa"/>
            <w:right w:w="108" w:type="dxa"/>
          </w:tblCellMar>
        </w:tblPrEx>
        <w:trPr>
          <w:trHeight w:val="567" w:hRule="exact"/>
          <w:jc w:val="center"/>
        </w:trPr>
        <w:tc>
          <w:tcPr>
            <w:tcW w:w="1532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黑体_GBK" w:cs="Times New Roman"/>
                <w:color w:val="000000" w:themeColor="text1"/>
                <w:kern w:val="0"/>
                <w:sz w:val="24"/>
                <w:szCs w:val="24"/>
                <w14:textFill>
                  <w14:solidFill>
                    <w14:schemeClr w14:val="tx1"/>
                  </w14:solidFill>
                </w14:textFill>
              </w:rPr>
              <w:t>五、营造幸福颐养社会环境</w:t>
            </w:r>
          </w:p>
        </w:tc>
      </w:tr>
      <w:tr>
        <w:tblPrEx>
          <w:tblCellMar>
            <w:top w:w="0" w:type="dxa"/>
            <w:left w:w="108" w:type="dxa"/>
            <w:bottom w:w="0" w:type="dxa"/>
            <w:right w:w="108" w:type="dxa"/>
          </w:tblCellMar>
        </w:tblPrEx>
        <w:trPr>
          <w:trHeight w:val="284"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14:textFill>
                  <w14:solidFill>
                    <w14:schemeClr w14:val="tx1"/>
                  </w14:solidFill>
                </w14:textFill>
              </w:rPr>
              <w:t>15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试点</w:t>
            </w:r>
            <w:r>
              <w:rPr>
                <w:rFonts w:hint="default" w:ascii="Times New Roman" w:hAnsi="Times New Roman" w:eastAsia="等线"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康养幸福街区</w:t>
            </w:r>
            <w:r>
              <w:rPr>
                <w:rFonts w:hint="default" w:ascii="Times New Roman" w:hAnsi="Times New Roman" w:eastAsia="等线"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建设</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区住建局</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区文体旅局</w:t>
            </w:r>
            <w:r>
              <w:rPr>
                <w:rFonts w:hint="default" w:ascii="Times New Roman" w:hAnsi="Times New Roman" w:eastAsia="等线" w:cs="Times New Roman"/>
                <w:color w:val="000000" w:themeColor="text1"/>
                <w:kern w:val="0"/>
                <w:sz w:val="24"/>
                <w:szCs w:val="24"/>
                <w14:textFill>
                  <w14:solidFill>
                    <w14:schemeClr w14:val="tx1"/>
                  </w14:solidFill>
                </w14:textFill>
              </w:rPr>
              <w:br w:type="textWrapping"/>
            </w:r>
            <w:r>
              <w:rPr>
                <w:rFonts w:hint="default" w:ascii="Times New Roman" w:hAnsi="Times New Roman" w:eastAsia="方正仿宋_GBK" w:cs="Times New Roman"/>
                <w:color w:val="000000" w:themeColor="text1"/>
                <w:kern w:val="0"/>
                <w:sz w:val="24"/>
                <w:szCs w:val="24"/>
                <w14:textFill>
                  <w14:solidFill>
                    <w14:schemeClr w14:val="tx1"/>
                  </w14:solidFill>
                </w14:textFill>
              </w:rPr>
              <w:t>区民政局</w:t>
            </w:r>
            <w:r>
              <w:rPr>
                <w:rFonts w:hint="default" w:ascii="Times New Roman" w:hAnsi="Times New Roman" w:eastAsia="等线" w:cs="Times New Roman"/>
                <w:color w:val="000000" w:themeColor="text1"/>
                <w:kern w:val="0"/>
                <w:sz w:val="24"/>
                <w:szCs w:val="24"/>
                <w14:textFill>
                  <w14:solidFill>
                    <w14:schemeClr w14:val="tx1"/>
                  </w14:solidFill>
                </w14:textFill>
              </w:rPr>
              <w:t xml:space="preserve">                 </w:t>
            </w:r>
            <w:r>
              <w:rPr>
                <w:rFonts w:hint="default" w:ascii="Times New Roman" w:hAnsi="Times New Roman" w:eastAsia="方正仿宋_GBK" w:cs="Times New Roman"/>
                <w:color w:val="000000" w:themeColor="text1"/>
                <w:kern w:val="0"/>
                <w:sz w:val="24"/>
                <w:szCs w:val="24"/>
                <w14:textFill>
                  <w14:solidFill>
                    <w14:schemeClr w14:val="tx1"/>
                  </w14:solidFill>
                </w14:textFill>
              </w:rPr>
              <w:t>自然资源和规划分局</w:t>
            </w:r>
            <w:r>
              <w:rPr>
                <w:rFonts w:hint="default" w:ascii="Times New Roman" w:hAnsi="Times New Roman" w:eastAsia="等线" w:cs="Times New Roman"/>
                <w:color w:val="000000" w:themeColor="text1"/>
                <w:kern w:val="0"/>
                <w:sz w:val="24"/>
                <w:szCs w:val="24"/>
                <w14:textFill>
                  <w14:solidFill>
                    <w14:schemeClr w14:val="tx1"/>
                  </w14:solidFill>
                </w14:textFill>
              </w:rPr>
              <w:t xml:space="preserve">   </w:t>
            </w:r>
            <w:r>
              <w:rPr>
                <w:rFonts w:hint="default" w:ascii="Times New Roman" w:hAnsi="Times New Roman" w:eastAsia="等线" w:cs="Times New Roman"/>
                <w:color w:val="000000" w:themeColor="text1"/>
                <w:kern w:val="0"/>
                <w:sz w:val="24"/>
                <w:szCs w:val="24"/>
                <w14:textFill>
                  <w14:solidFill>
                    <w14:schemeClr w14:val="tx1"/>
                  </w14:solidFill>
                </w14:textFill>
              </w:rPr>
              <w:br w:type="textWrapping"/>
            </w:r>
            <w:r>
              <w:rPr>
                <w:rFonts w:hint="default" w:ascii="Times New Roman" w:hAnsi="Times New Roman" w:eastAsia="方正仿宋_GBK" w:cs="Times New Roman"/>
                <w:color w:val="000000" w:themeColor="text1"/>
                <w:kern w:val="0"/>
                <w:sz w:val="24"/>
                <w:szCs w:val="24"/>
                <w14:textFill>
                  <w14:solidFill>
                    <w14:schemeClr w14:val="tx1"/>
                  </w14:solidFill>
                </w14:textFill>
              </w:rPr>
              <w:t>各镇街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2025</w:t>
            </w:r>
            <w:r>
              <w:rPr>
                <w:rFonts w:hint="default" w:ascii="Times New Roman" w:hAnsi="Times New Roman" w:eastAsia="方正仿宋_GBK" w:cs="Times New Roman"/>
                <w:color w:val="000000" w:themeColor="text1"/>
                <w:kern w:val="0"/>
                <w:sz w:val="24"/>
                <w:szCs w:val="24"/>
                <w14:textFill>
                  <w14:solidFill>
                    <w14:schemeClr w14:val="tx1"/>
                  </w14:solidFill>
                </w14:textFill>
              </w:rPr>
              <w:t>年</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建成</w:t>
            </w:r>
            <w:r>
              <w:rPr>
                <w:rFonts w:hint="default" w:ascii="Times New Roman" w:hAnsi="Times New Roman" w:eastAsia="等线" w:cs="Times New Roman"/>
                <w:color w:val="000000" w:themeColor="text1"/>
                <w:kern w:val="0"/>
                <w:sz w:val="24"/>
                <w:szCs w:val="24"/>
                <w14:textFill>
                  <w14:solidFill>
                    <w14:schemeClr w14:val="tx1"/>
                  </w14:solidFill>
                </w14:textFill>
              </w:rPr>
              <w:t>2</w:t>
            </w:r>
            <w:r>
              <w:rPr>
                <w:rFonts w:hint="default" w:ascii="Times New Roman" w:hAnsi="Times New Roman" w:eastAsia="方正仿宋_GBK" w:cs="Times New Roman"/>
                <w:color w:val="000000" w:themeColor="text1"/>
                <w:kern w:val="0"/>
                <w:sz w:val="24"/>
                <w:szCs w:val="24"/>
                <w14:textFill>
                  <w14:solidFill>
                    <w14:schemeClr w14:val="tx1"/>
                  </w14:solidFill>
                </w14:textFill>
              </w:rPr>
              <w:t>个</w:t>
            </w:r>
            <w:r>
              <w:rPr>
                <w:rFonts w:hint="default" w:ascii="Times New Roman" w:hAnsi="Times New Roman" w:eastAsia="等线" w:cs="Times New Roman"/>
                <w:color w:val="000000" w:themeColor="text1"/>
                <w:kern w:val="0"/>
                <w:sz w:val="24"/>
                <w:szCs w:val="24"/>
                <w14:textFill>
                  <w14:solidFill>
                    <w14:schemeClr w14:val="tx1"/>
                  </w14:solidFill>
                </w14:textFill>
              </w:rPr>
              <w:t xml:space="preserve"> “</w:t>
            </w:r>
            <w:r>
              <w:rPr>
                <w:rFonts w:hint="default" w:ascii="Times New Roman" w:hAnsi="Times New Roman" w:eastAsia="方正仿宋_GBK" w:cs="Times New Roman"/>
                <w:color w:val="000000" w:themeColor="text1"/>
                <w:kern w:val="0"/>
                <w:sz w:val="24"/>
                <w:szCs w:val="24"/>
                <w14:textFill>
                  <w14:solidFill>
                    <w14:schemeClr w14:val="tx1"/>
                  </w14:solidFill>
                </w14:textFill>
              </w:rPr>
              <w:t>康养幸福街区</w:t>
            </w:r>
            <w:r>
              <w:rPr>
                <w:rFonts w:hint="default" w:ascii="Times New Roman" w:hAnsi="Times New Roman" w:eastAsia="等线" w:cs="Times New Roman"/>
                <w:color w:val="000000" w:themeColor="text1"/>
                <w:kern w:val="0"/>
                <w:sz w:val="24"/>
                <w:szCs w:val="24"/>
                <w14:textFill>
                  <w14:solidFill>
                    <w14:schemeClr w14:val="tx1"/>
                  </w14:solidFill>
                </w14:textFill>
              </w:rPr>
              <w:t>”</w:t>
            </w:r>
          </w:p>
        </w:tc>
      </w:tr>
      <w:tr>
        <w:tblPrEx>
          <w:tblCellMar>
            <w:top w:w="0" w:type="dxa"/>
            <w:left w:w="108" w:type="dxa"/>
            <w:bottom w:w="0" w:type="dxa"/>
            <w:right w:w="108" w:type="dxa"/>
          </w:tblCellMar>
        </w:tblPrEx>
        <w:trPr>
          <w:trHeight w:val="284"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14:textFill>
                  <w14:solidFill>
                    <w14:schemeClr w14:val="tx1"/>
                  </w14:solidFill>
                </w14:textFill>
              </w:rPr>
              <w:t>16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开展</w:t>
            </w:r>
            <w:r>
              <w:rPr>
                <w:rFonts w:hint="default" w:ascii="Times New Roman" w:hAnsi="Times New Roman" w:eastAsia="等线"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幸福乐老</w:t>
            </w:r>
            <w:r>
              <w:rPr>
                <w:rFonts w:hint="default" w:ascii="Times New Roman" w:hAnsi="Times New Roman" w:eastAsia="等线"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志愿服务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区民政局</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区文明办</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区卫健委</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 xml:space="preserve">区司法局 </w:t>
            </w:r>
            <w:r>
              <w:rPr>
                <w:rFonts w:hint="default" w:ascii="Times New Roman" w:hAnsi="Times New Roman" w:eastAsia="等线" w:cs="Times New Roman"/>
                <w:color w:val="000000" w:themeColor="text1"/>
                <w:kern w:val="0"/>
                <w:sz w:val="24"/>
                <w:szCs w:val="24"/>
                <w14:textFill>
                  <w14:solidFill>
                    <w14:schemeClr w14:val="tx1"/>
                  </w14:solidFill>
                </w14:textFill>
              </w:rPr>
              <w:br w:type="textWrapping"/>
            </w:r>
            <w:r>
              <w:rPr>
                <w:rFonts w:hint="default" w:ascii="Times New Roman" w:hAnsi="Times New Roman" w:eastAsia="方正仿宋_GBK" w:cs="Times New Roman"/>
                <w:color w:val="000000" w:themeColor="text1"/>
                <w:kern w:val="0"/>
                <w:sz w:val="24"/>
                <w:szCs w:val="24"/>
                <w14:textFill>
                  <w14:solidFill>
                    <w14:schemeClr w14:val="tx1"/>
                  </w14:solidFill>
                </w14:textFill>
              </w:rPr>
              <w:t>各镇街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长期</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开展志愿助老活动</w:t>
            </w:r>
            <w:r>
              <w:rPr>
                <w:rFonts w:hint="default" w:ascii="Times New Roman" w:hAnsi="Times New Roman" w:eastAsia="等线" w:cs="Times New Roman"/>
                <w:color w:val="000000" w:themeColor="text1"/>
                <w:kern w:val="0"/>
                <w:sz w:val="24"/>
                <w:szCs w:val="24"/>
                <w14:textFill>
                  <w14:solidFill>
                    <w14:schemeClr w14:val="tx1"/>
                  </w14:solidFill>
                </w14:textFill>
              </w:rPr>
              <w:t>≥24</w:t>
            </w:r>
            <w:r>
              <w:rPr>
                <w:rFonts w:hint="default" w:ascii="Times New Roman" w:hAnsi="Times New Roman" w:eastAsia="方正仿宋_GBK" w:cs="Times New Roman"/>
                <w:color w:val="000000" w:themeColor="text1"/>
                <w:kern w:val="0"/>
                <w:sz w:val="24"/>
                <w:szCs w:val="24"/>
                <w14:textFill>
                  <w14:solidFill>
                    <w14:schemeClr w14:val="tx1"/>
                  </w14:solidFill>
                </w14:textFill>
              </w:rPr>
              <w:t>场</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开展志愿助老活动</w:t>
            </w:r>
            <w:r>
              <w:rPr>
                <w:rFonts w:hint="default" w:ascii="Times New Roman" w:hAnsi="Times New Roman" w:eastAsia="等线" w:cs="Times New Roman"/>
                <w:color w:val="000000" w:themeColor="text1"/>
                <w:kern w:val="0"/>
                <w:sz w:val="24"/>
                <w:szCs w:val="24"/>
                <w14:textFill>
                  <w14:solidFill>
                    <w14:schemeClr w14:val="tx1"/>
                  </w14:solidFill>
                </w14:textFill>
              </w:rPr>
              <w:t>≥24</w:t>
            </w:r>
            <w:r>
              <w:rPr>
                <w:rFonts w:hint="default" w:ascii="Times New Roman" w:hAnsi="Times New Roman" w:eastAsia="方正仿宋_GBK" w:cs="Times New Roman"/>
                <w:color w:val="000000" w:themeColor="text1"/>
                <w:kern w:val="0"/>
                <w:sz w:val="24"/>
                <w:szCs w:val="24"/>
                <w14:textFill>
                  <w14:solidFill>
                    <w14:schemeClr w14:val="tx1"/>
                  </w14:solidFill>
                </w14:textFill>
              </w:rPr>
              <w:t>场</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default" w:ascii="Times New Roman" w:hAnsi="Times New Roman" w:eastAsia="等线"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开展志愿助老活动</w:t>
            </w:r>
            <w:r>
              <w:rPr>
                <w:rFonts w:hint="default" w:ascii="Times New Roman" w:hAnsi="Times New Roman" w:eastAsia="等线" w:cs="Times New Roman"/>
                <w:color w:val="000000" w:themeColor="text1"/>
                <w:kern w:val="0"/>
                <w:sz w:val="24"/>
                <w:szCs w:val="24"/>
                <w14:textFill>
                  <w14:solidFill>
                    <w14:schemeClr w14:val="tx1"/>
                  </w14:solidFill>
                </w14:textFill>
              </w:rPr>
              <w:t>≥24</w:t>
            </w:r>
            <w:r>
              <w:rPr>
                <w:rFonts w:hint="default" w:ascii="Times New Roman" w:hAnsi="Times New Roman" w:eastAsia="方正仿宋_GBK" w:cs="Times New Roman"/>
                <w:color w:val="000000" w:themeColor="text1"/>
                <w:kern w:val="0"/>
                <w:sz w:val="24"/>
                <w:szCs w:val="24"/>
                <w14:textFill>
                  <w14:solidFill>
                    <w14:schemeClr w14:val="tx1"/>
                  </w14:solidFill>
                </w14:textFill>
              </w:rPr>
              <w:t>场</w:t>
            </w:r>
          </w:p>
        </w:tc>
      </w:tr>
      <w:tr>
        <w:tblPrEx>
          <w:tblCellMar>
            <w:top w:w="0" w:type="dxa"/>
            <w:left w:w="108" w:type="dxa"/>
            <w:bottom w:w="0" w:type="dxa"/>
            <w:right w:w="108" w:type="dxa"/>
          </w:tblCellMar>
        </w:tblPrEx>
        <w:trPr>
          <w:trHeight w:val="284"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szCs w:val="24"/>
                <w:lang w:val="en-US" w:eastAsia="zh-CN"/>
                <w14:textFill>
                  <w14:solidFill>
                    <w14:schemeClr w14:val="tx1"/>
                  </w14:solidFill>
                </w14:textFill>
              </w:rPr>
              <w:t>17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举办系列典型选树活动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区委老干部局</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区文明办</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区教育局</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eastAsia="方正仿宋_GBK"/>
                <w:lang w:val="en-US" w:eastAsia="zh-CN"/>
              </w:rPr>
            </w:pP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区民政局</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区卫健委</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各镇街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snapToGrid w:val="0"/>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长期</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snapToGrid w:val="0"/>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等线" w:cs="Times New Roman"/>
                <w:snapToGrid w:val="0"/>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snapToGrid w:val="0"/>
                <w:color w:val="000000" w:themeColor="text1"/>
                <w:kern w:val="0"/>
                <w:sz w:val="24"/>
                <w:szCs w:val="24"/>
                <w14:textFill>
                  <w14:solidFill>
                    <w14:schemeClr w14:val="tx1"/>
                  </w14:solidFill>
                </w14:textFill>
              </w:rPr>
            </w:pPr>
            <w:r>
              <w:rPr>
                <w:rFonts w:hint="default" w:ascii="Times New Roman" w:hAnsi="Times New Roman" w:eastAsia="等线" w:cs="Times New Roman"/>
                <w:color w:val="000000" w:themeColor="text1"/>
                <w:kern w:val="0"/>
                <w:sz w:val="24"/>
                <w:szCs w:val="24"/>
                <w14:textFill>
                  <w14:solidFill>
                    <w14:schemeClr w14:val="tx1"/>
                  </w14:solidFill>
                </w14:textFill>
              </w:rPr>
              <w:t>/</w:t>
            </w:r>
          </w:p>
        </w:tc>
      </w:tr>
    </w:tbl>
    <w:p>
      <w:pPr>
        <w:pStyle w:val="11"/>
        <w:rPr>
          <w:rFonts w:hint="eastAsia"/>
          <w:color w:val="000000" w:themeColor="text1"/>
          <w14:textFill>
            <w14:solidFill>
              <w14:schemeClr w14:val="tx1"/>
            </w14:solidFill>
          </w14:textFill>
        </w:rPr>
        <w:sectPr>
          <w:footerReference r:id="rId6" w:type="first"/>
          <w:pgSz w:w="16838" w:h="11906" w:orient="landscape"/>
          <w:pgMar w:top="1531" w:right="2098" w:bottom="1531" w:left="1985" w:header="851" w:footer="1304" w:gutter="0"/>
          <w:pgNumType w:fmt="decimal"/>
          <w:cols w:space="720" w:num="1"/>
          <w:titlePg/>
          <w:docGrid w:type="linesAndChars" w:linePitch="579" w:charSpace="-22"/>
        </w:sectPr>
      </w:pPr>
    </w:p>
    <w:p>
      <w:pPr>
        <w:widowControl/>
        <w:ind w:left="-808" w:leftChars="-385" w:right="-861" w:rightChars="-410"/>
        <w:jc w:val="both"/>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附件2：</w:t>
      </w:r>
    </w:p>
    <w:tbl>
      <w:tblPr>
        <w:tblStyle w:val="12"/>
        <w:tblW w:w="15695" w:type="dxa"/>
        <w:tblInd w:w="-13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7"/>
        <w:gridCol w:w="2616"/>
        <w:gridCol w:w="1446"/>
        <w:gridCol w:w="1445"/>
        <w:gridCol w:w="968"/>
        <w:gridCol w:w="2523"/>
        <w:gridCol w:w="2373"/>
        <w:gridCol w:w="204"/>
        <w:gridCol w:w="2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5695" w:type="dxa"/>
            <w:gridSpan w:val="9"/>
            <w:tcBorders>
              <w:top w:val="nil"/>
              <w:left w:val="nil"/>
              <w:bottom w:val="single" w:color="auto" w:sz="4" w:space="0"/>
              <w:right w:val="nil"/>
            </w:tcBorders>
            <w:noWrap w:val="0"/>
            <w:vAlign w:val="center"/>
          </w:tcPr>
          <w:p>
            <w:pPr>
              <w:widowControl/>
              <w:ind w:left="-808" w:leftChars="-385" w:right="-861" w:rightChars="-410"/>
              <w:jc w:val="center"/>
              <w:rPr>
                <w:rFonts w:hint="default" w:ascii="Times New Roman" w:hAnsi="Times New Roman" w:eastAsia="等线" w:cs="Times New Roman"/>
                <w:i w:val="0"/>
                <w:iCs w:val="0"/>
                <w:color w:val="000000" w:themeColor="text1"/>
                <w:sz w:val="56"/>
                <w:szCs w:val="56"/>
                <w:u w:val="none"/>
                <w14:textFill>
                  <w14:solidFill>
                    <w14:schemeClr w14:val="tx1"/>
                  </w14:solidFill>
                </w14:textFill>
              </w:rPr>
            </w:pPr>
            <w:r>
              <w:rPr>
                <w:rFonts w:eastAsia="方正小标宋_GBK"/>
                <w:color w:val="000000" w:themeColor="text1"/>
                <w:kern w:val="0"/>
                <w:sz w:val="44"/>
                <w:szCs w:val="44"/>
                <w14:textFill>
                  <w14:solidFill>
                    <w14:schemeClr w14:val="tx1"/>
                  </w14:solidFill>
                </w14:textFill>
              </w:rPr>
              <w:t>海陵区</w:t>
            </w:r>
            <w:r>
              <w:rPr>
                <w:rFonts w:hint="eastAsia" w:eastAsia="方正小标宋_GBK"/>
                <w:color w:val="000000" w:themeColor="text1"/>
                <w:kern w:val="0"/>
                <w:sz w:val="44"/>
                <w:szCs w:val="44"/>
                <w:lang w:val="en-US" w:eastAsia="zh-CN"/>
                <w14:textFill>
                  <w14:solidFill>
                    <w14:schemeClr w14:val="tx1"/>
                  </w14:solidFill>
                </w14:textFill>
              </w:rPr>
              <w:t>托育</w:t>
            </w:r>
            <w:r>
              <w:rPr>
                <w:rFonts w:eastAsia="方正小标宋_GBK"/>
                <w:color w:val="000000" w:themeColor="text1"/>
                <w:kern w:val="0"/>
                <w:sz w:val="44"/>
                <w:szCs w:val="44"/>
                <w14:textFill>
                  <w14:solidFill>
                    <w14:schemeClr w14:val="tx1"/>
                  </w14:solidFill>
                </w14:textFill>
              </w:rPr>
              <w:t>领域整体解决方案任务分解表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410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cs="Times New Roman"/>
                <w:color w:val="000000" w:themeColor="text1"/>
                <w:sz w:val="24"/>
                <w:szCs w:val="24"/>
                <w:lang w:val="en-US" w:eastAsia="zh-CN" w:bidi="ar"/>
                <w14:textFill>
                  <w14:solidFill>
                    <w14:schemeClr w14:val="tx1"/>
                  </w14:solidFill>
                </w14:textFill>
              </w:rPr>
              <w:t>目标任务</w:t>
            </w:r>
          </w:p>
        </w:tc>
        <w:tc>
          <w:tcPr>
            <w:tcW w:w="2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cs="Times New Roman"/>
                <w:color w:val="000000" w:themeColor="text1"/>
                <w:sz w:val="24"/>
                <w:szCs w:val="24"/>
                <w:lang w:val="en-US" w:eastAsia="zh-CN" w:bidi="ar"/>
                <w14:textFill>
                  <w14:solidFill>
                    <w14:schemeClr w14:val="tx1"/>
                  </w14:solidFill>
                </w14:textFill>
              </w:rPr>
              <w:t>责任单位</w:t>
            </w:r>
          </w:p>
        </w:tc>
        <w:tc>
          <w:tcPr>
            <w:tcW w:w="9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cs="Times New Roman"/>
                <w:color w:val="000000" w:themeColor="text1"/>
                <w:sz w:val="24"/>
                <w:szCs w:val="24"/>
                <w:lang w:val="en-US" w:eastAsia="zh-CN" w:bidi="ar"/>
                <w14:textFill>
                  <w14:solidFill>
                    <w14:schemeClr w14:val="tx1"/>
                  </w14:solidFill>
                </w14:textFill>
              </w:rPr>
              <w:t>计划完成时间</w:t>
            </w:r>
          </w:p>
        </w:tc>
        <w:tc>
          <w:tcPr>
            <w:tcW w:w="252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2023</w:t>
            </w:r>
            <w:r>
              <w:rPr>
                <w:rStyle w:val="18"/>
                <w:rFonts w:hint="default" w:ascii="Times New Roman" w:hAnsi="Times New Roman" w:cs="Times New Roman"/>
                <w:color w:val="000000" w:themeColor="text1"/>
                <w:sz w:val="24"/>
                <w:szCs w:val="24"/>
                <w:lang w:val="en-US" w:eastAsia="zh-CN" w:bidi="ar"/>
                <w14:textFill>
                  <w14:solidFill>
                    <w14:schemeClr w14:val="tx1"/>
                  </w14:solidFill>
                </w14:textFill>
              </w:rPr>
              <w:t>年目标任务</w:t>
            </w:r>
          </w:p>
        </w:tc>
        <w:tc>
          <w:tcPr>
            <w:tcW w:w="2577"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2024</w:t>
            </w:r>
            <w:r>
              <w:rPr>
                <w:rStyle w:val="18"/>
                <w:rFonts w:hint="default" w:ascii="Times New Roman" w:hAnsi="Times New Roman" w:cs="Times New Roman"/>
                <w:color w:val="000000" w:themeColor="text1"/>
                <w:sz w:val="24"/>
                <w:szCs w:val="24"/>
                <w:lang w:val="en-US" w:eastAsia="zh-CN" w:bidi="ar"/>
                <w14:textFill>
                  <w14:solidFill>
                    <w14:schemeClr w14:val="tx1"/>
                  </w14:solidFill>
                </w14:textFill>
              </w:rPr>
              <w:t>年目标任务</w:t>
            </w:r>
          </w:p>
        </w:tc>
        <w:tc>
          <w:tcPr>
            <w:tcW w:w="263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2025</w:t>
            </w:r>
            <w:r>
              <w:rPr>
                <w:rStyle w:val="18"/>
                <w:rFonts w:hint="default" w:ascii="Times New Roman" w:hAnsi="Times New Roman" w:cs="Times New Roman"/>
                <w:color w:val="000000" w:themeColor="text1"/>
                <w:sz w:val="24"/>
                <w:szCs w:val="24"/>
                <w:lang w:val="en-US" w:eastAsia="zh-CN" w:bidi="ar"/>
                <w14:textFill>
                  <w14:solidFill>
                    <w14:schemeClr w14:val="tx1"/>
                  </w14:solidFill>
                </w14:textFill>
              </w:rPr>
              <w:t>年目标任务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10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cs="Times New Roman"/>
                <w:color w:val="000000" w:themeColor="text1"/>
                <w:sz w:val="24"/>
                <w:szCs w:val="24"/>
                <w:lang w:val="en-US" w:eastAsia="zh-CN" w:bidi="ar"/>
                <w14:textFill>
                  <w14:solidFill>
                    <w14:schemeClr w14:val="tx1"/>
                  </w14:solidFill>
                </w14:textFill>
              </w:rPr>
              <w:t>主办单位</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cs="Times New Roman"/>
                <w:color w:val="000000" w:themeColor="text1"/>
                <w:sz w:val="24"/>
                <w:szCs w:val="24"/>
                <w:lang w:val="en-US" w:eastAsia="zh-CN" w:bidi="ar"/>
                <w14:textFill>
                  <w14:solidFill>
                    <w14:schemeClr w14:val="tx1"/>
                  </w14:solidFill>
                </w14:textFill>
              </w:rPr>
              <w:t>协办单位</w:t>
            </w:r>
          </w:p>
        </w:tc>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p>
        </w:tc>
        <w:tc>
          <w:tcPr>
            <w:tcW w:w="252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p>
        </w:tc>
        <w:tc>
          <w:tcPr>
            <w:tcW w:w="2577"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p>
        </w:tc>
        <w:tc>
          <w:tcPr>
            <w:tcW w:w="263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69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19"/>
                <w:rFonts w:hint="default" w:ascii="Times New Roman" w:hAnsi="Times New Roman" w:cs="Times New Roman"/>
                <w:color w:val="000000" w:themeColor="text1"/>
                <w:sz w:val="24"/>
                <w:szCs w:val="24"/>
                <w:lang w:val="en-US" w:eastAsia="zh-CN" w:bidi="ar"/>
                <w14:textFill>
                  <w14:solidFill>
                    <w14:schemeClr w14:val="tx1"/>
                  </w14:solidFill>
                </w14:textFill>
              </w:rPr>
              <w:t>一、完善托育服务规划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1.</w:t>
            </w:r>
            <w:r>
              <w:rPr>
                <w:rStyle w:val="20"/>
                <w:rFonts w:hint="default" w:ascii="Times New Roman" w:hAnsi="Times New Roman" w:cs="Times New Roman"/>
                <w:color w:val="000000" w:themeColor="text1"/>
                <w:sz w:val="24"/>
                <w:szCs w:val="24"/>
                <w:lang w:val="en-US" w:eastAsia="zh-CN" w:bidi="ar"/>
                <w14:textFill>
                  <w14:solidFill>
                    <w14:schemeClr w14:val="tx1"/>
                  </w14:solidFill>
                </w14:textFill>
              </w:rPr>
              <w:t>加强用地保障</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托育服务设施建设用地纳入国土空间规划</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自然资源和规划分局</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lang w:val="en-US"/>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各镇街</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长期</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在年度建设用地供应计划中保障托育用地需求</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自然资源和规划分局</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各镇街</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每年</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2.</w:t>
            </w:r>
            <w:r>
              <w:rPr>
                <w:rStyle w:val="20"/>
                <w:rFonts w:hint="default" w:ascii="Times New Roman" w:hAnsi="Times New Roman" w:cs="Times New Roman"/>
                <w:color w:val="000000" w:themeColor="text1"/>
                <w:sz w:val="24"/>
                <w:szCs w:val="24"/>
                <w:lang w:val="en-US" w:eastAsia="zh-CN" w:bidi="ar"/>
                <w14:textFill>
                  <w14:solidFill>
                    <w14:schemeClr w14:val="tx1"/>
                  </w14:solidFill>
                </w14:textFill>
              </w:rPr>
              <w:t>推进规划建设</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新建居住区按照每千人口不少于</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10</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个托位（或者每百住户不少于</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15</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㎡）的标准，规划建设托育服务设施</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住建局</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自然资源和规划分局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长期</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老城区和已建成居住区，采取购置、置换、租赁等方式建设完善托育设施</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住建局</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自然资源和规划分局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长期</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4"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3.</w:t>
            </w:r>
            <w:r>
              <w:rPr>
                <w:rStyle w:val="20"/>
                <w:rFonts w:hint="default" w:ascii="Times New Roman" w:hAnsi="Times New Roman" w:cs="Times New Roman"/>
                <w:color w:val="000000" w:themeColor="text1"/>
                <w:sz w:val="24"/>
                <w:szCs w:val="24"/>
                <w:lang w:val="en-US" w:eastAsia="zh-CN" w:bidi="ar"/>
                <w14:textFill>
                  <w14:solidFill>
                    <w14:schemeClr w14:val="tx1"/>
                  </w14:solidFill>
                </w14:textFill>
              </w:rPr>
              <w:t>盘活存量资源</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利用存量资源改建托育设施</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发改委</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自然资源和规划分局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住建局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消防大队</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各镇街</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长期</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69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9"/>
                <w:rFonts w:hint="default" w:ascii="Times New Roman" w:hAnsi="Times New Roman" w:cs="Times New Roman"/>
                <w:i w:val="0"/>
                <w:iCs w:val="0"/>
                <w:color w:val="000000" w:themeColor="text1"/>
                <w:sz w:val="24"/>
                <w:szCs w:val="24"/>
                <w:lang w:val="en-US" w:eastAsia="zh-CN" w:bidi="ar"/>
                <w14:textFill>
                  <w14:solidFill>
                    <w14:schemeClr w14:val="tx1"/>
                  </w14:solidFill>
                </w14:textFill>
              </w:rPr>
            </w:pPr>
            <w:r>
              <w:rPr>
                <w:rStyle w:val="19"/>
                <w:rFonts w:hint="default" w:ascii="Times New Roman" w:hAnsi="Times New Roman" w:cs="Times New Roman"/>
                <w:i w:val="0"/>
                <w:iCs w:val="0"/>
                <w:color w:val="000000" w:themeColor="text1"/>
                <w:sz w:val="24"/>
                <w:szCs w:val="24"/>
                <w:lang w:val="en-US" w:eastAsia="zh-CN" w:bidi="ar"/>
                <w14:textFill>
                  <w14:solidFill>
                    <w14:schemeClr w14:val="tx1"/>
                  </w14:solidFill>
                </w14:textFill>
              </w:rPr>
              <w:t>二、扩大普惠托育服务供给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4.</w:t>
            </w:r>
            <w:r>
              <w:rPr>
                <w:rStyle w:val="20"/>
                <w:rFonts w:hint="default" w:ascii="Times New Roman" w:hAnsi="Times New Roman" w:cs="Times New Roman"/>
                <w:color w:val="000000" w:themeColor="text1"/>
                <w:sz w:val="24"/>
                <w:szCs w:val="24"/>
                <w:lang w:val="en-US" w:eastAsia="zh-CN" w:bidi="ar"/>
                <w14:textFill>
                  <w14:solidFill>
                    <w14:schemeClr w14:val="tx1"/>
                  </w14:solidFill>
                </w14:textFill>
              </w:rPr>
              <w:t>构建普惠托育主干网</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每千人口拥有</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3</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岁以下婴幼儿托位数达到</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4.5</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个以上</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区总工会</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各镇街</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2025</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每千人口拥有</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3</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岁以下婴幼儿托位数达到</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3.6</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个以上</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每千人口拥有</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3</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岁以下婴幼儿托位数达到</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4.1</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个以上</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每千人口拥有</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3</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岁以下婴幼儿托位数达到</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4.5</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个以上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普惠托育纳入政府民生实事</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每年</w:t>
            </w:r>
          </w:p>
        </w:tc>
        <w:tc>
          <w:tcPr>
            <w:tcW w:w="773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普惠托育纳入政府民生实事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推进</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一街道（乡镇）一普惠</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各镇街</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2025</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50%</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以上镇街建有普惠托育机构</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75%</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以上镇街建有普惠托育机构</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100%</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以上镇街建有普惠托育机构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5.</w:t>
            </w:r>
            <w:r>
              <w:rPr>
                <w:rStyle w:val="20"/>
                <w:rFonts w:hint="eastAsia" w:ascii="Times New Roman" w:hAnsi="Times New Roman" w:cs="Times New Roman"/>
                <w:color w:val="000000" w:themeColor="text1"/>
                <w:sz w:val="24"/>
                <w:szCs w:val="24"/>
                <w:lang w:val="en-US" w:eastAsia="zh-CN" w:bidi="ar"/>
                <w14:textFill>
                  <w14:solidFill>
                    <w14:schemeClr w14:val="tx1"/>
                  </w14:solidFill>
                </w14:textFill>
              </w:rPr>
              <w:t>提升</w:t>
            </w:r>
            <w:r>
              <w:rPr>
                <w:rStyle w:val="20"/>
                <w:rFonts w:hint="default" w:ascii="Times New Roman" w:hAnsi="Times New Roman" w:cs="Times New Roman"/>
                <w:color w:val="000000" w:themeColor="text1"/>
                <w:sz w:val="24"/>
                <w:szCs w:val="24"/>
                <w:lang w:val="en-US" w:eastAsia="zh-CN" w:bidi="ar"/>
                <w14:textFill>
                  <w14:solidFill>
                    <w14:schemeClr w14:val="tx1"/>
                  </w14:solidFill>
                </w14:textFill>
              </w:rPr>
              <w:t>公办托育服务能力</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建成</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个区级托育综合服务中心</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2024</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完成房屋租赁和第三方运营招标程序，开始房屋改建</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上半年完成建设</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6.</w:t>
            </w:r>
            <w:r>
              <w:rPr>
                <w:rStyle w:val="20"/>
                <w:rFonts w:hint="default" w:ascii="Times New Roman" w:hAnsi="Times New Roman" w:cs="Times New Roman"/>
                <w:color w:val="000000" w:themeColor="text1"/>
                <w:sz w:val="24"/>
                <w:szCs w:val="24"/>
                <w:lang w:val="en-US" w:eastAsia="zh-CN" w:bidi="ar"/>
                <w14:textFill>
                  <w14:solidFill>
                    <w14:schemeClr w14:val="tx1"/>
                  </w14:solidFill>
                </w14:textFill>
              </w:rPr>
              <w:t>提供多元化托育服务</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lang w:val="en-US"/>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社区托育</w:t>
            </w: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服务</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区民政局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各镇街</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长期</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托育机构社区覆盖率达</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40%</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托育机构社区覆盖率达</w:t>
            </w:r>
            <w:r>
              <w:rPr>
                <w:rStyle w:val="23"/>
                <w:rFonts w:hint="default" w:ascii="Times New Roman" w:hAnsi="Times New Roman" w:eastAsia="等线" w:cs="Times New Roman"/>
                <w:color w:val="000000" w:themeColor="text1"/>
                <w:sz w:val="24"/>
                <w:szCs w:val="24"/>
                <w:lang w:val="en-US" w:eastAsia="zh-CN" w:bidi="ar"/>
                <w14:textFill>
                  <w14:solidFill>
                    <w14:schemeClr w14:val="tx1"/>
                  </w14:solidFill>
                </w14:textFill>
              </w:rPr>
              <w:t>50%</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托育机构社区覆盖率达</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幼儿园开设托班</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教育局</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长期</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lang w:val="en-US"/>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幼儿园开设托班</w:t>
            </w: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应开尽开</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幼儿园开设托班</w:t>
            </w: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应开尽开</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幼儿园开设托班</w:t>
            </w: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应开尽开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69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19"/>
                <w:rFonts w:hint="default" w:ascii="Times New Roman" w:hAnsi="Times New Roman" w:cs="Times New Roman"/>
                <w:color w:val="000000" w:themeColor="text1"/>
                <w:sz w:val="24"/>
                <w:szCs w:val="24"/>
                <w:lang w:val="en-US" w:eastAsia="zh-CN" w:bidi="ar"/>
                <w14:textFill>
                  <w14:solidFill>
                    <w14:schemeClr w14:val="tx1"/>
                  </w14:solidFill>
                </w14:textFill>
              </w:rPr>
              <w:t>三、提升托育服务水平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7.</w:t>
            </w:r>
            <w:r>
              <w:rPr>
                <w:rStyle w:val="20"/>
                <w:rFonts w:hint="default" w:ascii="Times New Roman" w:hAnsi="Times New Roman" w:cs="Times New Roman"/>
                <w:color w:val="000000" w:themeColor="text1"/>
                <w:sz w:val="24"/>
                <w:szCs w:val="24"/>
                <w:lang w:val="en-US" w:eastAsia="zh-CN" w:bidi="ar"/>
                <w14:textFill>
                  <w14:solidFill>
                    <w14:schemeClr w14:val="tx1"/>
                  </w14:solidFill>
                </w14:textFill>
              </w:rPr>
              <w:t>落实登记备案制度</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做好托育机构备案管理，加强备案材料审核，完善备案流程</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区行政审批局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区民政局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区市场监管局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lang w:val="en-US"/>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消防大队</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长期</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机构备案率达</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50%</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以上</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机构备案率达</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75%</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以上</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机构备案率达</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8.</w:t>
            </w:r>
            <w:r>
              <w:rPr>
                <w:rStyle w:val="20"/>
                <w:rFonts w:hint="default" w:ascii="Times New Roman" w:hAnsi="Times New Roman" w:cs="Times New Roman"/>
                <w:color w:val="000000" w:themeColor="text1"/>
                <w:sz w:val="24"/>
                <w:szCs w:val="24"/>
                <w:lang w:val="en-US" w:eastAsia="zh-CN" w:bidi="ar"/>
                <w14:textFill>
                  <w14:solidFill>
                    <w14:schemeClr w14:val="tx1"/>
                  </w14:solidFill>
                </w14:textFill>
              </w:rPr>
              <w:t>推进托育机构创优</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建成</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个省级示范性托育机构</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2025</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建成</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个省级示范性托育机构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新增省级普惠托育机构</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家</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每年</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新增省级普惠托育机构</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家</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新增省级普惠托育机构</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家</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新增省级普惠托育机构</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新增市级普惠托育机构</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2</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家</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每年</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新增市级普惠托育机构</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2</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家</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新增市级普惠托育机构</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2</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家</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新增市级普惠托育机构</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2</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9.</w:t>
            </w:r>
            <w:r>
              <w:rPr>
                <w:rStyle w:val="20"/>
                <w:rFonts w:hint="default" w:ascii="Times New Roman" w:hAnsi="Times New Roman" w:cs="Times New Roman"/>
                <w:color w:val="000000" w:themeColor="text1"/>
                <w:sz w:val="24"/>
                <w:szCs w:val="24"/>
                <w:lang w:val="en-US" w:eastAsia="zh-CN" w:bidi="ar"/>
                <w14:textFill>
                  <w14:solidFill>
                    <w14:schemeClr w14:val="tx1"/>
                  </w14:solidFill>
                </w14:textFill>
              </w:rPr>
              <w:t>提升家庭科学育儿服务水平</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至少举办</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场区级科学育儿指导活动</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妇联</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每年</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举办</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场区级科学育儿指导活动</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举办</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场区级科学育儿指导活动</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举办</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场区级科学育儿指导活动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开发婴幼儿养育课堂、父母课堂</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妇联</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长期</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组织科学育儿讲座</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1-2</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场次</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组织科学育儿讲座</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1-2</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场次</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组织科学育儿讲座</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1-2</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69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19"/>
                <w:rFonts w:hint="default" w:ascii="Times New Roman" w:hAnsi="Times New Roman" w:cs="Times New Roman"/>
                <w:color w:val="000000" w:themeColor="text1"/>
                <w:sz w:val="24"/>
                <w:szCs w:val="24"/>
                <w:lang w:val="en-US" w:eastAsia="zh-CN" w:bidi="ar"/>
                <w14:textFill>
                  <w14:solidFill>
                    <w14:schemeClr w14:val="tx1"/>
                  </w14:solidFill>
                </w14:textFill>
              </w:rPr>
              <w:t>四、培育托育服务人才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10.</w:t>
            </w:r>
            <w:r>
              <w:rPr>
                <w:rStyle w:val="20"/>
                <w:rFonts w:hint="default" w:ascii="Times New Roman" w:hAnsi="Times New Roman" w:cs="Times New Roman"/>
                <w:color w:val="000000" w:themeColor="text1"/>
                <w:sz w:val="24"/>
                <w:szCs w:val="24"/>
                <w:lang w:val="en-US" w:eastAsia="zh-CN" w:bidi="ar"/>
                <w14:textFill>
                  <w14:solidFill>
                    <w14:schemeClr w14:val="tx1"/>
                  </w14:solidFill>
                </w14:textFill>
              </w:rPr>
              <w:t>加强队伍规范管理</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托育机构从业人员持证上岗率达</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100%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等线" w:cs="Times New Roman"/>
                <w:i w:val="0"/>
                <w:iCs w:val="0"/>
                <w:color w:val="000000" w:themeColor="text1"/>
                <w:sz w:val="24"/>
                <w:szCs w:val="24"/>
                <w:u w:val="none"/>
                <w:lang w:val="en-US" w:eastAsia="zh-CN"/>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人社局</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2025</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托育机构从业人员持证上岗率达</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90%</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托育机构从业人员持证上岗率达</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95%</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托育机构从业人员持证上岗率达</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11.</w:t>
            </w:r>
            <w:r>
              <w:rPr>
                <w:rStyle w:val="20"/>
                <w:rFonts w:hint="default" w:ascii="Times New Roman" w:hAnsi="Times New Roman" w:cs="Times New Roman"/>
                <w:color w:val="000000" w:themeColor="text1"/>
                <w:sz w:val="24"/>
                <w:szCs w:val="24"/>
                <w:lang w:val="en-US" w:eastAsia="zh-CN" w:bidi="ar"/>
                <w14:textFill>
                  <w14:solidFill>
                    <w14:schemeClr w14:val="tx1"/>
                  </w14:solidFill>
                </w14:textFill>
              </w:rPr>
              <w:t>大力培养专业人才</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开展托育从业人员岗位培训</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人社局</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每年</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组织托育从业人员岗位培训</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1-2</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场次</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组织托育从业人员岗位培训</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1-2</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场次</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组织托育从业人员岗位培训</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1-2</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69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19"/>
                <w:rFonts w:hint="default" w:ascii="Times New Roman" w:hAnsi="Times New Roman" w:cs="Times New Roman"/>
                <w:color w:val="000000" w:themeColor="text1"/>
                <w:sz w:val="24"/>
                <w:szCs w:val="24"/>
                <w:lang w:val="en-US" w:eastAsia="zh-CN" w:bidi="ar"/>
                <w14:textFill>
                  <w14:solidFill>
                    <w14:schemeClr w14:val="tx1"/>
                  </w14:solidFill>
                </w14:textFill>
              </w:rPr>
              <w:t>五、健全综合监管机制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br w:type="page"/>
            </w: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12.</w:t>
            </w:r>
            <w:r>
              <w:rPr>
                <w:rStyle w:val="20"/>
                <w:rFonts w:hint="default" w:ascii="Times New Roman" w:hAnsi="Times New Roman" w:cs="Times New Roman"/>
                <w:color w:val="000000" w:themeColor="text1"/>
                <w:sz w:val="24"/>
                <w:szCs w:val="24"/>
                <w:lang w:val="en-US" w:eastAsia="zh-CN" w:bidi="ar"/>
                <w14:textFill>
                  <w14:solidFill>
                    <w14:schemeClr w14:val="tx1"/>
                  </w14:solidFill>
                </w14:textFill>
              </w:rPr>
              <w:t>强化质量安全监管</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托育服务纳入公共安全重点保障范围，定期开展安全检查</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市场监管局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公安分局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消防大队</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lang w:val="en-US"/>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各镇街</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长期</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组织多部门联合检查</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1-2</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次</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组织多部门联合检查</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1-2</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次</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组织多部门联合检查</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1-2</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13.</w:t>
            </w:r>
            <w:r>
              <w:rPr>
                <w:rStyle w:val="20"/>
                <w:rFonts w:hint="default" w:ascii="Times New Roman" w:hAnsi="Times New Roman" w:cs="Times New Roman"/>
                <w:color w:val="000000" w:themeColor="text1"/>
                <w:sz w:val="24"/>
                <w:szCs w:val="24"/>
                <w:lang w:val="en-US" w:eastAsia="zh-CN" w:bidi="ar"/>
                <w14:textFill>
                  <w14:solidFill>
                    <w14:schemeClr w14:val="tx1"/>
                  </w14:solidFill>
                </w14:textFill>
              </w:rPr>
              <w:t>加强运营秩序监管</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运用</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泰州市智慧托育</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平台对托育机构的服务全过程加强监管</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市场监管局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公安分局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消防大队</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各镇街</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长期</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开展</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泰州市智慧托育</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平台运用试点</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推进</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泰州市智慧托育</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平台运用</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所有托育机构纳入</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泰州市智慧托育</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平台监管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建立托育机构关停等特殊情况应急处置机制</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市场监管局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各镇街</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2024</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开展前期调研，建立相关措施</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建立健全托育机构关停等特殊情况应急处置机制</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69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19"/>
                <w:rFonts w:hint="default" w:ascii="Times New Roman" w:hAnsi="Times New Roman" w:cs="Times New Roman"/>
                <w:color w:val="000000" w:themeColor="text1"/>
                <w:sz w:val="24"/>
                <w:szCs w:val="24"/>
                <w:lang w:val="en-US" w:eastAsia="zh-CN" w:bidi="ar"/>
                <w14:textFill>
                  <w14:solidFill>
                    <w14:schemeClr w14:val="tx1"/>
                  </w14:solidFill>
                </w14:textFill>
              </w:rPr>
              <w:t>六、加强托育服务政策支撑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14.</w:t>
            </w:r>
            <w:r>
              <w:rPr>
                <w:rStyle w:val="20"/>
                <w:rFonts w:hint="default" w:ascii="Times New Roman" w:hAnsi="Times New Roman" w:cs="Times New Roman"/>
                <w:color w:val="000000" w:themeColor="text1"/>
                <w:sz w:val="24"/>
                <w:szCs w:val="24"/>
                <w:lang w:val="en-US" w:eastAsia="zh-CN" w:bidi="ar"/>
                <w14:textFill>
                  <w14:solidFill>
                    <w14:schemeClr w14:val="tx1"/>
                  </w14:solidFill>
                </w14:textFill>
              </w:rPr>
              <w:t>提高基本公共服务水平</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做好婴幼儿基本公共卫生服务，新生儿访视率达</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100%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2025</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新生儿访视率达</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95%</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新生儿访视率达</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98%</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新生儿访视率达</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15.</w:t>
            </w:r>
            <w:r>
              <w:rPr>
                <w:rStyle w:val="20"/>
                <w:rFonts w:hint="default" w:ascii="Times New Roman" w:hAnsi="Times New Roman" w:cs="Times New Roman"/>
                <w:color w:val="000000" w:themeColor="text1"/>
                <w:sz w:val="24"/>
                <w:szCs w:val="24"/>
                <w:lang w:val="en-US" w:eastAsia="zh-CN" w:bidi="ar"/>
                <w14:textFill>
                  <w14:solidFill>
                    <w14:schemeClr w14:val="tx1"/>
                  </w14:solidFill>
                </w14:textFill>
              </w:rPr>
              <w:t>全面落实税费优惠政策</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对为社区提供托育服务的机构，按规定免征增值税、契税、房产税、城镇土地使用税等相关税费，在计算应纳税所得额时，减按</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90%</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计入收入总额</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税务局</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长期</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托育机构用电、用水、用气、用热执行居民价格</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发改委</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长期</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企事业单位设立的职工婴幼儿照护服务所产生的费用，可以按照规定在税前扣除</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税务局</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总工会</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长期</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16.</w:t>
            </w:r>
            <w:r>
              <w:rPr>
                <w:rStyle w:val="20"/>
                <w:rFonts w:hint="default" w:ascii="Times New Roman" w:hAnsi="Times New Roman" w:cs="Times New Roman"/>
                <w:color w:val="000000" w:themeColor="text1"/>
                <w:sz w:val="24"/>
                <w:szCs w:val="24"/>
                <w:lang w:val="en-US" w:eastAsia="zh-CN" w:bidi="ar"/>
                <w14:textFill>
                  <w14:solidFill>
                    <w14:schemeClr w14:val="tx1"/>
                  </w14:solidFill>
                </w14:textFill>
              </w:rPr>
              <w:t>优化托育营商环境</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试行</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一照多址</w:t>
            </w:r>
            <w:r>
              <w:rPr>
                <w:rStyle w:val="22"/>
                <w:rFonts w:hint="default" w:ascii="Times New Roman" w:hAnsi="Times New Roman" w:eastAsia="等线" w:cs="Times New Roman"/>
                <w:color w:val="000000" w:themeColor="text1"/>
                <w:sz w:val="24"/>
                <w:szCs w:val="24"/>
                <w:lang w:val="en-US" w:eastAsia="zh-CN" w:bidi="ar"/>
                <w14:textFill>
                  <w14:solidFill>
                    <w14:schemeClr w14:val="tx1"/>
                  </w14:solidFill>
                </w14:textFill>
              </w:rPr>
              <w:t>”</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改革，已完成登记和备案的托育机构，在同一行政区域内建设运营的社区服务站点，可以不注册分公司</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行政审批局</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长期</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17.</w:t>
            </w:r>
            <w:r>
              <w:rPr>
                <w:rStyle w:val="20"/>
                <w:rFonts w:hint="default" w:ascii="Times New Roman" w:hAnsi="Times New Roman" w:cs="Times New Roman"/>
                <w:color w:val="000000" w:themeColor="text1"/>
                <w:sz w:val="24"/>
                <w:szCs w:val="24"/>
                <w:lang w:val="en-US" w:eastAsia="zh-CN" w:bidi="ar"/>
                <w14:textFill>
                  <w14:solidFill>
                    <w14:schemeClr w14:val="tx1"/>
                  </w14:solidFill>
                </w14:textFill>
              </w:rPr>
              <w:t>加大财政支持力度</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建立托育服务专项工作经费，并纳入每年部门预算</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财政局</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eastAsia" w:ascii="Times New Roman" w:hAnsi="Times New Roman" w:cs="Times New Roman"/>
                <w:color w:val="000000" w:themeColor="text1"/>
                <w:sz w:val="24"/>
                <w:szCs w:val="24"/>
                <w:lang w:val="en-US" w:eastAsia="zh-CN" w:bidi="ar"/>
                <w14:textFill>
                  <w14:solidFill>
                    <w14:schemeClr w14:val="tx1"/>
                  </w14:solidFill>
                </w14:textFill>
              </w:rPr>
              <w:t>区</w:t>
            </w: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卫健委</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Style w:val="21"/>
                <w:rFonts w:hint="default" w:ascii="Times New Roman" w:hAnsi="Times New Roman" w:cs="Times New Roman"/>
                <w:color w:val="000000" w:themeColor="text1"/>
                <w:sz w:val="24"/>
                <w:szCs w:val="24"/>
                <w:lang w:val="en-US" w:eastAsia="zh-CN" w:bidi="ar"/>
                <w14:textFill>
                  <w14:solidFill>
                    <w14:schemeClr w14:val="tx1"/>
                  </w14:solidFill>
                </w14:textFill>
              </w:rPr>
              <w:t>长期</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themeColor="text1"/>
                <w:sz w:val="24"/>
                <w:szCs w:val="24"/>
                <w:u w:val="none"/>
                <w14:textFill>
                  <w14:solidFill>
                    <w14:schemeClr w14:val="tx1"/>
                  </w14:solidFill>
                </w14:textFill>
              </w:rPr>
            </w:pPr>
            <w:r>
              <w:rPr>
                <w:rFonts w:hint="default" w:ascii="Times New Roman" w:hAnsi="Times New Roman" w:eastAsia="等线" w:cs="Times New Roman"/>
                <w:i w:val="0"/>
                <w:iCs w:val="0"/>
                <w:color w:val="000000" w:themeColor="text1"/>
                <w:kern w:val="0"/>
                <w:sz w:val="24"/>
                <w:szCs w:val="24"/>
                <w:u w:val="none"/>
                <w:lang w:val="en-US" w:eastAsia="zh-CN" w:bidi="ar"/>
                <w14:textFill>
                  <w14:solidFill>
                    <w14:schemeClr w14:val="tx1"/>
                  </w14:solidFill>
                </w14:textFill>
              </w:rPr>
              <w:t>/</w:t>
            </w:r>
          </w:p>
        </w:tc>
      </w:tr>
    </w:tbl>
    <w:p>
      <w:pPr>
        <w:pStyle w:val="7"/>
        <w:rPr>
          <w:rFonts w:hint="default"/>
          <w:lang w:val="en-US" w:eastAsia="zh-CN"/>
        </w:rPr>
      </w:pPr>
    </w:p>
    <w:sectPr>
      <w:pgSz w:w="16838" w:h="11906" w:orient="landscape"/>
      <w:pgMar w:top="1531" w:right="2098" w:bottom="1531" w:left="198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ight="210" w:rightChars="10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21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21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xZmRhMWRjMDQ5ZDg3MGRlNWQ0YzVhOGQxZmU4NjIifQ=="/>
  </w:docVars>
  <w:rsids>
    <w:rsidRoot w:val="00000000"/>
    <w:rsid w:val="00247343"/>
    <w:rsid w:val="00AB0D25"/>
    <w:rsid w:val="00E30FAC"/>
    <w:rsid w:val="00F52BAF"/>
    <w:rsid w:val="01441F1F"/>
    <w:rsid w:val="016320EC"/>
    <w:rsid w:val="01655E65"/>
    <w:rsid w:val="01F26ACA"/>
    <w:rsid w:val="01F64D0F"/>
    <w:rsid w:val="020C62E0"/>
    <w:rsid w:val="02145195"/>
    <w:rsid w:val="02557D02"/>
    <w:rsid w:val="028B5457"/>
    <w:rsid w:val="02900CBF"/>
    <w:rsid w:val="02A214E4"/>
    <w:rsid w:val="02A816E8"/>
    <w:rsid w:val="02A8425B"/>
    <w:rsid w:val="02F3657B"/>
    <w:rsid w:val="03214955"/>
    <w:rsid w:val="032F672A"/>
    <w:rsid w:val="035148F2"/>
    <w:rsid w:val="03975DC4"/>
    <w:rsid w:val="03BB7FBE"/>
    <w:rsid w:val="03E050F0"/>
    <w:rsid w:val="040E12F8"/>
    <w:rsid w:val="04131BA8"/>
    <w:rsid w:val="04292944"/>
    <w:rsid w:val="04A15406"/>
    <w:rsid w:val="05080FE1"/>
    <w:rsid w:val="05355B4E"/>
    <w:rsid w:val="055A5ACD"/>
    <w:rsid w:val="05735171"/>
    <w:rsid w:val="05D83B97"/>
    <w:rsid w:val="05F61781"/>
    <w:rsid w:val="05F816A5"/>
    <w:rsid w:val="06053772"/>
    <w:rsid w:val="060A4FBA"/>
    <w:rsid w:val="06624721"/>
    <w:rsid w:val="069A5147"/>
    <w:rsid w:val="069B7AE1"/>
    <w:rsid w:val="06CF340B"/>
    <w:rsid w:val="072713FE"/>
    <w:rsid w:val="072F6604"/>
    <w:rsid w:val="07AA3238"/>
    <w:rsid w:val="07DA5C8A"/>
    <w:rsid w:val="07F92E63"/>
    <w:rsid w:val="08042784"/>
    <w:rsid w:val="08057A5A"/>
    <w:rsid w:val="082779D0"/>
    <w:rsid w:val="08752294"/>
    <w:rsid w:val="08A70B11"/>
    <w:rsid w:val="08F335ED"/>
    <w:rsid w:val="09594FD6"/>
    <w:rsid w:val="098B21E0"/>
    <w:rsid w:val="09977C69"/>
    <w:rsid w:val="0A372A6D"/>
    <w:rsid w:val="0ABE2142"/>
    <w:rsid w:val="0AD5676B"/>
    <w:rsid w:val="0BB93035"/>
    <w:rsid w:val="0C3152C1"/>
    <w:rsid w:val="0C3B6140"/>
    <w:rsid w:val="0C9475FE"/>
    <w:rsid w:val="0CA830A9"/>
    <w:rsid w:val="0CAF56E5"/>
    <w:rsid w:val="0D190642"/>
    <w:rsid w:val="0D6F5B3D"/>
    <w:rsid w:val="0DC9777B"/>
    <w:rsid w:val="0DDF0482"/>
    <w:rsid w:val="0E236CBE"/>
    <w:rsid w:val="0E31316D"/>
    <w:rsid w:val="0E4B1AAA"/>
    <w:rsid w:val="0F026AA1"/>
    <w:rsid w:val="0F3C4DC5"/>
    <w:rsid w:val="0F452EA2"/>
    <w:rsid w:val="0F5B2655"/>
    <w:rsid w:val="0F632412"/>
    <w:rsid w:val="0F705F4D"/>
    <w:rsid w:val="0F7F00F1"/>
    <w:rsid w:val="104F21BA"/>
    <w:rsid w:val="10817E99"/>
    <w:rsid w:val="10B22749"/>
    <w:rsid w:val="10E87F18"/>
    <w:rsid w:val="110018C1"/>
    <w:rsid w:val="11032FA4"/>
    <w:rsid w:val="112F5B47"/>
    <w:rsid w:val="12330421"/>
    <w:rsid w:val="12665599"/>
    <w:rsid w:val="129739A4"/>
    <w:rsid w:val="129E2D58"/>
    <w:rsid w:val="12AB56A1"/>
    <w:rsid w:val="12B10F0A"/>
    <w:rsid w:val="12C16C73"/>
    <w:rsid w:val="132137E6"/>
    <w:rsid w:val="139B3968"/>
    <w:rsid w:val="13DE7F71"/>
    <w:rsid w:val="1466620D"/>
    <w:rsid w:val="14B60F64"/>
    <w:rsid w:val="14B922F8"/>
    <w:rsid w:val="14C32E17"/>
    <w:rsid w:val="14D902A4"/>
    <w:rsid w:val="154020D1"/>
    <w:rsid w:val="15545037"/>
    <w:rsid w:val="15CA22E2"/>
    <w:rsid w:val="16CB66C2"/>
    <w:rsid w:val="17255718"/>
    <w:rsid w:val="17CF097B"/>
    <w:rsid w:val="17FD54D5"/>
    <w:rsid w:val="180E295A"/>
    <w:rsid w:val="18970DE0"/>
    <w:rsid w:val="18F002B2"/>
    <w:rsid w:val="18F24F8E"/>
    <w:rsid w:val="18F71640"/>
    <w:rsid w:val="19006747"/>
    <w:rsid w:val="19134B53"/>
    <w:rsid w:val="191775ED"/>
    <w:rsid w:val="199C2C7B"/>
    <w:rsid w:val="19AC7C2F"/>
    <w:rsid w:val="19D83220"/>
    <w:rsid w:val="19E876E7"/>
    <w:rsid w:val="19FF69FF"/>
    <w:rsid w:val="1A044015"/>
    <w:rsid w:val="1A0C2EC9"/>
    <w:rsid w:val="1A9609E5"/>
    <w:rsid w:val="1AAC1FB7"/>
    <w:rsid w:val="1AB84DFF"/>
    <w:rsid w:val="1B0C0B7F"/>
    <w:rsid w:val="1B185B8B"/>
    <w:rsid w:val="1B3A0091"/>
    <w:rsid w:val="1B6034CD"/>
    <w:rsid w:val="1BC872C4"/>
    <w:rsid w:val="1BDD1E0E"/>
    <w:rsid w:val="1BE76B58"/>
    <w:rsid w:val="1C0624EC"/>
    <w:rsid w:val="1C60574F"/>
    <w:rsid w:val="1C7A236C"/>
    <w:rsid w:val="1C986C96"/>
    <w:rsid w:val="1D2235A9"/>
    <w:rsid w:val="1D5009BF"/>
    <w:rsid w:val="1D5F5A06"/>
    <w:rsid w:val="1D6372A4"/>
    <w:rsid w:val="1D6F3E9B"/>
    <w:rsid w:val="1D8B749B"/>
    <w:rsid w:val="1D990F18"/>
    <w:rsid w:val="1DC6338F"/>
    <w:rsid w:val="1DD622E5"/>
    <w:rsid w:val="1E004AF3"/>
    <w:rsid w:val="1E0D1F6D"/>
    <w:rsid w:val="1E62558B"/>
    <w:rsid w:val="1EAD1969"/>
    <w:rsid w:val="1EBA1146"/>
    <w:rsid w:val="1F162977"/>
    <w:rsid w:val="1F6E1F30"/>
    <w:rsid w:val="1F9E60F4"/>
    <w:rsid w:val="1FD55B0C"/>
    <w:rsid w:val="20A75A13"/>
    <w:rsid w:val="210963B5"/>
    <w:rsid w:val="212C5BFF"/>
    <w:rsid w:val="2130749E"/>
    <w:rsid w:val="217C0935"/>
    <w:rsid w:val="21B55BF5"/>
    <w:rsid w:val="21BA320B"/>
    <w:rsid w:val="21EB1616"/>
    <w:rsid w:val="220152DE"/>
    <w:rsid w:val="22394A78"/>
    <w:rsid w:val="223E5BEA"/>
    <w:rsid w:val="22525B39"/>
    <w:rsid w:val="225B680D"/>
    <w:rsid w:val="229A267E"/>
    <w:rsid w:val="22D536D6"/>
    <w:rsid w:val="22E06CA1"/>
    <w:rsid w:val="22F54A88"/>
    <w:rsid w:val="231828DF"/>
    <w:rsid w:val="238166D6"/>
    <w:rsid w:val="23BC770E"/>
    <w:rsid w:val="23BD6FE3"/>
    <w:rsid w:val="23FA0237"/>
    <w:rsid w:val="245A04CE"/>
    <w:rsid w:val="24EA6DE4"/>
    <w:rsid w:val="24F627AC"/>
    <w:rsid w:val="250C0222"/>
    <w:rsid w:val="253514DD"/>
    <w:rsid w:val="25404C42"/>
    <w:rsid w:val="2551427B"/>
    <w:rsid w:val="25A22934"/>
    <w:rsid w:val="25A751B1"/>
    <w:rsid w:val="25DC43CD"/>
    <w:rsid w:val="25EC3BAF"/>
    <w:rsid w:val="25ED0053"/>
    <w:rsid w:val="25F969F8"/>
    <w:rsid w:val="260224CD"/>
    <w:rsid w:val="26151358"/>
    <w:rsid w:val="26265313"/>
    <w:rsid w:val="262E2904"/>
    <w:rsid w:val="267267AA"/>
    <w:rsid w:val="267E0CAB"/>
    <w:rsid w:val="268A5F51"/>
    <w:rsid w:val="269404CF"/>
    <w:rsid w:val="26F1274B"/>
    <w:rsid w:val="272555CB"/>
    <w:rsid w:val="27337CE7"/>
    <w:rsid w:val="279A4028"/>
    <w:rsid w:val="27F07987"/>
    <w:rsid w:val="280C1B93"/>
    <w:rsid w:val="28612632"/>
    <w:rsid w:val="28653BD6"/>
    <w:rsid w:val="28683ACA"/>
    <w:rsid w:val="287C188E"/>
    <w:rsid w:val="289522DC"/>
    <w:rsid w:val="2899001E"/>
    <w:rsid w:val="28AD3ACA"/>
    <w:rsid w:val="28B17DC1"/>
    <w:rsid w:val="28D4053E"/>
    <w:rsid w:val="28F90ABD"/>
    <w:rsid w:val="2951767A"/>
    <w:rsid w:val="296248B4"/>
    <w:rsid w:val="29765831"/>
    <w:rsid w:val="29B55102"/>
    <w:rsid w:val="29B92AF0"/>
    <w:rsid w:val="2A82486D"/>
    <w:rsid w:val="2AE15CAC"/>
    <w:rsid w:val="2B340BD3"/>
    <w:rsid w:val="2BE45757"/>
    <w:rsid w:val="2C3F712F"/>
    <w:rsid w:val="2CE675AA"/>
    <w:rsid w:val="2CEF2903"/>
    <w:rsid w:val="2CF0667B"/>
    <w:rsid w:val="2CFA0A1B"/>
    <w:rsid w:val="2D047A30"/>
    <w:rsid w:val="2D483DC1"/>
    <w:rsid w:val="2D887AB1"/>
    <w:rsid w:val="2DAD1E76"/>
    <w:rsid w:val="2DC773DC"/>
    <w:rsid w:val="2DF16206"/>
    <w:rsid w:val="2DF23CD2"/>
    <w:rsid w:val="2E1E0778"/>
    <w:rsid w:val="2E821554"/>
    <w:rsid w:val="2E8A2558"/>
    <w:rsid w:val="2EB01C1E"/>
    <w:rsid w:val="2EC4391B"/>
    <w:rsid w:val="2ED51684"/>
    <w:rsid w:val="2EE3464D"/>
    <w:rsid w:val="2EE67D35"/>
    <w:rsid w:val="2F100789"/>
    <w:rsid w:val="2F6A12EB"/>
    <w:rsid w:val="2F805A94"/>
    <w:rsid w:val="2F9E23BE"/>
    <w:rsid w:val="2FA01C92"/>
    <w:rsid w:val="2FFA3A98"/>
    <w:rsid w:val="307E5B4F"/>
    <w:rsid w:val="312100DD"/>
    <w:rsid w:val="313A1C72"/>
    <w:rsid w:val="314B5F68"/>
    <w:rsid w:val="321921D0"/>
    <w:rsid w:val="32962266"/>
    <w:rsid w:val="32E53E60"/>
    <w:rsid w:val="334E11C2"/>
    <w:rsid w:val="338C71DD"/>
    <w:rsid w:val="33D13A99"/>
    <w:rsid w:val="33EE30F4"/>
    <w:rsid w:val="344277BC"/>
    <w:rsid w:val="344C23E9"/>
    <w:rsid w:val="34EC697D"/>
    <w:rsid w:val="351F5D4F"/>
    <w:rsid w:val="35574396"/>
    <w:rsid w:val="358652AD"/>
    <w:rsid w:val="35D97CAC"/>
    <w:rsid w:val="3619279E"/>
    <w:rsid w:val="362058DB"/>
    <w:rsid w:val="36301896"/>
    <w:rsid w:val="363D7CB3"/>
    <w:rsid w:val="367C7C2A"/>
    <w:rsid w:val="36A858D0"/>
    <w:rsid w:val="36C46BAE"/>
    <w:rsid w:val="372A4537"/>
    <w:rsid w:val="374101FF"/>
    <w:rsid w:val="37F84D9B"/>
    <w:rsid w:val="384D69E3"/>
    <w:rsid w:val="388E795D"/>
    <w:rsid w:val="389820A0"/>
    <w:rsid w:val="38A30A45"/>
    <w:rsid w:val="392A6A70"/>
    <w:rsid w:val="396B2D40"/>
    <w:rsid w:val="39700927"/>
    <w:rsid w:val="39C173D5"/>
    <w:rsid w:val="39CC585B"/>
    <w:rsid w:val="39F07CBA"/>
    <w:rsid w:val="39F92A6F"/>
    <w:rsid w:val="3A026DBB"/>
    <w:rsid w:val="3A323E2F"/>
    <w:rsid w:val="3A3773BF"/>
    <w:rsid w:val="3A6D30B9"/>
    <w:rsid w:val="3A6F0BDF"/>
    <w:rsid w:val="3AD43AD8"/>
    <w:rsid w:val="3B2714BA"/>
    <w:rsid w:val="3B370F0F"/>
    <w:rsid w:val="3B686D30"/>
    <w:rsid w:val="3C3F2833"/>
    <w:rsid w:val="3C4D4F50"/>
    <w:rsid w:val="3C756255"/>
    <w:rsid w:val="3D0243E2"/>
    <w:rsid w:val="3DA54918"/>
    <w:rsid w:val="3EC3599D"/>
    <w:rsid w:val="3ED454B4"/>
    <w:rsid w:val="3F160DD8"/>
    <w:rsid w:val="3F2350E9"/>
    <w:rsid w:val="3F261961"/>
    <w:rsid w:val="3F422EB0"/>
    <w:rsid w:val="3F446ADE"/>
    <w:rsid w:val="3F4D34B9"/>
    <w:rsid w:val="406675E9"/>
    <w:rsid w:val="40736C9B"/>
    <w:rsid w:val="40876079"/>
    <w:rsid w:val="408B24EB"/>
    <w:rsid w:val="40C304C2"/>
    <w:rsid w:val="40DC4AF4"/>
    <w:rsid w:val="41004C87"/>
    <w:rsid w:val="41220EF7"/>
    <w:rsid w:val="414722F1"/>
    <w:rsid w:val="41491E5E"/>
    <w:rsid w:val="415E375B"/>
    <w:rsid w:val="416E7E42"/>
    <w:rsid w:val="42091D7F"/>
    <w:rsid w:val="430B7FAC"/>
    <w:rsid w:val="432B1D63"/>
    <w:rsid w:val="4334645A"/>
    <w:rsid w:val="43374264"/>
    <w:rsid w:val="437918BD"/>
    <w:rsid w:val="43D61CCF"/>
    <w:rsid w:val="44384737"/>
    <w:rsid w:val="445175A7"/>
    <w:rsid w:val="44915BF6"/>
    <w:rsid w:val="44C66635"/>
    <w:rsid w:val="44E4666D"/>
    <w:rsid w:val="44EE4DF6"/>
    <w:rsid w:val="45280308"/>
    <w:rsid w:val="45385785"/>
    <w:rsid w:val="453D1233"/>
    <w:rsid w:val="45533857"/>
    <w:rsid w:val="456F678E"/>
    <w:rsid w:val="458F2D8D"/>
    <w:rsid w:val="459D1975"/>
    <w:rsid w:val="459D6604"/>
    <w:rsid w:val="45B73F82"/>
    <w:rsid w:val="460E5370"/>
    <w:rsid w:val="46250CEB"/>
    <w:rsid w:val="462D6C1B"/>
    <w:rsid w:val="46CB3641"/>
    <w:rsid w:val="46CE5B41"/>
    <w:rsid w:val="476615BC"/>
    <w:rsid w:val="479E0D55"/>
    <w:rsid w:val="47A53E92"/>
    <w:rsid w:val="47C00CCC"/>
    <w:rsid w:val="47D6229D"/>
    <w:rsid w:val="487A6B4F"/>
    <w:rsid w:val="48A24875"/>
    <w:rsid w:val="48D72771"/>
    <w:rsid w:val="48E409EA"/>
    <w:rsid w:val="48FA1FBB"/>
    <w:rsid w:val="491A440C"/>
    <w:rsid w:val="49417FA9"/>
    <w:rsid w:val="4948541D"/>
    <w:rsid w:val="49CD5922"/>
    <w:rsid w:val="4A0513EA"/>
    <w:rsid w:val="4A294D9A"/>
    <w:rsid w:val="4A3E237C"/>
    <w:rsid w:val="4A431740"/>
    <w:rsid w:val="4A6C513B"/>
    <w:rsid w:val="4A7B537E"/>
    <w:rsid w:val="4ADA311C"/>
    <w:rsid w:val="4AF33166"/>
    <w:rsid w:val="4B6978CC"/>
    <w:rsid w:val="4B7818BD"/>
    <w:rsid w:val="4C082C41"/>
    <w:rsid w:val="4C2B4E0D"/>
    <w:rsid w:val="4C3103EA"/>
    <w:rsid w:val="4C4A6A7B"/>
    <w:rsid w:val="4CF76A3A"/>
    <w:rsid w:val="4D785BA5"/>
    <w:rsid w:val="4DC951B1"/>
    <w:rsid w:val="4DEA6AA2"/>
    <w:rsid w:val="4E0538DC"/>
    <w:rsid w:val="4E0B6327"/>
    <w:rsid w:val="4E1E04FA"/>
    <w:rsid w:val="4E740A62"/>
    <w:rsid w:val="4EBB043F"/>
    <w:rsid w:val="4F1D6A04"/>
    <w:rsid w:val="4F775585"/>
    <w:rsid w:val="4FCF51CE"/>
    <w:rsid w:val="4FE030B4"/>
    <w:rsid w:val="4FEB4D54"/>
    <w:rsid w:val="50336A45"/>
    <w:rsid w:val="50632B3C"/>
    <w:rsid w:val="51346287"/>
    <w:rsid w:val="51352C1A"/>
    <w:rsid w:val="514F30C0"/>
    <w:rsid w:val="51705511"/>
    <w:rsid w:val="518F170F"/>
    <w:rsid w:val="51FE0D6E"/>
    <w:rsid w:val="520078CE"/>
    <w:rsid w:val="524824B5"/>
    <w:rsid w:val="528374C6"/>
    <w:rsid w:val="531004FA"/>
    <w:rsid w:val="53866AA5"/>
    <w:rsid w:val="53BE0335"/>
    <w:rsid w:val="53C2265C"/>
    <w:rsid w:val="53D17DBD"/>
    <w:rsid w:val="542E781F"/>
    <w:rsid w:val="54340224"/>
    <w:rsid w:val="547B46C4"/>
    <w:rsid w:val="548B08B3"/>
    <w:rsid w:val="549C03CB"/>
    <w:rsid w:val="55EB785C"/>
    <w:rsid w:val="56130B60"/>
    <w:rsid w:val="568B4B9B"/>
    <w:rsid w:val="568F468B"/>
    <w:rsid w:val="56A85959"/>
    <w:rsid w:val="56C55F1E"/>
    <w:rsid w:val="56E9366F"/>
    <w:rsid w:val="570922AF"/>
    <w:rsid w:val="572A04E9"/>
    <w:rsid w:val="57497AFF"/>
    <w:rsid w:val="57560D05"/>
    <w:rsid w:val="579D6934"/>
    <w:rsid w:val="57CC546B"/>
    <w:rsid w:val="57F82957"/>
    <w:rsid w:val="58134E48"/>
    <w:rsid w:val="58524AA4"/>
    <w:rsid w:val="58533496"/>
    <w:rsid w:val="591075D9"/>
    <w:rsid w:val="593E40B1"/>
    <w:rsid w:val="59965D30"/>
    <w:rsid w:val="599E2611"/>
    <w:rsid w:val="59AD7A1C"/>
    <w:rsid w:val="59EE791A"/>
    <w:rsid w:val="5AE108B5"/>
    <w:rsid w:val="5B0047F3"/>
    <w:rsid w:val="5B323837"/>
    <w:rsid w:val="5B434A8E"/>
    <w:rsid w:val="5BD13050"/>
    <w:rsid w:val="5C0A6562"/>
    <w:rsid w:val="5C5D48E3"/>
    <w:rsid w:val="5CD06E77"/>
    <w:rsid w:val="5D11361B"/>
    <w:rsid w:val="5DD76917"/>
    <w:rsid w:val="5DEA6D8C"/>
    <w:rsid w:val="5E987E55"/>
    <w:rsid w:val="5EB61B49"/>
    <w:rsid w:val="5EC24ED2"/>
    <w:rsid w:val="5F025C16"/>
    <w:rsid w:val="5F9347C8"/>
    <w:rsid w:val="5FBE1B3D"/>
    <w:rsid w:val="5FD7780E"/>
    <w:rsid w:val="607246D5"/>
    <w:rsid w:val="608C589D"/>
    <w:rsid w:val="60AE1334"/>
    <w:rsid w:val="60E2185B"/>
    <w:rsid w:val="60E76E71"/>
    <w:rsid w:val="611968DC"/>
    <w:rsid w:val="61734BA9"/>
    <w:rsid w:val="61741267"/>
    <w:rsid w:val="619C1A0A"/>
    <w:rsid w:val="61AF295E"/>
    <w:rsid w:val="61CE31A0"/>
    <w:rsid w:val="620E3DBB"/>
    <w:rsid w:val="621A680A"/>
    <w:rsid w:val="62373E29"/>
    <w:rsid w:val="62AC3AD1"/>
    <w:rsid w:val="62DD22DA"/>
    <w:rsid w:val="62E278F0"/>
    <w:rsid w:val="633D721D"/>
    <w:rsid w:val="635F63B2"/>
    <w:rsid w:val="63752CC9"/>
    <w:rsid w:val="63A728E8"/>
    <w:rsid w:val="63CC234F"/>
    <w:rsid w:val="64104931"/>
    <w:rsid w:val="641C70D5"/>
    <w:rsid w:val="64293E8B"/>
    <w:rsid w:val="64EE088E"/>
    <w:rsid w:val="65515201"/>
    <w:rsid w:val="656A1E1F"/>
    <w:rsid w:val="659C46CE"/>
    <w:rsid w:val="65A76BCF"/>
    <w:rsid w:val="668A1206"/>
    <w:rsid w:val="66BE7B84"/>
    <w:rsid w:val="66C20165"/>
    <w:rsid w:val="66C94A1F"/>
    <w:rsid w:val="670154E7"/>
    <w:rsid w:val="67492634"/>
    <w:rsid w:val="68170135"/>
    <w:rsid w:val="682B3AE8"/>
    <w:rsid w:val="684921C0"/>
    <w:rsid w:val="688D00CC"/>
    <w:rsid w:val="68AB4C28"/>
    <w:rsid w:val="691722BE"/>
    <w:rsid w:val="69B525F3"/>
    <w:rsid w:val="69B61A3F"/>
    <w:rsid w:val="69D34413"/>
    <w:rsid w:val="69EB4A3F"/>
    <w:rsid w:val="6A0942FC"/>
    <w:rsid w:val="6A1231B1"/>
    <w:rsid w:val="6A321D3E"/>
    <w:rsid w:val="6A9A1BC1"/>
    <w:rsid w:val="6AD246EE"/>
    <w:rsid w:val="6B6A4927"/>
    <w:rsid w:val="6BB169FA"/>
    <w:rsid w:val="6BB644AA"/>
    <w:rsid w:val="6BF32B6E"/>
    <w:rsid w:val="6C5C4BB7"/>
    <w:rsid w:val="6CC462B9"/>
    <w:rsid w:val="6CCF26ED"/>
    <w:rsid w:val="6D1C4347"/>
    <w:rsid w:val="6D2F407A"/>
    <w:rsid w:val="6D5910F7"/>
    <w:rsid w:val="6D6A7E6A"/>
    <w:rsid w:val="6D725D15"/>
    <w:rsid w:val="6DD43006"/>
    <w:rsid w:val="6DE213D7"/>
    <w:rsid w:val="6E765B8E"/>
    <w:rsid w:val="6E8126B3"/>
    <w:rsid w:val="6E867CCA"/>
    <w:rsid w:val="6E891568"/>
    <w:rsid w:val="6EFB03E9"/>
    <w:rsid w:val="6F206BB4"/>
    <w:rsid w:val="6F2614AD"/>
    <w:rsid w:val="6F6D49E6"/>
    <w:rsid w:val="6F900C50"/>
    <w:rsid w:val="6F926B42"/>
    <w:rsid w:val="6FB10648"/>
    <w:rsid w:val="6FDD4888"/>
    <w:rsid w:val="704716DB"/>
    <w:rsid w:val="70D171F6"/>
    <w:rsid w:val="713003C1"/>
    <w:rsid w:val="7148168E"/>
    <w:rsid w:val="717C3606"/>
    <w:rsid w:val="7201286B"/>
    <w:rsid w:val="7247423F"/>
    <w:rsid w:val="72CE1C3F"/>
    <w:rsid w:val="72F84F0E"/>
    <w:rsid w:val="73214465"/>
    <w:rsid w:val="732D105C"/>
    <w:rsid w:val="73A971C4"/>
    <w:rsid w:val="74951B72"/>
    <w:rsid w:val="74B66E2F"/>
    <w:rsid w:val="74BD640F"/>
    <w:rsid w:val="75043CCE"/>
    <w:rsid w:val="75AD1FE0"/>
    <w:rsid w:val="75CA545C"/>
    <w:rsid w:val="75CB690A"/>
    <w:rsid w:val="75EA6326"/>
    <w:rsid w:val="762229CE"/>
    <w:rsid w:val="7670799E"/>
    <w:rsid w:val="76944F4E"/>
    <w:rsid w:val="76BB697E"/>
    <w:rsid w:val="77257102"/>
    <w:rsid w:val="777A7CC5"/>
    <w:rsid w:val="777D59E2"/>
    <w:rsid w:val="77BD2282"/>
    <w:rsid w:val="77C33D3D"/>
    <w:rsid w:val="77DE2925"/>
    <w:rsid w:val="78263802"/>
    <w:rsid w:val="78396600"/>
    <w:rsid w:val="78B50366"/>
    <w:rsid w:val="78CF3543"/>
    <w:rsid w:val="79FF6B82"/>
    <w:rsid w:val="7A7B2504"/>
    <w:rsid w:val="7B0F1047"/>
    <w:rsid w:val="7B3F33F0"/>
    <w:rsid w:val="7B3F5B9C"/>
    <w:rsid w:val="7B95779E"/>
    <w:rsid w:val="7BB340C8"/>
    <w:rsid w:val="7BD83B2F"/>
    <w:rsid w:val="7CF43269"/>
    <w:rsid w:val="7D0737F9"/>
    <w:rsid w:val="7DB9444A"/>
    <w:rsid w:val="7DDB1BD7"/>
    <w:rsid w:val="7E4E1E86"/>
    <w:rsid w:val="7E575261"/>
    <w:rsid w:val="7EAA17B2"/>
    <w:rsid w:val="7EAD58CE"/>
    <w:rsid w:val="7F0A1E2B"/>
    <w:rsid w:val="7F63066F"/>
    <w:rsid w:val="7FA21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4"/>
    <w:basedOn w:val="1"/>
    <w:next w:val="1"/>
    <w:semiHidden/>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10"/>
    <w:pPr>
      <w:spacing w:before="100" w:beforeAutospacing="1" w:after="100" w:afterAutospacing="1"/>
      <w:ind w:left="640" w:leftChars="200"/>
      <w:outlineLvl w:val="0"/>
    </w:pPr>
    <w:rPr>
      <w:rFonts w:ascii="Arial" w:hAnsi="Arial" w:eastAsia="仿宋_GB2312"/>
      <w:b/>
    </w:rPr>
  </w:style>
  <w:style w:type="paragraph" w:styleId="3">
    <w:name w:val="Body Text Indent"/>
    <w:basedOn w:val="1"/>
    <w:next w:val="1"/>
    <w:qFormat/>
    <w:uiPriority w:val="0"/>
    <w:pPr>
      <w:spacing w:after="120"/>
      <w:ind w:left="420" w:leftChars="200"/>
    </w:pPr>
  </w:style>
  <w:style w:type="paragraph" w:styleId="5">
    <w:name w:val="Normal Indent"/>
    <w:basedOn w:val="1"/>
    <w:qFormat/>
    <w:uiPriority w:val="0"/>
    <w:pPr>
      <w:ind w:firstLine="420" w:firstLineChars="200"/>
    </w:pPr>
  </w:style>
  <w:style w:type="paragraph" w:styleId="6">
    <w:name w:val="Body Text"/>
    <w:basedOn w:val="1"/>
    <w:next w:val="7"/>
    <w:qFormat/>
    <w:uiPriority w:val="0"/>
    <w:rPr>
      <w:rFonts w:ascii="Calibri" w:hAnsi="Calibri" w:eastAsia="宋体"/>
      <w:kern w:val="0"/>
      <w:sz w:val="20"/>
      <w:szCs w:val="21"/>
    </w:rPr>
  </w:style>
  <w:style w:type="paragraph" w:styleId="7">
    <w:name w:val="Body Text 2"/>
    <w:basedOn w:val="1"/>
    <w:next w:val="6"/>
    <w:qFormat/>
    <w:uiPriority w:val="0"/>
    <w:rPr>
      <w:rFonts w:ascii="Times New Roman" w:hAnsi="Times New Roman"/>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3"/>
    <w:next w:val="1"/>
    <w:qFormat/>
    <w:uiPriority w:val="0"/>
    <w:pPr>
      <w:adjustRightInd w:val="0"/>
      <w:snapToGrid w:val="0"/>
      <w:spacing w:after="0" w:line="590" w:lineRule="atLeast"/>
      <w:ind w:left="0" w:leftChars="0" w:firstLine="420" w:firstLineChars="200"/>
    </w:pPr>
    <w:rPr>
      <w:rFonts w:eastAsia="方正仿宋_GBK" w:cs="Times New Roman"/>
    </w:rPr>
  </w:style>
  <w:style w:type="character" w:styleId="14">
    <w:name w:val="Strong"/>
    <w:basedOn w:val="13"/>
    <w:qFormat/>
    <w:uiPriority w:val="0"/>
    <w:rPr>
      <w:b/>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styleId="16">
    <w:name w:val="List Paragraph"/>
    <w:basedOn w:val="1"/>
    <w:qFormat/>
    <w:uiPriority w:val="34"/>
    <w:pPr>
      <w:ind w:firstLine="420" w:firstLineChars="200"/>
    </w:pPr>
  </w:style>
  <w:style w:type="character" w:customStyle="1" w:styleId="17">
    <w:name w:val="font71"/>
    <w:basedOn w:val="13"/>
    <w:qFormat/>
    <w:uiPriority w:val="0"/>
    <w:rPr>
      <w:rFonts w:ascii="方正小标宋_GBK" w:hAnsi="方正小标宋_GBK" w:eastAsia="方正小标宋_GBK" w:cs="方正小标宋_GBK"/>
      <w:color w:val="000000"/>
      <w:sz w:val="56"/>
      <w:szCs w:val="56"/>
      <w:u w:val="none"/>
    </w:rPr>
  </w:style>
  <w:style w:type="character" w:customStyle="1" w:styleId="18">
    <w:name w:val="font11"/>
    <w:basedOn w:val="13"/>
    <w:qFormat/>
    <w:uiPriority w:val="0"/>
    <w:rPr>
      <w:rFonts w:ascii="方正黑体_GBK" w:hAnsi="方正黑体_GBK" w:eastAsia="方正黑体_GBK" w:cs="方正黑体_GBK"/>
      <w:color w:val="000000"/>
      <w:sz w:val="36"/>
      <w:szCs w:val="36"/>
      <w:u w:val="none"/>
    </w:rPr>
  </w:style>
  <w:style w:type="character" w:customStyle="1" w:styleId="19">
    <w:name w:val="font51"/>
    <w:basedOn w:val="13"/>
    <w:qFormat/>
    <w:uiPriority w:val="0"/>
    <w:rPr>
      <w:rFonts w:ascii="黑体" w:hAnsi="宋体" w:eastAsia="黑体" w:cs="黑体"/>
      <w:color w:val="000000"/>
      <w:sz w:val="36"/>
      <w:szCs w:val="36"/>
      <w:u w:val="none"/>
    </w:rPr>
  </w:style>
  <w:style w:type="character" w:customStyle="1" w:styleId="20">
    <w:name w:val="font81"/>
    <w:basedOn w:val="13"/>
    <w:qFormat/>
    <w:uiPriority w:val="0"/>
    <w:rPr>
      <w:rFonts w:ascii="方正楷体_GBK" w:hAnsi="方正楷体_GBK" w:eastAsia="方正楷体_GBK" w:cs="方正楷体_GBK"/>
      <w:color w:val="000000"/>
      <w:sz w:val="28"/>
      <w:szCs w:val="28"/>
      <w:u w:val="none"/>
    </w:rPr>
  </w:style>
  <w:style w:type="character" w:customStyle="1" w:styleId="21">
    <w:name w:val="font91"/>
    <w:basedOn w:val="13"/>
    <w:qFormat/>
    <w:uiPriority w:val="0"/>
    <w:rPr>
      <w:rFonts w:ascii="方正仿宋_GBK" w:hAnsi="方正仿宋_GBK" w:eastAsia="方正仿宋_GBK" w:cs="方正仿宋_GBK"/>
      <w:color w:val="000000"/>
      <w:sz w:val="28"/>
      <w:szCs w:val="28"/>
      <w:u w:val="none"/>
    </w:rPr>
  </w:style>
  <w:style w:type="character" w:customStyle="1" w:styleId="22">
    <w:name w:val="font41"/>
    <w:basedOn w:val="13"/>
    <w:qFormat/>
    <w:uiPriority w:val="0"/>
    <w:rPr>
      <w:rFonts w:hint="default" w:ascii="Times New Roman" w:hAnsi="Times New Roman" w:cs="Times New Roman"/>
      <w:color w:val="000000"/>
      <w:sz w:val="28"/>
      <w:szCs w:val="28"/>
      <w:u w:val="none"/>
    </w:rPr>
  </w:style>
  <w:style w:type="character" w:customStyle="1" w:styleId="23">
    <w:name w:val="font101"/>
    <w:basedOn w:val="13"/>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13969</Words>
  <Characters>14547</Characters>
  <Lines>0</Lines>
  <Paragraphs>0</Paragraphs>
  <TotalTime>1</TotalTime>
  <ScaleCrop>false</ScaleCrop>
  <LinksUpToDate>false</LinksUpToDate>
  <CharactersWithSpaces>14580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2023-07-27T13:51:00Z</dcterms:created>
  <dc:creator>DELL</dc:creator>
  <cp:lastModifiedBy>Hi,颖</cp:lastModifiedBy>
  <cp:lastPrinted>2023-07-29T04:15:00Z</cp:lastPrinted>
  <dcterms:modified xsi:type="dcterms:W3CDTF">2023-08-10T02:11:26Z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CC492FEF4FB34F129445454EF4766863_12</vt:lpwstr>
  </property>
</Properties>
</file>