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8B729">
      <w:pPr>
        <w:keepNext w:val="0"/>
        <w:keepLines w:val="0"/>
        <w:pageBreakBefore w:val="0"/>
        <w:kinsoku/>
        <w:wordWrap/>
        <w:overflowPunct/>
        <w:bidi w:val="0"/>
        <w:spacing w:line="580" w:lineRule="exact"/>
        <w:rPr>
          <w:rStyle w:val="9"/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FFFFFF"/>
        </w:rPr>
      </w:pPr>
    </w:p>
    <w:p w14:paraId="60CFB5B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bidi w:val="0"/>
        <w:spacing w:beforeAutospacing="0" w:afterAutospacing="0" w:line="580" w:lineRule="exact"/>
        <w:ind w:firstLine="640" w:firstLineChars="200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</w:rPr>
      </w:pPr>
    </w:p>
    <w:p w14:paraId="685F25D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bidi w:val="0"/>
        <w:spacing w:beforeAutospacing="0" w:afterAutospacing="0" w:line="580" w:lineRule="exact"/>
        <w:jc w:val="center"/>
        <w:rPr>
          <w:rStyle w:val="9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Style w:val="9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泰州市</w:t>
      </w:r>
      <w:r>
        <w:rPr>
          <w:rStyle w:val="9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大企业</w:t>
      </w:r>
      <w:r>
        <w:rPr>
          <w:rStyle w:val="9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培育跃升倍增计划</w:t>
      </w:r>
    </w:p>
    <w:p w14:paraId="14D031C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bidi w:val="0"/>
        <w:spacing w:beforeAutospacing="0" w:afterAutospacing="0" w:line="580" w:lineRule="exact"/>
        <w:jc w:val="center"/>
        <w:rPr>
          <w:rStyle w:val="9"/>
          <w:rFonts w:hint="default" w:ascii="Times New Roman" w:hAnsi="Times New Roman" w:eastAsia="Arial Unicode MS" w:cs="Times New Roman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Style w:val="9"/>
          <w:rFonts w:hint="default" w:ascii="Times New Roman" w:hAnsi="Times New Roman" w:eastAsia="Arial Unicode MS" w:cs="Times New Roman"/>
          <w:b w:val="0"/>
          <w:bCs w:val="0"/>
          <w:color w:val="auto"/>
          <w:sz w:val="44"/>
          <w:szCs w:val="44"/>
          <w:shd w:val="clear" w:color="auto" w:fill="FFFFFF"/>
        </w:rPr>
        <w:t>（</w:t>
      </w:r>
      <w:r>
        <w:rPr>
          <w:rStyle w:val="9"/>
          <w:rFonts w:hint="default" w:ascii="Times New Roman" w:hAnsi="Times New Roman" w:eastAsia="楷体" w:cs="Times New Roman"/>
          <w:b w:val="0"/>
          <w:bCs w:val="0"/>
          <w:color w:val="auto"/>
          <w:sz w:val="44"/>
          <w:szCs w:val="44"/>
          <w:shd w:val="clear" w:color="auto" w:fill="FFFFFF"/>
        </w:rPr>
        <w:t>2025-2030年</w:t>
      </w:r>
      <w:r>
        <w:rPr>
          <w:rStyle w:val="9"/>
          <w:rFonts w:hint="default" w:ascii="Times New Roman" w:hAnsi="Times New Roman" w:eastAsia="Arial Unicode MS" w:cs="Times New Roman"/>
          <w:b w:val="0"/>
          <w:bCs w:val="0"/>
          <w:color w:val="auto"/>
          <w:sz w:val="44"/>
          <w:szCs w:val="44"/>
          <w:shd w:val="clear" w:color="auto" w:fill="FFFFFF"/>
        </w:rPr>
        <w:t>）</w:t>
      </w:r>
    </w:p>
    <w:p w14:paraId="11B92D3E">
      <w:pPr>
        <w:keepNext w:val="0"/>
        <w:keepLines w:val="0"/>
        <w:pageBreakBefore w:val="0"/>
        <w:kinsoku/>
        <w:wordWrap/>
        <w:overflowPunct/>
        <w:bidi w:val="0"/>
        <w:spacing w:line="580" w:lineRule="exact"/>
        <w:jc w:val="center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</w:rPr>
      </w:pPr>
      <w:r>
        <w:rPr>
          <w:rStyle w:val="9"/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shd w:val="clear" w:color="auto" w:fill="FFFFFF"/>
        </w:rPr>
        <w:t>（</w:t>
      </w:r>
      <w:r>
        <w:rPr>
          <w:rStyle w:val="9"/>
          <w:rFonts w:hint="eastAsia" w:ascii="Times New Roman" w:hAnsi="Times New Roman" w:eastAsia="楷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征求意见稿</w:t>
      </w:r>
      <w:r>
        <w:rPr>
          <w:rStyle w:val="9"/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shd w:val="clear" w:color="auto" w:fill="FFFFFF"/>
        </w:rPr>
        <w:t>）</w:t>
      </w:r>
    </w:p>
    <w:p w14:paraId="2030904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Arial Unicode MS" w:cs="Times New Roman"/>
          <w:color w:val="auto"/>
          <w:sz w:val="32"/>
          <w:szCs w:val="32"/>
        </w:rPr>
      </w:pPr>
    </w:p>
    <w:p w14:paraId="22F9BD1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为贯彻落实“大抓经济、大抓产业、大抓项目”的工作导向，加快构建以“大海新晨”为标志的现代化产业体系，以打造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产值规模超10亿元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大企业群落为抓手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培育一批具有创新引领力、生态构建力和市场竞争力的大企业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推动全市工业经济高质量发展，结合我市实际，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制定本计划。</w:t>
      </w:r>
    </w:p>
    <w:p w14:paraId="38EB2B4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bidi w:val="0"/>
        <w:spacing w:beforeAutospacing="0" w:afterAutospacing="0" w:line="58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</w:rPr>
        <w:t>一、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总体目标</w:t>
      </w:r>
    </w:p>
    <w:p w14:paraId="1FEAB0CD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聚焦“8+13+X”产业链群，通过建库培育、动态管理、精准扶持、要素倾斜，加快培育一批工业大企业。</w:t>
      </w:r>
    </w:p>
    <w:p w14:paraId="149DDDD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到2027年，产值10亿元以上企业从103家达到200家以上。其中，50亿元-100亿元企业16家，百亿元以上企业达到18家。全市大企业数量实现倍增，新增产值超1500亿元。</w:t>
      </w:r>
    </w:p>
    <w:p w14:paraId="7F32831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到2030年，产值10亿元以上企业达到400家以上。其中，50亿元-100亿元企业达到20家，百亿元以上企业达到25家，力争新增500亿级企业1家，400亿级企业1家，300亿级企业1家，200亿级企业2家。全市大企业数量实现“双倍增”，新增产值超3100亿元。汽车及零部件、金属新材料及制品产业链分别新增40家以上，化工及新材料、智能装备、节能环保产业链分别新增30家以上，生物医药、特医及功能性食品、农副食品深加工及预制菜、海工装备、电子信息、新能源产业链分别新增10家以上，医疗器械、高技术船舶产业链分别新增5家以上，深海深地空天装备等未来产业链新增3-5家。</w:t>
      </w:r>
    </w:p>
    <w:p w14:paraId="6BE5518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二、培育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对象</w:t>
      </w:r>
    </w:p>
    <w:p w14:paraId="478D450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按照分层分档、动态管理的原则，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大企业培育对象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分为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类。</w:t>
      </w:r>
    </w:p>
    <w:p w14:paraId="5D92450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骨干型培育对象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。聚焦到2030年年产值有望突破10亿元，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重点遴选产业链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省级专精特新企业，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2024年产值规模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近三年已竣工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投产的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省重大工业项目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近两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年已竣工投产的5亿元以上工业项目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6FE45E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突破型培育对象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。聚焦到2030年年产值有望突破50亿元，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重点遴选产业链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单项冠军和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专精特新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小巨人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企业，2024年产值规模10亿元以上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企业；近两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年已竣工投产的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亿元以上重大项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目。</w:t>
      </w:r>
    </w:p>
    <w:p w14:paraId="099703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3. 旗舰型培育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聚焦到2030年年产值有望突破100亿元，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重点遴选产业链链主企业，2024年产值规模50亿元以上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企业；近两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年已竣工投产的50亿元以上重特大项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目。</w:t>
      </w:r>
    </w:p>
    <w:p w14:paraId="4D2EAE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4. 龙头型培育对象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。2024年产值规模已经达到百亿级，有望在2030年实现大幅提升的产业链龙头企业；近两年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已竣工投产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百亿级重大项目。</w:t>
      </w:r>
    </w:p>
    <w:p w14:paraId="4432D94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通过兼并重组、股改上市等资本运作实现跨越式发展，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具备较强技术创新能力、市场拓展潜力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可能实现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规模倍增的企业，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列入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企业培育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2D23A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三、重点举措</w:t>
      </w:r>
    </w:p>
    <w:p w14:paraId="75DAAE51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spacing w:line="580" w:lineRule="exact"/>
        <w:ind w:right="125" w:rightChars="0"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  <w:t>（一）以构建服务体系为重点，推动政府部门专属服务和大企业自主发展“双向奔赴”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。</w:t>
      </w:r>
    </w:p>
    <w:p w14:paraId="5D6C7ECB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spacing w:line="580" w:lineRule="exact"/>
        <w:ind w:right="125" w:rightChars="0"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分层分级建立专业服务团队，为大企业提供定制化专属服务，进一步完善企业问题诉求协调解决闭环机制，推动政企同心、同向而行。</w:t>
      </w:r>
    </w:p>
    <w:p w14:paraId="7730384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bidi w:val="0"/>
        <w:spacing w:line="580" w:lineRule="exact"/>
        <w:ind w:left="0" w:leftChars="0" w:right="125" w:rightChars="0" w:firstLine="640" w:firstLineChars="200"/>
        <w:rPr>
          <w:rFonts w:hint="default" w:ascii="Times New Roman" w:hAnsi="Times New Roman" w:cs="Times New Roman"/>
          <w:color w:val="auto"/>
          <w:spacing w:val="-7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“一企一策”支持龙头型培育对象高位跃升。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市委、市政府主要领导挂钩联系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龙头型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培育对象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市政府分管领导担任首席服务官，市发改、科技、工信、商务、市场监管等相关部门，以及属地市（区）、园区共同组建“护航团”，提供全天候专属服务，每季度开展企业现场服务。帮助企业谋划</w:t>
      </w:r>
      <w:r>
        <w:rPr>
          <w:rFonts w:hint="default" w:ascii="Times New Roman" w:hAnsi="Times New Roman" w:cs="Times New Roman"/>
          <w:color w:val="auto"/>
          <w:spacing w:val="-7"/>
          <w:kern w:val="2"/>
          <w:sz w:val="32"/>
          <w:szCs w:val="32"/>
          <w:lang w:val="en-US" w:eastAsia="zh-CN" w:bidi="ar-SA"/>
        </w:rPr>
        <w:t>“十五五”发展规划，“一企一策”排定发展目标路线图，建立企业发展重大事项或问题诉求清单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。（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市工业和信息化局、市发展改革委、市科技局、市商务局、市市场监管局；各市（区）人民政府、泰州医药高新区管委会；以下重点举措均需各市（区）人民政府、泰州医药高新区管委会落实，不再重复列出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</w:p>
    <w:p w14:paraId="1B0EE7A5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bidi w:val="0"/>
        <w:spacing w:line="580" w:lineRule="exact"/>
        <w:ind w:left="0" w:leftChars="0" w:right="125" w:rightChars="0" w:firstLine="640" w:firstLineChars="200"/>
        <w:rPr>
          <w:rFonts w:hint="default" w:ascii="Times New Roman" w:hAnsi="Times New Roman" w:cs="Times New Roman"/>
          <w:color w:val="auto"/>
          <w:spacing w:val="-7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“一链一档”服务旗舰型、突破型、骨干型培育对象加快发展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。各产业链服务团队牵头部门主要负责人担任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旗舰型</w:t>
      </w:r>
      <w:r>
        <w:rPr>
          <w:rFonts w:hint="default" w:ascii="Times New Roman" w:hAnsi="Times New Roman" w:eastAsia="方正仿宋_GBK" w:cs="Times New Roman"/>
          <w:color w:val="auto"/>
          <w:spacing w:val="-7"/>
          <w:kern w:val="2"/>
          <w:sz w:val="32"/>
          <w:szCs w:val="32"/>
          <w:lang w:val="en-US" w:eastAsia="zh-CN" w:bidi="ar-SA"/>
        </w:rPr>
        <w:t>培育对象</w:t>
      </w:r>
      <w:r>
        <w:rPr>
          <w:rFonts w:hint="default" w:ascii="Times New Roman" w:hAnsi="Times New Roman" w:cs="Times New Roman"/>
          <w:color w:val="auto"/>
          <w:spacing w:val="-7"/>
          <w:kern w:val="2"/>
          <w:sz w:val="32"/>
          <w:szCs w:val="32"/>
          <w:lang w:val="en-US" w:eastAsia="zh-CN" w:bidi="ar-SA"/>
        </w:rPr>
        <w:t>首席服务官，每月开展企业现场服务，“一链一档”建立重点企业档案，排定企业发展重大事项或问题诉求清单。市（区）、园区（镇街）主要负责人分别挂钩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突破型、骨干型</w:t>
      </w:r>
      <w:r>
        <w:rPr>
          <w:rFonts w:hint="default" w:ascii="Times New Roman" w:hAnsi="Times New Roman" w:cs="Times New Roman"/>
          <w:color w:val="auto"/>
          <w:spacing w:val="-7"/>
          <w:kern w:val="2"/>
          <w:sz w:val="32"/>
          <w:szCs w:val="32"/>
          <w:lang w:val="en-US" w:eastAsia="zh-CN" w:bidi="ar-SA"/>
        </w:rPr>
        <w:t>培育对象，组建服务团队，梳理企业经营情况，协调解决企业需求，相关情况及时报市产业链服务团队。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责任单位：各产业链服务团队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</w:p>
    <w:p w14:paraId="023F5CB2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bidi w:val="0"/>
        <w:spacing w:line="580" w:lineRule="exact"/>
        <w:ind w:left="0" w:leftChars="0" w:right="125" w:rightChars="0"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“一事一议”构建问题解决闭环机制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。对大企业发展的重大事项以及产业链共性问题，由市工业和信息化局派单职能部门解决或扎口提请市领导协调推进。对涉及重大项目建设的问题，由市项目攻坚办牵头协调解决。市委、市政府通过经济工作述职会、项目建设过堂会等适时研究服务大企业培育工作推进情况。市工业和信息化局定期跟踪通报大企业诉求解决情况，建立服务企业评价机制。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责任单位：市工业和信息化局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市项目攻坚办）</w:t>
      </w:r>
    </w:p>
    <w:p w14:paraId="51082650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spacing w:line="580" w:lineRule="exact"/>
        <w:ind w:right="125" w:rightChars="0"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到2030年，13条重点产业链实现50亿级企业全覆盖。扬子江船业集团、中海油气、新时代造船年产值分别跨越500亿元、400亿元、300亿元台阶，扬子江药业、长城汽车突破200亿元</w:t>
      </w:r>
      <w:r>
        <w:rPr>
          <w:rFonts w:hint="default" w:ascii="Times New Roman" w:hAnsi="Times New Roman" w:cs="Times New Roman"/>
          <w:color w:val="0000FF"/>
          <w:sz w:val="32"/>
          <w:szCs w:val="32"/>
          <w:lang w:val="en-US" w:eastAsia="zh-CN"/>
        </w:rPr>
        <w:t>。</w:t>
      </w:r>
    </w:p>
    <w:p w14:paraId="79BB55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（二）以项目攻坚为主抓手，推动存量企业增资扩产和优质项目精准招引“双向发力”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lang w:val="en-US" w:eastAsia="zh-CN"/>
        </w:rPr>
        <w:t>。</w:t>
      </w:r>
    </w:p>
    <w:p w14:paraId="6164CC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深入推进项目攻坚行动，充分发挥重大项目招引建设对产业发展和企业培育的支撑作用，拓宽全市大企业源头活水。</w:t>
      </w:r>
    </w:p>
    <w:p w14:paraId="26BE39E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  <w:t>推动存量企业增资扩产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。充分梳理各类培育对象在建、拟建项目，分级列入省、市重大项目库，各级服务团队做好项目审批、建设、投产、达效全流程保障服务。用好用足工业领域大规模设备更新贷款贴息、超长期国债等政策，引导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生物医药企业加快产业化步伐，支持化工及新材料、金属新材料及制品企业向下游延伸发展电子化学品、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特种合金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等先进材料领域，推动高技术船舶等传统优势产业链企业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实施数字化、绿色化改造，不断提升生产效率和本质安全水平。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市发展改革委、市工业和信息化局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</w:p>
    <w:p w14:paraId="42444AB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  <w:t>加强关键环节项目招引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围绕产业链补链延链，指导产业链承载市（区）、园区制定完善产业链招商图谱，重点加强抗体偶联药物、高值医疗器械及耗材、海洋工程装备、船用通信导航、智能网联系统、控制器传感器等产业链缺失环节定向招引。鼓励龙头企业通过共设基金、股权融资等形式参与产业链招商，推动其核心配套企业落户。招引一批AI赋能、智能化提升、绿色化改造方案解决服务商，不断提升产业链服务水平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市工业和信息化局、市商务局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</w:p>
    <w:p w14:paraId="7EE5F94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  <w:t>搭建监测服务平台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。用好企业全生命周期监测服务平台，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打通税务、统计、发改、工信、商务等部门数据壁垒，实时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掌握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经营情况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和重大项目建设进展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加强项目精准服务，科学设置项目招引建设、达产达效、产能释放、培大育强时间节点，及时跟踪协调矛盾问题，推动重大工业项目加快建设和竣工达产。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市数据局、市税务局、市统计局、市发展改革委、市工业和信息化局、市商务局、市数据产业集团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</w:p>
    <w:p w14:paraId="3C31A6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到2030年，每年新招引投资5亿元以上产业链重大工业项目不少于50个，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竣工5亿元以上工业项目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包含新、改、扩建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不少于50个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通过项目攻坚新增一批大企业，其中，汽车及零部件、金属新材料及制品、智能装备产业链分别新增20家以上；电子信息、节能环保、农副食品深加工及预制菜、化工及新材料等产业链分别新增10家以上。</w:t>
      </w:r>
    </w:p>
    <w:p w14:paraId="716A80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Arial Unicode MS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（三）以提升大企业核心竞争力为目标，推动科技创新和品牌引领“双轮驱动”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lang w:val="en-US" w:eastAsia="zh-CN"/>
        </w:rPr>
        <w:t>。</w:t>
      </w:r>
    </w:p>
    <w:p w14:paraId="7DB76C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引导培育对象加快突破一批关键核心技术，主导或参与重要标准制定，打造具有全球影响力的品牌，实现从规模扩张向价值创造的跃升。</w:t>
      </w:r>
    </w:p>
    <w:p w14:paraId="1F9AE23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推动创新能力提升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。把创新能力作为大企业提升市场竞争力的源动力。支持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龙头型、旗舰型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培育对象建设国家级乃至全球性研发中心、创新实验室， 牵头组建创新联合体，承担国家重大科技项目。引导企业建设高能级技术服务平台，打造一批国家级中试平台，带动产业链上下游协同创新能力提升。支持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突破型、骨干型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培育对象加快提升企业研发中心能级，开展重大装备技术攻关。鼓励企业主动牵头或者参与市级科技计划项目，积极开发和上争多元化应用场景和政策试点，推动新技术、新产品快速验证和市场化。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市科技局、市发展改革委、市工业和信息化局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</w:p>
    <w:p w14:paraId="41F8268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加强知识产权布局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。组织专业机构开展专利布局分析和FTO（专利侵权风险评估），支持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龙头型、旗舰型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培育对象加快海外专利布局，建立核心技术专利组合和专利壁垒。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加强与权威性国际标准组织合作，在关键和新兴技术领域主导和参与国际标准、国家标准、行业标准制订修订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落实省高价值专利培育计划，通过校企合作、专利导航、平台培育、资源共享等形式，支持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突破型、骨干型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培育对象开展高价值专利布局与PCT申请。围绕细胞与基因治疗、特医食品、金属新材料等先发优势领域，引导企业组建产业标准联合体，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推进产业联盟标准化，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共同提升行业话语权。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市市场监管局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</w:p>
    <w:p w14:paraId="0D65FDC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强化品牌矩阵建设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。将质量品牌建设作为提高大企业国内外竞争力的重要抓手。支持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龙头型、旗舰型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培育对象争创中国质量奖、中国工业大奖、制造业单项冠军等，参与全球行业权威排名评选，全力打造世界级品牌。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鼓励企业打造自主品牌，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以及通过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境外注册商标、收购国际品牌等方式，提升品牌国际竞争力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。指导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突破型、骨干型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培育对象争创省质量奖，以及省级以上专精特新、智能制造、绿色制造、服务型制造等标杆品牌，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推动船舶与海洋工程装备、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新能源等产业链企业共同打造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“长三角质量提升示范”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，带动产业链上下游企业质量管理水平提升。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市市场监管局、市工业和信息化局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</w:p>
    <w:p w14:paraId="7CF69F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到2030年，实现产业链群大企业市级以上研发机构，产业链“一链一中试平台”全覆盖。每年新增“首台套、首批次、首版次”产品10个以上，新增“新技术、新产品”100个以上，孵化创新成果转化类项目10个以上。企业投资和新增高价值专利数实现高速增长，龙头型培育对象年新增国际PCT专利20%以上，旗舰型培育对象年新增发明专利超30%，突破型、骨干型培育对象专利转化率突破40%。</w:t>
      </w:r>
    </w:p>
    <w:p w14:paraId="34229B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（四）以优化大企业发展生态为导向，推动要素供给和专业化保障“双重呵护”。</w:t>
      </w:r>
    </w:p>
    <w:p w14:paraId="566BB3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完善资源要素分级保障机制，加快提升政府专业化服务能力，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构建亲清政商关系，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打造“到泰州、泰周到”营商环境品牌，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助力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企业行稳致远。</w:t>
      </w:r>
    </w:p>
    <w:p w14:paraId="6EC5FD0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bidi w:val="0"/>
        <w:spacing w:line="580" w:lineRule="exact"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  <w:t>强化重大项目用地保障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。市级层面加快处置批而未供、闲置土地资源，统一纳入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全市土地利用计划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优先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保障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龙头型、旗舰型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培育对象项目用地需求，统筹使用用地计划、省专项供地指标、增减挂钩计划，排定供地时间表，加快供地保障。属地市（区）保障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突破型、骨干型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培育对象用地需求，创新供地模式，加大占地百亩以上低效企业改造提升力度，探索开展低效企业集中连片焕新升级，推行工业用地“标准地”出让、弹性年期供应等。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市自然资源和规划局、市工业和信息化局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</w:p>
    <w:p w14:paraId="25DD610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lang w:val="en-US" w:eastAsia="zh-CN" w:bidi="ar-SA"/>
        </w:rPr>
        <w:t>强化环境容量要素保障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。市级层面通过“省下达预留指标+交易指标+企业关停释放指标+技改回收指标”建立资源储备池，优先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龙头型、旗舰型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培育对象所需能耗指标予以调剂，所需排污权采取市级协调、优先交易等方式予以支持。对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突破型、骨干型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培育对象所需能耗指标，采取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年度能耗总量不纳入区域考核、允许跨年度调剂、实施“等量置换”或“减量替代”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等方式予以支持，所需排污权由属地市（区）、园区予以保障。指导重点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园区优化新能源开发建设规划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与光伏、风电等新能源资源匹配，探索实施“绿电直供”，实现绿电物理可溯源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市发展改革委、市生态环境局、市工业和信息化局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</w:p>
    <w:p w14:paraId="5CA5411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bidi w:val="0"/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强化金融赋能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。支持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龙头型、旗舰型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利用资本市场进行并购重组、分拆上市、发行债券。支持企业链接国家级大基金、设立CVC（企业风险投资），内部孵化一批产业链上下游项目。鼓励金融机构提供海外项目融资、债券发行顾问、供应链金融等定制化结构化融资方案。围绕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突破型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和部分高潜力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骨干型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，建立“上市培育库”，强化与江苏证监局和沪、深、北、港等交易所对接合作，提供合规辅导、政策解读等“全流程、伴随式”服务，引导企业合理规划上市路径。支持金融机构开发知识产权、订单融资、设备融资租赁等新型融资产品。用好省战略性新兴产业母基金和市级天使基金、产业基金等，加快新材料、生物制造、深海空天等新兴、未来产业领域布局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市人行、市政府办、泰州金融监管分局、市金控集团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</w:p>
    <w:p w14:paraId="27ECF3E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强化人才供给。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龙头型、旗舰型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培育对象高端人才需求，探索共建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“人才飞地”“离岸创新基地”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在一线城市或海外人才密集区设立研发中心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会同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突破型、骨干型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培育对象共同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制定重点领域紧缺人才目录，进一步完善留才引才政策，开展重点领域高效定向招引活动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强化产教融合，梳理产业链人才需求清单，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积极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推动在泰高校、职业院校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围绕大企业需求设置相关专业，实现高级技术工程师校企联合培养。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市委人才办、市科技局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；各在泰高校、职业院校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</w:p>
    <w:p w14:paraId="487F180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强化出海服务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探索与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龙头型、旗舰型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培育对象共建重点产业链海外转口加工园区、海外共享仓库，带动一批产业链上下游企业共同出海。开展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定制化国别风险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、碳足迹认证辅导、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跨境便利结算、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高级别外事对接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等增值服务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突破型、骨干型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培育对象参加境外展会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线上展会，支持企业用好跨境电商平台，开展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信保支持、汇率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风险管理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辅导、基础外贸政策与实务培训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等。加快APEC商务旅行卡推广，方便企业家出海“抢订单、拓市场”。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市商务局、市发展改革委、</w:t>
      </w:r>
      <w:r>
        <w:rPr>
          <w:rFonts w:hint="eastAsia" w:ascii="楷体" w:hAnsi="楷体" w:eastAsia="楷体" w:cs="楷体"/>
          <w:strike w:val="0"/>
          <w:dstrike w:val="0"/>
          <w:color w:val="auto"/>
          <w:sz w:val="32"/>
          <w:szCs w:val="32"/>
          <w:lang w:val="en-US" w:eastAsia="zh-CN"/>
        </w:rPr>
        <w:t>市人行、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市外办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</w:p>
    <w:p w14:paraId="6C0F8D6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全方位完善涉企监管服务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落实“首违不罚”和“轻微免罚”工作清单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，为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龙头型、旗舰型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培育对象量身定制年度“打包式检查”服务，根据企业需求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提供专属指导和风险排查，帮助大企业事先预警和整改提升。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突破型、骨干型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对象，实行每年综合“查一次”、问题“一次清”，除依法依规必须开展的现场检查外，原则上不安排额外的临时性检查。完善关心关爱企业家若干措施，建立“线下+线上”多渠道助企平台，提供专享资讯，设立专属热线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市司法局、市应急管理局、市生态环境局、市市场监管局、市税务局、市消防支队、泰州海关、市数据局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）</w:t>
      </w:r>
    </w:p>
    <w:p w14:paraId="722A67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到2030年，新增上市大企业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不少于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10家。大企业中长期贷款增速高于全部贷款平均水平。在泰高校“订单班”专业匹配度超过90%。企业海外贸易收入占比稳步提升。</w:t>
      </w:r>
    </w:p>
    <w:p w14:paraId="0B5334AE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四、保障措施</w:t>
      </w:r>
    </w:p>
    <w:p w14:paraId="5AFBEC5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市工业和信息化局协同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发改、科技、商务、市场监管等相关部门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统筹推进各项服务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举措落地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大企业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培育跃升工作纳入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全市高质量考核重点工作考评和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重点产业链发展评价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体系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，动态调整相关政策措施，持续提升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大企业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对全市工业经济稳增长的支撑作用。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适时梳理发现一批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大企业培育典型案例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通过“企业家说”等平台开展广泛宣传，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在全社会营造支持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大企业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发展的浓厚氛围。</w:t>
      </w:r>
    </w:p>
    <w:p w14:paraId="78F84FC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218DCE-03E2-46AF-96DB-43430CB73C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F76BC68-07BA-49E4-8336-E1B6B9381C8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CFD2054-2E3C-47FC-8846-3BFFBFF6E44C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69A2C351-46F6-4AC6-833F-185ED770672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5BE0F6FA-F1A9-4F3B-AF7E-DA49D361DED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0D7607D-04AA-4492-998F-31D19BF4D1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719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C530D6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C530D6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000CC"/>
    <w:multiLevelType w:val="singleLevel"/>
    <w:tmpl w:val="AFB000C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C2370"/>
    <w:rsid w:val="00246510"/>
    <w:rsid w:val="003946AB"/>
    <w:rsid w:val="004B48CF"/>
    <w:rsid w:val="006351D0"/>
    <w:rsid w:val="00736213"/>
    <w:rsid w:val="00B82F8E"/>
    <w:rsid w:val="00CD209A"/>
    <w:rsid w:val="00D66089"/>
    <w:rsid w:val="00DB6636"/>
    <w:rsid w:val="00EA5FEB"/>
    <w:rsid w:val="00F431B9"/>
    <w:rsid w:val="00F44B0F"/>
    <w:rsid w:val="00F52B1C"/>
    <w:rsid w:val="0157752C"/>
    <w:rsid w:val="016E2F6B"/>
    <w:rsid w:val="017240DE"/>
    <w:rsid w:val="01E01C55"/>
    <w:rsid w:val="021A32F2"/>
    <w:rsid w:val="02256FA2"/>
    <w:rsid w:val="0227413C"/>
    <w:rsid w:val="025C1016"/>
    <w:rsid w:val="02924A37"/>
    <w:rsid w:val="02A65017"/>
    <w:rsid w:val="031A3F59"/>
    <w:rsid w:val="032559B3"/>
    <w:rsid w:val="032D1A19"/>
    <w:rsid w:val="032D5807"/>
    <w:rsid w:val="03CA0201"/>
    <w:rsid w:val="04581CB1"/>
    <w:rsid w:val="04BC223F"/>
    <w:rsid w:val="04C9670A"/>
    <w:rsid w:val="05074843"/>
    <w:rsid w:val="056106F1"/>
    <w:rsid w:val="05A827C4"/>
    <w:rsid w:val="063B3638"/>
    <w:rsid w:val="063B7194"/>
    <w:rsid w:val="064B6477"/>
    <w:rsid w:val="067A2960"/>
    <w:rsid w:val="06B34F7C"/>
    <w:rsid w:val="06B44259"/>
    <w:rsid w:val="06D93E8B"/>
    <w:rsid w:val="075C3866"/>
    <w:rsid w:val="07666493"/>
    <w:rsid w:val="079379A1"/>
    <w:rsid w:val="07C70D80"/>
    <w:rsid w:val="07D0536E"/>
    <w:rsid w:val="07F34A5D"/>
    <w:rsid w:val="081E4737"/>
    <w:rsid w:val="082C4FE6"/>
    <w:rsid w:val="08381BDD"/>
    <w:rsid w:val="08805F84"/>
    <w:rsid w:val="08831E41"/>
    <w:rsid w:val="08CE0793"/>
    <w:rsid w:val="093746CE"/>
    <w:rsid w:val="094900CF"/>
    <w:rsid w:val="095073FA"/>
    <w:rsid w:val="095962AF"/>
    <w:rsid w:val="099F2CBE"/>
    <w:rsid w:val="09F057C4"/>
    <w:rsid w:val="0A037FC9"/>
    <w:rsid w:val="0A334D0C"/>
    <w:rsid w:val="0A481DFD"/>
    <w:rsid w:val="0AC95B57"/>
    <w:rsid w:val="0AD24453"/>
    <w:rsid w:val="0AE22EEF"/>
    <w:rsid w:val="0B0F01F5"/>
    <w:rsid w:val="0B3D575C"/>
    <w:rsid w:val="0BC028AF"/>
    <w:rsid w:val="0C2D57D1"/>
    <w:rsid w:val="0C5475D9"/>
    <w:rsid w:val="0C97D227"/>
    <w:rsid w:val="0CA26C8D"/>
    <w:rsid w:val="0CE414CE"/>
    <w:rsid w:val="0D910C60"/>
    <w:rsid w:val="0D9755F8"/>
    <w:rsid w:val="0E30062C"/>
    <w:rsid w:val="0E386ACC"/>
    <w:rsid w:val="0E567261"/>
    <w:rsid w:val="0E74072A"/>
    <w:rsid w:val="0E7A7053"/>
    <w:rsid w:val="0EB94C71"/>
    <w:rsid w:val="0ED939EE"/>
    <w:rsid w:val="0F4B251E"/>
    <w:rsid w:val="0F7A7366"/>
    <w:rsid w:val="0F7FAD83"/>
    <w:rsid w:val="0F9430B8"/>
    <w:rsid w:val="0FA4224E"/>
    <w:rsid w:val="0FCE72CB"/>
    <w:rsid w:val="0FE03949"/>
    <w:rsid w:val="101A0FDC"/>
    <w:rsid w:val="101D790A"/>
    <w:rsid w:val="105F6685"/>
    <w:rsid w:val="10662B47"/>
    <w:rsid w:val="10C761F4"/>
    <w:rsid w:val="10D40911"/>
    <w:rsid w:val="11252F1A"/>
    <w:rsid w:val="114A2981"/>
    <w:rsid w:val="115B4B8E"/>
    <w:rsid w:val="11673533"/>
    <w:rsid w:val="11763776"/>
    <w:rsid w:val="117D2D56"/>
    <w:rsid w:val="11B64E13"/>
    <w:rsid w:val="11C24C0D"/>
    <w:rsid w:val="11DD78F8"/>
    <w:rsid w:val="11E64458"/>
    <w:rsid w:val="11F7261E"/>
    <w:rsid w:val="11FA171D"/>
    <w:rsid w:val="123F1DBA"/>
    <w:rsid w:val="12573F25"/>
    <w:rsid w:val="125D0492"/>
    <w:rsid w:val="128D0D77"/>
    <w:rsid w:val="128E689D"/>
    <w:rsid w:val="12D35F9F"/>
    <w:rsid w:val="132B61C1"/>
    <w:rsid w:val="13902E44"/>
    <w:rsid w:val="13C0517C"/>
    <w:rsid w:val="13C11401"/>
    <w:rsid w:val="13D51CBA"/>
    <w:rsid w:val="14AA3E63"/>
    <w:rsid w:val="14F07305"/>
    <w:rsid w:val="15311E8E"/>
    <w:rsid w:val="15652DAA"/>
    <w:rsid w:val="156F401D"/>
    <w:rsid w:val="15A56279"/>
    <w:rsid w:val="15EC4007"/>
    <w:rsid w:val="16257519"/>
    <w:rsid w:val="170A7D3A"/>
    <w:rsid w:val="172F94D1"/>
    <w:rsid w:val="174817BF"/>
    <w:rsid w:val="17795D6E"/>
    <w:rsid w:val="17836BED"/>
    <w:rsid w:val="17AF353E"/>
    <w:rsid w:val="17DFA247"/>
    <w:rsid w:val="17E7717C"/>
    <w:rsid w:val="183879D7"/>
    <w:rsid w:val="18AE1A47"/>
    <w:rsid w:val="18CD45C3"/>
    <w:rsid w:val="18DE1319"/>
    <w:rsid w:val="19BD63E6"/>
    <w:rsid w:val="19E3396F"/>
    <w:rsid w:val="19F661F9"/>
    <w:rsid w:val="1A317F4B"/>
    <w:rsid w:val="1A4563DB"/>
    <w:rsid w:val="1A6F424B"/>
    <w:rsid w:val="1A9CF732"/>
    <w:rsid w:val="1AA9314F"/>
    <w:rsid w:val="1AAB26E2"/>
    <w:rsid w:val="1AB93858"/>
    <w:rsid w:val="1AC83294"/>
    <w:rsid w:val="1AF44089"/>
    <w:rsid w:val="1B065B6B"/>
    <w:rsid w:val="1B903686"/>
    <w:rsid w:val="1B937410"/>
    <w:rsid w:val="1B965141"/>
    <w:rsid w:val="1BA9070F"/>
    <w:rsid w:val="1BC53330"/>
    <w:rsid w:val="1BC922E0"/>
    <w:rsid w:val="1BE063BC"/>
    <w:rsid w:val="1C2564C4"/>
    <w:rsid w:val="1C8E5E18"/>
    <w:rsid w:val="1CE06640"/>
    <w:rsid w:val="1CE343B6"/>
    <w:rsid w:val="1CFC0FD3"/>
    <w:rsid w:val="1CFE1968"/>
    <w:rsid w:val="1D312224"/>
    <w:rsid w:val="1D3369BF"/>
    <w:rsid w:val="1DC064A5"/>
    <w:rsid w:val="1DEC1E7B"/>
    <w:rsid w:val="1E281D87"/>
    <w:rsid w:val="1E7D4396"/>
    <w:rsid w:val="1EA24EE5"/>
    <w:rsid w:val="1F7B3B98"/>
    <w:rsid w:val="1FC13459"/>
    <w:rsid w:val="1FDEDF93"/>
    <w:rsid w:val="206A5A87"/>
    <w:rsid w:val="207B6213"/>
    <w:rsid w:val="20C53DD2"/>
    <w:rsid w:val="212C5C7E"/>
    <w:rsid w:val="215A1951"/>
    <w:rsid w:val="21B3358B"/>
    <w:rsid w:val="21C83B7A"/>
    <w:rsid w:val="232E3EB1"/>
    <w:rsid w:val="23905F23"/>
    <w:rsid w:val="23E63591"/>
    <w:rsid w:val="24126339"/>
    <w:rsid w:val="24207C9D"/>
    <w:rsid w:val="24425BFA"/>
    <w:rsid w:val="24671DD8"/>
    <w:rsid w:val="24705743"/>
    <w:rsid w:val="249F575B"/>
    <w:rsid w:val="24AB32DF"/>
    <w:rsid w:val="24E14FBF"/>
    <w:rsid w:val="24FF6042"/>
    <w:rsid w:val="25777D91"/>
    <w:rsid w:val="25787665"/>
    <w:rsid w:val="25A920F9"/>
    <w:rsid w:val="25B763DF"/>
    <w:rsid w:val="25D30D3F"/>
    <w:rsid w:val="260D5FFF"/>
    <w:rsid w:val="26A90369"/>
    <w:rsid w:val="26C012C4"/>
    <w:rsid w:val="26EE4083"/>
    <w:rsid w:val="26FF18D9"/>
    <w:rsid w:val="2714461B"/>
    <w:rsid w:val="27335F39"/>
    <w:rsid w:val="27653C19"/>
    <w:rsid w:val="27727666"/>
    <w:rsid w:val="278519EE"/>
    <w:rsid w:val="279B2002"/>
    <w:rsid w:val="279BF213"/>
    <w:rsid w:val="279FBC3F"/>
    <w:rsid w:val="27FFB935"/>
    <w:rsid w:val="286D1AB3"/>
    <w:rsid w:val="288325A9"/>
    <w:rsid w:val="28B210E0"/>
    <w:rsid w:val="292A2513"/>
    <w:rsid w:val="298567F4"/>
    <w:rsid w:val="298760C9"/>
    <w:rsid w:val="299B54DA"/>
    <w:rsid w:val="29CE281C"/>
    <w:rsid w:val="29E124D4"/>
    <w:rsid w:val="2A063491"/>
    <w:rsid w:val="2ACB2A3D"/>
    <w:rsid w:val="2AFC6660"/>
    <w:rsid w:val="2B02634F"/>
    <w:rsid w:val="2B1D4920"/>
    <w:rsid w:val="2B2503A8"/>
    <w:rsid w:val="2B434271"/>
    <w:rsid w:val="2B5C2962"/>
    <w:rsid w:val="2B7E5B63"/>
    <w:rsid w:val="2B9E594C"/>
    <w:rsid w:val="2BD4136D"/>
    <w:rsid w:val="2C4E401F"/>
    <w:rsid w:val="2C6B4A8F"/>
    <w:rsid w:val="2C7A0167"/>
    <w:rsid w:val="2C931228"/>
    <w:rsid w:val="2C9D156B"/>
    <w:rsid w:val="2CFE48F4"/>
    <w:rsid w:val="2D695C28"/>
    <w:rsid w:val="2DC5025F"/>
    <w:rsid w:val="2DC60BCD"/>
    <w:rsid w:val="2DD16477"/>
    <w:rsid w:val="2DD6410B"/>
    <w:rsid w:val="2DE24215"/>
    <w:rsid w:val="2DF525AB"/>
    <w:rsid w:val="2E04418C"/>
    <w:rsid w:val="2E183793"/>
    <w:rsid w:val="2E3D144C"/>
    <w:rsid w:val="2E6E7857"/>
    <w:rsid w:val="2E8E614B"/>
    <w:rsid w:val="2ECA0DA1"/>
    <w:rsid w:val="2EFE5E80"/>
    <w:rsid w:val="2F436361"/>
    <w:rsid w:val="2F8337D6"/>
    <w:rsid w:val="2FA4415B"/>
    <w:rsid w:val="2FB8241F"/>
    <w:rsid w:val="2FEF2C1A"/>
    <w:rsid w:val="300466C5"/>
    <w:rsid w:val="30773F74"/>
    <w:rsid w:val="307B44AD"/>
    <w:rsid w:val="30803872"/>
    <w:rsid w:val="30D047F9"/>
    <w:rsid w:val="30DF2C8E"/>
    <w:rsid w:val="31527DC1"/>
    <w:rsid w:val="31796C3F"/>
    <w:rsid w:val="318667A4"/>
    <w:rsid w:val="31903C2D"/>
    <w:rsid w:val="321B5F48"/>
    <w:rsid w:val="32BB54EA"/>
    <w:rsid w:val="32C20171"/>
    <w:rsid w:val="32ED1692"/>
    <w:rsid w:val="3330332D"/>
    <w:rsid w:val="334443B4"/>
    <w:rsid w:val="336240D6"/>
    <w:rsid w:val="33686F6B"/>
    <w:rsid w:val="33A1247D"/>
    <w:rsid w:val="33FF31FC"/>
    <w:rsid w:val="34190265"/>
    <w:rsid w:val="345D45F6"/>
    <w:rsid w:val="347A2111"/>
    <w:rsid w:val="348C374A"/>
    <w:rsid w:val="34A02734"/>
    <w:rsid w:val="34CB7535"/>
    <w:rsid w:val="34EF14BD"/>
    <w:rsid w:val="34FB5BBD"/>
    <w:rsid w:val="34FD7B87"/>
    <w:rsid w:val="35125D0A"/>
    <w:rsid w:val="358666D5"/>
    <w:rsid w:val="358931C8"/>
    <w:rsid w:val="35DB538F"/>
    <w:rsid w:val="35F03248"/>
    <w:rsid w:val="35F217E1"/>
    <w:rsid w:val="35FC1BEC"/>
    <w:rsid w:val="360867E3"/>
    <w:rsid w:val="362C24D2"/>
    <w:rsid w:val="365B2DB7"/>
    <w:rsid w:val="36C82A21"/>
    <w:rsid w:val="36EA7C97"/>
    <w:rsid w:val="375B1B93"/>
    <w:rsid w:val="37772D96"/>
    <w:rsid w:val="378766EE"/>
    <w:rsid w:val="37A369C8"/>
    <w:rsid w:val="37A83DDA"/>
    <w:rsid w:val="37B61464"/>
    <w:rsid w:val="37CF6F74"/>
    <w:rsid w:val="37D33C22"/>
    <w:rsid w:val="37DEF324"/>
    <w:rsid w:val="38CC2814"/>
    <w:rsid w:val="38D63A64"/>
    <w:rsid w:val="391E1E7A"/>
    <w:rsid w:val="394F0E51"/>
    <w:rsid w:val="395C1320"/>
    <w:rsid w:val="39DF323C"/>
    <w:rsid w:val="39FA02B7"/>
    <w:rsid w:val="3A0177D1"/>
    <w:rsid w:val="3A02053D"/>
    <w:rsid w:val="3A323E2F"/>
    <w:rsid w:val="3A5C2370"/>
    <w:rsid w:val="3A651142"/>
    <w:rsid w:val="3ABB1B5F"/>
    <w:rsid w:val="3B0C5BAE"/>
    <w:rsid w:val="3B312DF4"/>
    <w:rsid w:val="3B3C3EF3"/>
    <w:rsid w:val="3B626249"/>
    <w:rsid w:val="3B7A2E39"/>
    <w:rsid w:val="3BF03FA1"/>
    <w:rsid w:val="3BF92EB3"/>
    <w:rsid w:val="3C0D06AF"/>
    <w:rsid w:val="3C636521"/>
    <w:rsid w:val="3CA7694E"/>
    <w:rsid w:val="3CAE5253"/>
    <w:rsid w:val="3CF353AC"/>
    <w:rsid w:val="3D112B82"/>
    <w:rsid w:val="3D1141CF"/>
    <w:rsid w:val="3D4151D2"/>
    <w:rsid w:val="3D7B5A45"/>
    <w:rsid w:val="3D9166A2"/>
    <w:rsid w:val="3D98044D"/>
    <w:rsid w:val="3DAF8635"/>
    <w:rsid w:val="3E43485C"/>
    <w:rsid w:val="3E526909"/>
    <w:rsid w:val="3E5656BB"/>
    <w:rsid w:val="3EC11C25"/>
    <w:rsid w:val="3EEA117C"/>
    <w:rsid w:val="3EF99A46"/>
    <w:rsid w:val="3F230ED8"/>
    <w:rsid w:val="3F5D00DA"/>
    <w:rsid w:val="3F7102F2"/>
    <w:rsid w:val="3F75417A"/>
    <w:rsid w:val="3F8E38FA"/>
    <w:rsid w:val="3F8E9A0A"/>
    <w:rsid w:val="40046517"/>
    <w:rsid w:val="40053F18"/>
    <w:rsid w:val="40781025"/>
    <w:rsid w:val="407A02DD"/>
    <w:rsid w:val="40AD420F"/>
    <w:rsid w:val="40C17CBA"/>
    <w:rsid w:val="40DC0650"/>
    <w:rsid w:val="41764F49"/>
    <w:rsid w:val="418E01CB"/>
    <w:rsid w:val="41CE6E9E"/>
    <w:rsid w:val="41F30981"/>
    <w:rsid w:val="42224F20"/>
    <w:rsid w:val="424368CB"/>
    <w:rsid w:val="425F59DD"/>
    <w:rsid w:val="427B20EB"/>
    <w:rsid w:val="428D58AB"/>
    <w:rsid w:val="42AC3582"/>
    <w:rsid w:val="42D63B7F"/>
    <w:rsid w:val="42DF130D"/>
    <w:rsid w:val="43220FCC"/>
    <w:rsid w:val="433429C6"/>
    <w:rsid w:val="435A7115"/>
    <w:rsid w:val="4362661F"/>
    <w:rsid w:val="43A63197"/>
    <w:rsid w:val="43C674A1"/>
    <w:rsid w:val="43DB72E5"/>
    <w:rsid w:val="44272BFC"/>
    <w:rsid w:val="44753296"/>
    <w:rsid w:val="44875166"/>
    <w:rsid w:val="44B57B36"/>
    <w:rsid w:val="44C70D30"/>
    <w:rsid w:val="452D2124"/>
    <w:rsid w:val="45386828"/>
    <w:rsid w:val="45A2455E"/>
    <w:rsid w:val="460B102C"/>
    <w:rsid w:val="46641814"/>
    <w:rsid w:val="467423AB"/>
    <w:rsid w:val="46F506BE"/>
    <w:rsid w:val="47045039"/>
    <w:rsid w:val="471748B1"/>
    <w:rsid w:val="479C02A8"/>
    <w:rsid w:val="47B02837"/>
    <w:rsid w:val="47B76C96"/>
    <w:rsid w:val="47C702AC"/>
    <w:rsid w:val="47EB1E08"/>
    <w:rsid w:val="47FA0B13"/>
    <w:rsid w:val="47FE4182"/>
    <w:rsid w:val="48485852"/>
    <w:rsid w:val="48671147"/>
    <w:rsid w:val="48934F6D"/>
    <w:rsid w:val="48D4476D"/>
    <w:rsid w:val="48D93A13"/>
    <w:rsid w:val="48FB3991"/>
    <w:rsid w:val="49153299"/>
    <w:rsid w:val="492A07DE"/>
    <w:rsid w:val="49431BB4"/>
    <w:rsid w:val="49543DC1"/>
    <w:rsid w:val="4956775D"/>
    <w:rsid w:val="49C600F0"/>
    <w:rsid w:val="49FE1F7F"/>
    <w:rsid w:val="4A745D9D"/>
    <w:rsid w:val="4B100CB1"/>
    <w:rsid w:val="4B15132F"/>
    <w:rsid w:val="4B2C6678"/>
    <w:rsid w:val="4B2E0642"/>
    <w:rsid w:val="4B4701F8"/>
    <w:rsid w:val="4B7CBF9A"/>
    <w:rsid w:val="4B985ABC"/>
    <w:rsid w:val="4BB548C0"/>
    <w:rsid w:val="4BCFBE9D"/>
    <w:rsid w:val="4C575977"/>
    <w:rsid w:val="4C7D64AC"/>
    <w:rsid w:val="4C9225DF"/>
    <w:rsid w:val="4CB163A7"/>
    <w:rsid w:val="4CF275A2"/>
    <w:rsid w:val="4CFB09F8"/>
    <w:rsid w:val="4D297313"/>
    <w:rsid w:val="4D4001B9"/>
    <w:rsid w:val="4D7A29F7"/>
    <w:rsid w:val="4D7FE06D"/>
    <w:rsid w:val="4D844549"/>
    <w:rsid w:val="4E4D3B05"/>
    <w:rsid w:val="4EA177AA"/>
    <w:rsid w:val="4F086C9C"/>
    <w:rsid w:val="4F371833"/>
    <w:rsid w:val="4F8E345D"/>
    <w:rsid w:val="4FAF7E01"/>
    <w:rsid w:val="4FB10B24"/>
    <w:rsid w:val="4FBD2236"/>
    <w:rsid w:val="5028330E"/>
    <w:rsid w:val="505B4281"/>
    <w:rsid w:val="50884351"/>
    <w:rsid w:val="50CC54A1"/>
    <w:rsid w:val="51472061"/>
    <w:rsid w:val="5149784B"/>
    <w:rsid w:val="51654AD5"/>
    <w:rsid w:val="51714F5F"/>
    <w:rsid w:val="51DE8564"/>
    <w:rsid w:val="51E97071"/>
    <w:rsid w:val="521D148B"/>
    <w:rsid w:val="522B0225"/>
    <w:rsid w:val="52320A18"/>
    <w:rsid w:val="52472687"/>
    <w:rsid w:val="526037D7"/>
    <w:rsid w:val="526B2358"/>
    <w:rsid w:val="52742DDF"/>
    <w:rsid w:val="52D6583A"/>
    <w:rsid w:val="52E756D8"/>
    <w:rsid w:val="530879CB"/>
    <w:rsid w:val="538B4F5C"/>
    <w:rsid w:val="53B80D53"/>
    <w:rsid w:val="53D249E7"/>
    <w:rsid w:val="54299F66"/>
    <w:rsid w:val="542E6824"/>
    <w:rsid w:val="543F566E"/>
    <w:rsid w:val="548D462B"/>
    <w:rsid w:val="54A772FA"/>
    <w:rsid w:val="54B94AEC"/>
    <w:rsid w:val="551F0E11"/>
    <w:rsid w:val="552A0206"/>
    <w:rsid w:val="553E293D"/>
    <w:rsid w:val="5596306C"/>
    <w:rsid w:val="55AE2AAB"/>
    <w:rsid w:val="55F663A1"/>
    <w:rsid w:val="55F850A2"/>
    <w:rsid w:val="55F85AD5"/>
    <w:rsid w:val="562A2C1B"/>
    <w:rsid w:val="566A04B0"/>
    <w:rsid w:val="568E6C6A"/>
    <w:rsid w:val="56C708EE"/>
    <w:rsid w:val="56E524FD"/>
    <w:rsid w:val="56F70FB1"/>
    <w:rsid w:val="57021908"/>
    <w:rsid w:val="570B7A8A"/>
    <w:rsid w:val="572C043D"/>
    <w:rsid w:val="576C677A"/>
    <w:rsid w:val="57CC546B"/>
    <w:rsid w:val="57CF2661"/>
    <w:rsid w:val="57D8796C"/>
    <w:rsid w:val="57DF6B26"/>
    <w:rsid w:val="57E76189"/>
    <w:rsid w:val="57F6AE35"/>
    <w:rsid w:val="580746F5"/>
    <w:rsid w:val="58105447"/>
    <w:rsid w:val="581F1A3E"/>
    <w:rsid w:val="5821117D"/>
    <w:rsid w:val="58B73A25"/>
    <w:rsid w:val="58C85C32"/>
    <w:rsid w:val="58F22CAF"/>
    <w:rsid w:val="591C41D0"/>
    <w:rsid w:val="59927FEE"/>
    <w:rsid w:val="59A2A64E"/>
    <w:rsid w:val="59B44408"/>
    <w:rsid w:val="5A1629CD"/>
    <w:rsid w:val="5A591069"/>
    <w:rsid w:val="5A690D4F"/>
    <w:rsid w:val="5A6951F3"/>
    <w:rsid w:val="5A706581"/>
    <w:rsid w:val="5A933E27"/>
    <w:rsid w:val="5AB135C4"/>
    <w:rsid w:val="5B61236E"/>
    <w:rsid w:val="5BD55307"/>
    <w:rsid w:val="5BF8682E"/>
    <w:rsid w:val="5BFF81F9"/>
    <w:rsid w:val="5C4E46A0"/>
    <w:rsid w:val="5CBD6E4C"/>
    <w:rsid w:val="5CBF10FA"/>
    <w:rsid w:val="5CD8040E"/>
    <w:rsid w:val="5D5977A1"/>
    <w:rsid w:val="5D6FB94D"/>
    <w:rsid w:val="5D89EE2D"/>
    <w:rsid w:val="5D990F2F"/>
    <w:rsid w:val="5D9B1B67"/>
    <w:rsid w:val="5DBD692F"/>
    <w:rsid w:val="5DDB295F"/>
    <w:rsid w:val="5DDFDF02"/>
    <w:rsid w:val="5E135BA1"/>
    <w:rsid w:val="5E150CA2"/>
    <w:rsid w:val="5E4C006B"/>
    <w:rsid w:val="5E655CD1"/>
    <w:rsid w:val="5E895E64"/>
    <w:rsid w:val="5E9C5FCF"/>
    <w:rsid w:val="5ECE3876"/>
    <w:rsid w:val="5EF18C1F"/>
    <w:rsid w:val="5EFE1B17"/>
    <w:rsid w:val="5F225970"/>
    <w:rsid w:val="5F4B04A9"/>
    <w:rsid w:val="5F6366B5"/>
    <w:rsid w:val="5F6DB0E3"/>
    <w:rsid w:val="5FAD9335"/>
    <w:rsid w:val="5FB707AE"/>
    <w:rsid w:val="5FBCF56C"/>
    <w:rsid w:val="5FC03B07"/>
    <w:rsid w:val="5FDC1FC3"/>
    <w:rsid w:val="5FEA27EA"/>
    <w:rsid w:val="5FFE5F07"/>
    <w:rsid w:val="600A3E01"/>
    <w:rsid w:val="600C0AFA"/>
    <w:rsid w:val="6046775D"/>
    <w:rsid w:val="60741093"/>
    <w:rsid w:val="60C846E2"/>
    <w:rsid w:val="61021EFD"/>
    <w:rsid w:val="61047A23"/>
    <w:rsid w:val="61306A6A"/>
    <w:rsid w:val="619332C0"/>
    <w:rsid w:val="61C62F2B"/>
    <w:rsid w:val="62A508E7"/>
    <w:rsid w:val="62B234C9"/>
    <w:rsid w:val="62BF7892"/>
    <w:rsid w:val="62C04813"/>
    <w:rsid w:val="630B32EB"/>
    <w:rsid w:val="636A67EB"/>
    <w:rsid w:val="63A63014"/>
    <w:rsid w:val="640218F2"/>
    <w:rsid w:val="64406FC4"/>
    <w:rsid w:val="646507D9"/>
    <w:rsid w:val="649165CE"/>
    <w:rsid w:val="64E21D35"/>
    <w:rsid w:val="655E40F7"/>
    <w:rsid w:val="65ED63E6"/>
    <w:rsid w:val="66185783"/>
    <w:rsid w:val="66292C29"/>
    <w:rsid w:val="66D02156"/>
    <w:rsid w:val="66DD4563"/>
    <w:rsid w:val="66EF38CA"/>
    <w:rsid w:val="67082C0B"/>
    <w:rsid w:val="670A6088"/>
    <w:rsid w:val="677A7FA3"/>
    <w:rsid w:val="67816F37"/>
    <w:rsid w:val="67BF628C"/>
    <w:rsid w:val="68136366"/>
    <w:rsid w:val="68212C69"/>
    <w:rsid w:val="685313AA"/>
    <w:rsid w:val="68701E42"/>
    <w:rsid w:val="68A22D29"/>
    <w:rsid w:val="68C63810"/>
    <w:rsid w:val="691C78D4"/>
    <w:rsid w:val="693B4464"/>
    <w:rsid w:val="69502E45"/>
    <w:rsid w:val="696F5C56"/>
    <w:rsid w:val="69CB5582"/>
    <w:rsid w:val="69D61C2D"/>
    <w:rsid w:val="69E94723"/>
    <w:rsid w:val="6A100433"/>
    <w:rsid w:val="6A786D8C"/>
    <w:rsid w:val="6AB61BCA"/>
    <w:rsid w:val="6ABF6F65"/>
    <w:rsid w:val="6AD7B19E"/>
    <w:rsid w:val="6AFF6AB3"/>
    <w:rsid w:val="6B1D25C0"/>
    <w:rsid w:val="6B234F4A"/>
    <w:rsid w:val="6B3D5B12"/>
    <w:rsid w:val="6B845E74"/>
    <w:rsid w:val="6BC5216F"/>
    <w:rsid w:val="6BD5328A"/>
    <w:rsid w:val="6BDD159D"/>
    <w:rsid w:val="6C0F7296"/>
    <w:rsid w:val="6C3118E9"/>
    <w:rsid w:val="6C497D58"/>
    <w:rsid w:val="6C9D2CAB"/>
    <w:rsid w:val="6CD1038E"/>
    <w:rsid w:val="6D0D4104"/>
    <w:rsid w:val="6D162FB8"/>
    <w:rsid w:val="6D1C2583"/>
    <w:rsid w:val="6D561607"/>
    <w:rsid w:val="6D8A67F2"/>
    <w:rsid w:val="6DEADE4E"/>
    <w:rsid w:val="6DFB5D0A"/>
    <w:rsid w:val="6DFC3EB8"/>
    <w:rsid w:val="6EB14C44"/>
    <w:rsid w:val="6ECE6912"/>
    <w:rsid w:val="6EFB3EE0"/>
    <w:rsid w:val="6F036B63"/>
    <w:rsid w:val="6F0D14C0"/>
    <w:rsid w:val="6F1F07EC"/>
    <w:rsid w:val="6F1F1ECC"/>
    <w:rsid w:val="6F5E79F6"/>
    <w:rsid w:val="6F665B7C"/>
    <w:rsid w:val="6F7A98C1"/>
    <w:rsid w:val="6F912DCA"/>
    <w:rsid w:val="6FAC0792"/>
    <w:rsid w:val="6FCB0C34"/>
    <w:rsid w:val="6FD8F4D5"/>
    <w:rsid w:val="6FDD6FEF"/>
    <w:rsid w:val="6FFF9053"/>
    <w:rsid w:val="6FFFBAA3"/>
    <w:rsid w:val="70011B3F"/>
    <w:rsid w:val="70187EFA"/>
    <w:rsid w:val="706137BA"/>
    <w:rsid w:val="70624C7A"/>
    <w:rsid w:val="70CFECA5"/>
    <w:rsid w:val="70D8681E"/>
    <w:rsid w:val="71332BBF"/>
    <w:rsid w:val="714B5103"/>
    <w:rsid w:val="7167081C"/>
    <w:rsid w:val="719170B1"/>
    <w:rsid w:val="71A433FA"/>
    <w:rsid w:val="71A768D5"/>
    <w:rsid w:val="71FDC6AD"/>
    <w:rsid w:val="728704A5"/>
    <w:rsid w:val="72AE3C93"/>
    <w:rsid w:val="72BD7A32"/>
    <w:rsid w:val="72F3D123"/>
    <w:rsid w:val="72FA2A34"/>
    <w:rsid w:val="73B2004D"/>
    <w:rsid w:val="73DC4C50"/>
    <w:rsid w:val="73F44441"/>
    <w:rsid w:val="73FA241E"/>
    <w:rsid w:val="73FE62A2"/>
    <w:rsid w:val="746E36DA"/>
    <w:rsid w:val="749C0677"/>
    <w:rsid w:val="74BF3DC2"/>
    <w:rsid w:val="75126A2E"/>
    <w:rsid w:val="755A1EB0"/>
    <w:rsid w:val="756E1E19"/>
    <w:rsid w:val="75A75516"/>
    <w:rsid w:val="75C335B1"/>
    <w:rsid w:val="75DEFBED"/>
    <w:rsid w:val="75E7D33D"/>
    <w:rsid w:val="75F2A036"/>
    <w:rsid w:val="75FB854B"/>
    <w:rsid w:val="76176583"/>
    <w:rsid w:val="76214CFA"/>
    <w:rsid w:val="76276573"/>
    <w:rsid w:val="7680203D"/>
    <w:rsid w:val="768E3C41"/>
    <w:rsid w:val="770B16B4"/>
    <w:rsid w:val="772A6B2B"/>
    <w:rsid w:val="77923D49"/>
    <w:rsid w:val="77974A72"/>
    <w:rsid w:val="779B10EB"/>
    <w:rsid w:val="77A03442"/>
    <w:rsid w:val="77AD1E49"/>
    <w:rsid w:val="77B53CCC"/>
    <w:rsid w:val="77C81353"/>
    <w:rsid w:val="77DF34E6"/>
    <w:rsid w:val="77E75D6B"/>
    <w:rsid w:val="77EB0981"/>
    <w:rsid w:val="77F7FF35"/>
    <w:rsid w:val="77FD92B7"/>
    <w:rsid w:val="7836450F"/>
    <w:rsid w:val="788F11A6"/>
    <w:rsid w:val="78927936"/>
    <w:rsid w:val="78FC4B21"/>
    <w:rsid w:val="791B4D50"/>
    <w:rsid w:val="793D18CD"/>
    <w:rsid w:val="793D4916"/>
    <w:rsid w:val="79674B9C"/>
    <w:rsid w:val="79964022"/>
    <w:rsid w:val="79D53687"/>
    <w:rsid w:val="79E32474"/>
    <w:rsid w:val="7AAC6D0A"/>
    <w:rsid w:val="7AFF3785"/>
    <w:rsid w:val="7B4D190D"/>
    <w:rsid w:val="7B6A2DB0"/>
    <w:rsid w:val="7B7018CD"/>
    <w:rsid w:val="7B73186F"/>
    <w:rsid w:val="7B7AD857"/>
    <w:rsid w:val="7B7F0B18"/>
    <w:rsid w:val="7B7F5FB6"/>
    <w:rsid w:val="7BBB3E13"/>
    <w:rsid w:val="7BBD0AA3"/>
    <w:rsid w:val="7BD764C1"/>
    <w:rsid w:val="7BD78BF8"/>
    <w:rsid w:val="7C0047A8"/>
    <w:rsid w:val="7C0E12FE"/>
    <w:rsid w:val="7C306B1F"/>
    <w:rsid w:val="7C5238E1"/>
    <w:rsid w:val="7C7B7C1A"/>
    <w:rsid w:val="7CEB1414"/>
    <w:rsid w:val="7CEF3A03"/>
    <w:rsid w:val="7CF61A54"/>
    <w:rsid w:val="7D080444"/>
    <w:rsid w:val="7D180687"/>
    <w:rsid w:val="7D1D74AB"/>
    <w:rsid w:val="7D225AF5"/>
    <w:rsid w:val="7D3A2A77"/>
    <w:rsid w:val="7D494CE4"/>
    <w:rsid w:val="7D5FD467"/>
    <w:rsid w:val="7D91456E"/>
    <w:rsid w:val="7D9D219D"/>
    <w:rsid w:val="7DCB40BE"/>
    <w:rsid w:val="7DD354D7"/>
    <w:rsid w:val="7DD9D29C"/>
    <w:rsid w:val="7DF33CA5"/>
    <w:rsid w:val="7DF70004"/>
    <w:rsid w:val="7DF764EE"/>
    <w:rsid w:val="7DFF8775"/>
    <w:rsid w:val="7E0B1F99"/>
    <w:rsid w:val="7E1210ED"/>
    <w:rsid w:val="7E3A287F"/>
    <w:rsid w:val="7E7DF105"/>
    <w:rsid w:val="7E8D6E52"/>
    <w:rsid w:val="7E906943"/>
    <w:rsid w:val="7EAC46EA"/>
    <w:rsid w:val="7EDD3985"/>
    <w:rsid w:val="7EEF41E8"/>
    <w:rsid w:val="7EF8EFFD"/>
    <w:rsid w:val="7EFFAB6B"/>
    <w:rsid w:val="7F0569E9"/>
    <w:rsid w:val="7F1B7FBA"/>
    <w:rsid w:val="7F1D93CF"/>
    <w:rsid w:val="7F1F7ED6"/>
    <w:rsid w:val="7F357182"/>
    <w:rsid w:val="7F6FC9D6"/>
    <w:rsid w:val="7F75C07B"/>
    <w:rsid w:val="7F7CD196"/>
    <w:rsid w:val="7FB9E414"/>
    <w:rsid w:val="7FCB34F8"/>
    <w:rsid w:val="7FCF2FF2"/>
    <w:rsid w:val="7FEBFC9D"/>
    <w:rsid w:val="7FEF1E7B"/>
    <w:rsid w:val="7FFDAAC7"/>
    <w:rsid w:val="7FFFA59F"/>
    <w:rsid w:val="7FFFDC30"/>
    <w:rsid w:val="8E53B32F"/>
    <w:rsid w:val="923D73EC"/>
    <w:rsid w:val="97ED9FF1"/>
    <w:rsid w:val="9ACF9FDB"/>
    <w:rsid w:val="9EFDB580"/>
    <w:rsid w:val="9FEE0E55"/>
    <w:rsid w:val="A66ED6B8"/>
    <w:rsid w:val="A7AF4B22"/>
    <w:rsid w:val="A974C344"/>
    <w:rsid w:val="ADB6842D"/>
    <w:rsid w:val="ADEFEEA1"/>
    <w:rsid w:val="AEFF5F45"/>
    <w:rsid w:val="AFD71F19"/>
    <w:rsid w:val="AFEF69A6"/>
    <w:rsid w:val="AFF697B6"/>
    <w:rsid w:val="B3FBEB27"/>
    <w:rsid w:val="B71BF3FB"/>
    <w:rsid w:val="BA6F7744"/>
    <w:rsid w:val="BB57C8D7"/>
    <w:rsid w:val="BB7D427F"/>
    <w:rsid w:val="BBEF1CA1"/>
    <w:rsid w:val="BBF826CD"/>
    <w:rsid w:val="BCDB8901"/>
    <w:rsid w:val="BCFD5AF1"/>
    <w:rsid w:val="BEF768FD"/>
    <w:rsid w:val="BF3DB144"/>
    <w:rsid w:val="BFA3C4DB"/>
    <w:rsid w:val="BFAF4AE8"/>
    <w:rsid w:val="BFBBF0FE"/>
    <w:rsid w:val="BFBDA2F9"/>
    <w:rsid w:val="BFCE9850"/>
    <w:rsid w:val="BFE7ACA6"/>
    <w:rsid w:val="BFF12F7B"/>
    <w:rsid w:val="BFF3573E"/>
    <w:rsid w:val="BFF784BF"/>
    <w:rsid w:val="BFFD24EF"/>
    <w:rsid w:val="CA6F9E09"/>
    <w:rsid w:val="CD2F9A04"/>
    <w:rsid w:val="CEC1953F"/>
    <w:rsid w:val="CEEAFD6B"/>
    <w:rsid w:val="CFB7AE37"/>
    <w:rsid w:val="CFFFEA3F"/>
    <w:rsid w:val="D1DFEE25"/>
    <w:rsid w:val="D3CF89D1"/>
    <w:rsid w:val="D57EED11"/>
    <w:rsid w:val="D7A7CFB8"/>
    <w:rsid w:val="D7CFBA45"/>
    <w:rsid w:val="DA7E1618"/>
    <w:rsid w:val="DBBDECBA"/>
    <w:rsid w:val="DCEF2408"/>
    <w:rsid w:val="DCFE8C7C"/>
    <w:rsid w:val="DD0F2DC4"/>
    <w:rsid w:val="DEF725AA"/>
    <w:rsid w:val="DEF980A9"/>
    <w:rsid w:val="DF554D52"/>
    <w:rsid w:val="DF7FBEC8"/>
    <w:rsid w:val="DFAB38BD"/>
    <w:rsid w:val="DFDFCCAF"/>
    <w:rsid w:val="DFFA6048"/>
    <w:rsid w:val="DFFB333D"/>
    <w:rsid w:val="DFFF40EE"/>
    <w:rsid w:val="DFFFDDCE"/>
    <w:rsid w:val="DFFFF473"/>
    <w:rsid w:val="E3BA967A"/>
    <w:rsid w:val="E3E5996E"/>
    <w:rsid w:val="E5ED6464"/>
    <w:rsid w:val="E9C7EF7E"/>
    <w:rsid w:val="EB9F0BA2"/>
    <w:rsid w:val="EBFB763B"/>
    <w:rsid w:val="EBFFAB44"/>
    <w:rsid w:val="EBFFB281"/>
    <w:rsid w:val="ED7EE275"/>
    <w:rsid w:val="EEA636BC"/>
    <w:rsid w:val="EEAFD261"/>
    <w:rsid w:val="EF6F0479"/>
    <w:rsid w:val="EFD58271"/>
    <w:rsid w:val="F37D9A92"/>
    <w:rsid w:val="F53B0594"/>
    <w:rsid w:val="F5B23FFC"/>
    <w:rsid w:val="F5F65F94"/>
    <w:rsid w:val="F77ADFEC"/>
    <w:rsid w:val="F7B3864E"/>
    <w:rsid w:val="F7BC9CED"/>
    <w:rsid w:val="F7BE8743"/>
    <w:rsid w:val="F7D6C368"/>
    <w:rsid w:val="F7FA31C8"/>
    <w:rsid w:val="F7FD88A2"/>
    <w:rsid w:val="FA4FEA7D"/>
    <w:rsid w:val="FA57C82E"/>
    <w:rsid w:val="FA5EDD95"/>
    <w:rsid w:val="FAF69715"/>
    <w:rsid w:val="FB3D2483"/>
    <w:rsid w:val="FBB5DDDD"/>
    <w:rsid w:val="FBBA5C47"/>
    <w:rsid w:val="FBBF715E"/>
    <w:rsid w:val="FBDB9512"/>
    <w:rsid w:val="FBF308DD"/>
    <w:rsid w:val="FBFF3545"/>
    <w:rsid w:val="FCCE8FD3"/>
    <w:rsid w:val="FCDF9A08"/>
    <w:rsid w:val="FCFB83A1"/>
    <w:rsid w:val="FCFED907"/>
    <w:rsid w:val="FCFFEFAC"/>
    <w:rsid w:val="FD7B4093"/>
    <w:rsid w:val="FD7F9496"/>
    <w:rsid w:val="FD8AFD3A"/>
    <w:rsid w:val="FDAC7424"/>
    <w:rsid w:val="FDE72779"/>
    <w:rsid w:val="FDF88464"/>
    <w:rsid w:val="FDFFCD59"/>
    <w:rsid w:val="FE57B0BF"/>
    <w:rsid w:val="FE6B921E"/>
    <w:rsid w:val="FEABC812"/>
    <w:rsid w:val="FEAD3846"/>
    <w:rsid w:val="FEB581A2"/>
    <w:rsid w:val="FEB5DCEA"/>
    <w:rsid w:val="FEE33E9B"/>
    <w:rsid w:val="FEE3B0F7"/>
    <w:rsid w:val="FEFD7BCB"/>
    <w:rsid w:val="FF3CCF1E"/>
    <w:rsid w:val="FF5C7108"/>
    <w:rsid w:val="FF792B88"/>
    <w:rsid w:val="FF7E034F"/>
    <w:rsid w:val="FFBE6D2F"/>
    <w:rsid w:val="FFBF3845"/>
    <w:rsid w:val="FFBFDF68"/>
    <w:rsid w:val="FFCE1F6B"/>
    <w:rsid w:val="FFCE40B1"/>
    <w:rsid w:val="FFD9BA3F"/>
    <w:rsid w:val="FFDFB1CE"/>
    <w:rsid w:val="FFDFCE7D"/>
    <w:rsid w:val="FFEDAC2A"/>
    <w:rsid w:val="FFF4F6D0"/>
    <w:rsid w:val="FFFB41A5"/>
    <w:rsid w:val="FFFBAFE0"/>
    <w:rsid w:val="FFFD8CA6"/>
    <w:rsid w:val="FFFF67BF"/>
    <w:rsid w:val="FFFFD44D"/>
    <w:rsid w:val="FFFFF7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2"/>
      <w:szCs w:val="32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5529</Words>
  <Characters>5679</Characters>
  <Lines>17</Lines>
  <Paragraphs>5</Paragraphs>
  <TotalTime>17</TotalTime>
  <ScaleCrop>false</ScaleCrop>
  <LinksUpToDate>false</LinksUpToDate>
  <CharactersWithSpaces>5684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2025-05-26T19:26:00Z</dcterms:created>
  <dc:creator>江南一怪1418794116</dc:creator>
  <cp:lastModifiedBy>八九</cp:lastModifiedBy>
  <cp:lastPrinted>2025-08-28T09:53:46Z</cp:lastPrinted>
  <dcterms:modified xsi:type="dcterms:W3CDTF">2025-08-28T09:57:26Z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4991BCBD4DA7454FA6C4AA07BFE1261D_13</vt:lpwstr>
  </property>
  <property fmtid="{D5CDD505-2E9C-101B-9397-08002B2CF9AE}" pid="4" name="KSOTemplateDocerSaveRecord">
    <vt:lpwstr>eyJoZGlkIjoiOGQ5YjFkODQ2Y2UzMDk1MTQyMmFkMTQ4NTg2ZTRhYmUiLCJ1c2VySWQiOiI3Nzk0MzUxNTkifQ==</vt:lpwstr>
  </property>
</Properties>
</file>